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xSingle"/>
        <w:spacing w:before="0" w:after="0" w:line="322" w:lineRule="exact"/>
        <w:jc w:val="center"/>
      </w:pPr>
      <w:r>
        <w:t xml:space="preserve">No.</w:t>
      </w:r>
      <w:r>
        <w:t xml:space="preserve"> </w:t>
      </w:r>
      <w:r>
        <w:t xml:space="preserve">05</w:t>
        <w:noBreakHyphen/>
        <w:t xml:space="preserve">20</w:t>
        <w:noBreakHyphen/>
        <w:t xml:space="preserve">00920-CV</w:t>
      </w:r>
    </w:p>
    <w:p>
      <w:pPr>
        <w:pStyle w:val="TexSingle"/>
        <w:pBdr>
          <w:bottom w:val="single" w:sz="6" w:space="0" w:color="000000"/>
        </w:pBdr>
        <w:spacing w:before="220" w:after="0" w:line="20" w:lineRule="exact"/>
      </w:pPr>
    </w:p>
    <w:p>
      <w:pPr>
        <w:pStyle w:val="TexSingle"/>
        <w:spacing w:before="140" w:after="0" w:line="322" w:lineRule="exact"/>
        <w:jc w:val="center"/>
      </w:pPr>
      <w:r>
        <w:rPr>
          <w:b/>
          <w:bCs/>
        </w:rPr>
        <w:t xml:space="preserve">IN THE COURT OF APPEALS</w:t>
      </w:r>
    </w:p>
    <w:p>
      <w:pPr>
        <w:pStyle w:val="TexSingle"/>
        <w:spacing w:before="0" w:after="0" w:line="322" w:lineRule="exact"/>
        <w:jc w:val="center"/>
      </w:pPr>
      <w:r>
        <w:rPr>
          <w:b/>
          <w:bCs/>
        </w:rPr>
        <w:t xml:space="preserve">FOR THE FIFTH DISTRICT OF TEXAS</w:t>
      </w:r>
    </w:p>
    <w:p>
      <w:pPr>
        <w:pStyle w:val="TexSingle"/>
        <w:spacing w:before="0" w:after="0" w:line="322" w:lineRule="exact"/>
        <w:jc w:val="center"/>
      </w:pPr>
      <w:r>
        <w:rPr>
          <w:b/>
          <w:bCs/>
        </w:rPr>
        <w:t xml:space="preserve">AT DALLAS</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IN</w:t>
      </w:r>
      <w:r>
        <w:rPr>
          <w:b/>
          <w:bCs/>
        </w:rPr>
        <w:t xml:space="preserve"> </w:t>
      </w:r>
      <w:r>
        <w:rPr>
          <w:b/>
          <w:bCs/>
        </w:rPr>
        <w:t xml:space="preserve">RE:</w:t>
      </w:r>
      <w:r>
        <w:rPr>
          <w:b/>
          <w:bCs/>
        </w:rPr>
        <w:t xml:space="preserve"> </w:t>
      </w:r>
      <w:r>
        <w:rPr>
          <w:b/>
          <w:bCs/>
        </w:rPr>
        <w:t xml:space="preserve">J.R.</w:t>
      </w:r>
    </w:p>
    <w:p>
      <w:pPr>
        <w:pStyle w:val="TexSingle"/>
        <w:spacing w:before="220" w:after="0" w:line="322" w:lineRule="exact"/>
        <w:jc w:val="center"/>
      </w:pPr>
      <w:r>
        <w:rPr>
          <w:b/>
          <w:bCs/>
        </w:rPr>
        <w:t xml:space="preserve">J.R.</w:t>
      </w:r>
    </w:p>
    <w:p>
      <w:pPr>
        <w:pStyle w:val="TexSingle"/>
        <w:spacing w:before="0" w:after="0" w:line="322" w:lineRule="exact"/>
        <w:jc w:val="center"/>
      </w:pPr>
      <w:r>
        <w:t xml:space="preserve">Appellant,</w:t>
      </w:r>
    </w:p>
    <w:p>
      <w:pPr>
        <w:pStyle w:val="TexSingle"/>
        <w:spacing w:before="140" w:after="0" w:line="322" w:lineRule="exact"/>
        <w:jc w:val="center"/>
      </w:pPr>
      <w:r>
        <w:t xml:space="preserve">v.</w:t>
      </w:r>
    </w:p>
    <w:p>
      <w:pPr>
        <w:pStyle w:val="TexSingle"/>
        <w:spacing w:before="140" w:after="0" w:line="322" w:lineRule="exact"/>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TEXAS</w:t>
      </w:r>
    </w:p>
    <w:p>
      <w:pPr>
        <w:pStyle w:val="TexSingle"/>
        <w:spacing w:before="0" w:after="0" w:line="322" w:lineRule="exact"/>
        <w:jc w:val="center"/>
      </w:pPr>
      <w:r>
        <w:t xml:space="preserve">Appellee.</w:t>
      </w:r>
    </w:p>
    <w:p>
      <w:pPr>
        <w:pStyle w:val="TexSingle"/>
        <w:pBdr>
          <w:bottom w:val="single" w:sz="6" w:space="0" w:color="000000"/>
        </w:pBdr>
        <w:spacing w:before="220" w:after="0" w:line="20" w:lineRule="exact"/>
      </w:pPr>
    </w:p>
    <w:p>
      <w:pPr>
        <w:pStyle w:val="TexSingle"/>
        <w:spacing w:before="140" w:after="0" w:line="322"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305th</w:t>
      </w:r>
      <w:r>
        <w:t xml:space="preserve"> </w:t>
      </w:r>
      <w:r>
        <w:t xml:space="preserve">Judicial</w:t>
      </w:r>
      <w:r>
        <w:t xml:space="preserve"> </w:t>
      </w:r>
      <w:r>
        <w:t xml:space="preserve">District</w:t>
      </w:r>
      <w:r>
        <w:t xml:space="preserve"> </w:t>
      </w:r>
      <w:r>
        <w:t xml:space="preserve">Court</w:t>
      </w:r>
      <w:r>
        <w:t xml:space="preserve">,</w:t>
      </w:r>
      <w:r>
        <w:t xml:space="preserve"> </w:t>
      </w:r>
      <w:r>
        <w:t xml:space="preserve">Dallas</w:t>
      </w:r>
      <w:r>
        <w:t xml:space="preserve"> </w:t>
      </w:r>
      <w:r>
        <w:t xml:space="preserve">County,</w:t>
      </w:r>
      <w:r>
        <w:t xml:space="preserve"> </w:t>
      </w:r>
      <w:r>
        <w:t xml:space="preserve">Texas</w:t>
      </w:r>
    </w:p>
    <w:p>
      <w:pPr>
        <w:pStyle w:val="TexSingle"/>
        <w:spacing w:before="0" w:after="0" w:line="322" w:lineRule="exact"/>
        <w:jc w:val="center"/>
      </w:pPr>
      <w:r>
        <w:t xml:space="preserve">Trial</w:t>
      </w:r>
      <w:r>
        <w:t xml:space="preserve"> </w:t>
      </w:r>
      <w:r>
        <w:t xml:space="preserve">Court</w:t>
      </w:r>
      <w:r>
        <w:t xml:space="preserve"> </w:t>
      </w:r>
      <w:r>
        <w:t xml:space="preserve">Cause</w:t>
      </w:r>
      <w:r>
        <w:t xml:space="preserve"> </w:t>
      </w:r>
      <w:r>
        <w:t xml:space="preserve">No.</w:t>
      </w:r>
      <w:r>
        <w:t xml:space="preserve"> </w:t>
      </w:r>
      <w:r>
        <w:t xml:space="preserve">JD</w:t>
        <w:noBreakHyphen/>
        <w:t xml:space="preserve">20</w:t>
        <w:noBreakHyphen/>
        <w:t xml:space="preserve">00313-X</w:t>
      </w:r>
    </w:p>
    <w:p>
      <w:pPr>
        <w:pStyle w:val="TexSingle"/>
        <w:spacing w:before="0" w:after="0" w:line="322" w:lineRule="exact"/>
        <w:jc w:val="center"/>
      </w:pPr>
      <w:r>
        <w:t xml:space="preserve">The</w:t>
      </w:r>
      <w:r>
        <w:t xml:space="preserve"> </w:t>
      </w:r>
      <w:r>
        <w:t xml:space="preserve">Honorable</w:t>
      </w:r>
      <w:r>
        <w:t xml:space="preserve"> </w:t>
      </w:r>
      <w:r>
        <w:t xml:space="preserve">Cheryl</w:t>
      </w:r>
      <w:r>
        <w:t xml:space="preserve"> </w:t>
      </w:r>
      <w:r>
        <w:t xml:space="preserve">Lee</w:t>
      </w:r>
      <w:r>
        <w:t xml:space="preserve"> </w:t>
      </w:r>
      <w:r>
        <w:t xml:space="preserve">Shannon</w:t>
      </w:r>
      <w:r>
        <w:t xml:space="preserve">,</w:t>
      </w:r>
      <w:r>
        <w:t xml:space="preserve"> </w:t>
      </w:r>
      <w:r>
        <w:t xml:space="preserve">Presiding</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Style w:val="TexSingle"/>
        <w:pBdr>
          <w:bottom w:val="single" w:sz="6" w:space="0" w:color="000000"/>
        </w:pBdr>
        <w:spacing w:before="220" w:after="0" w:line="20" w:lineRule="exact"/>
      </w:pPr>
    </w:p>
    <w:p>
      <w:pPr>
        <w:pStyle w:val="TexSingle"/>
        <w:spacing w:before="720" w:after="0" w:line="322" w:lineRule="exact"/>
        <w:ind w:left="4320"/>
      </w:pPr>
      <w:r>
        <w:t xml:space="preserve">Niles</w:t>
      </w:r>
      <w:r>
        <w:t xml:space="preserve"> </w:t>
      </w:r>
      <w:r>
        <w:t xml:space="preserve">Illich</w:t>
      </w:r>
    </w:p>
    <w:p>
      <w:pPr>
        <w:pStyle w:val="TexSingle"/>
        <w:spacing w:before="0" w:after="0" w:line="322" w:lineRule="exact"/>
        <w:ind w:left="4320"/>
      </w:pPr>
      <w:r>
        <w:t xml:space="preserve">State</w:t>
      </w:r>
      <w:r>
        <w:t xml:space="preserve"> </w:t>
      </w:r>
      <w:r>
        <w:t xml:space="preserve">Bar</w:t>
      </w:r>
      <w:r>
        <w:t xml:space="preserve"> </w:t>
      </w:r>
      <w:r>
        <w:t xml:space="preserve">No.</w:t>
      </w:r>
      <w:r>
        <w:t xml:space="preserve"> </w:t>
      </w:r>
      <w:r>
        <w:t xml:space="preserve">24069969</w:t>
      </w:r>
    </w:p>
    <w:p>
      <w:pPr>
        <w:pStyle w:val="TexSingle"/>
        <w:spacing w:before="0" w:after="0" w:line="322" w:lineRule="exact"/>
        <w:ind w:left="4320"/>
      </w:pPr>
      <w:r>
        <w:t xml:space="preserve">Rebekah</w:t>
      </w:r>
      <w:r>
        <w:t xml:space="preserve"> </w:t>
      </w:r>
      <w:r>
        <w:t xml:space="preserve">Perlstein</w:t>
      </w:r>
    </w:p>
    <w:p>
      <w:pPr>
        <w:pStyle w:val="TexSingle"/>
        <w:spacing w:before="0" w:after="0" w:line="322" w:lineRule="exact"/>
        <w:ind w:left="4320"/>
      </w:pPr>
      <w:r>
        <w:t xml:space="preserve">State</w:t>
      </w:r>
      <w:r>
        <w:t xml:space="preserve"> </w:t>
      </w:r>
      <w:r>
        <w:t xml:space="preserve">Bar</w:t>
      </w:r>
      <w:r>
        <w:t xml:space="preserve"> </w:t>
      </w:r>
      <w:r>
        <w:t xml:space="preserve">No.</w:t>
      </w:r>
      <w:r>
        <w:t xml:space="preserve"> </w:t>
      </w:r>
      <w:r>
        <w:t xml:space="preserve">24073080</w:t>
      </w:r>
    </w:p>
    <w:p>
      <w:pPr>
        <w:pStyle w:val="TexSingle"/>
        <w:spacing w:before="0" w:after="0" w:line="322" w:lineRule="exact"/>
        <w:ind w:left="4320"/>
      </w:pPr>
      <w:r>
        <w:t xml:space="preserve">Scott</w:t>
      </w:r>
      <w:r>
        <w:t xml:space="preserve"> </w:t>
      </w:r>
      <w:r>
        <w:t xml:space="preserve">H.</w:t>
      </w:r>
      <w:r>
        <w:t xml:space="preserve"> </w:t>
      </w:r>
      <w:r>
        <w:t xml:space="preserve">Palmer,</w:t>
      </w:r>
      <w:r>
        <w:t xml:space="preserve"> </w:t>
      </w:r>
      <w:r>
        <w:t xml:space="preserve">P.C.</w:t>
      </w:r>
    </w:p>
    <w:p>
      <w:pPr>
        <w:pStyle w:val="TexSingle"/>
        <w:spacing w:before="0" w:after="0" w:line="322" w:lineRule="exact"/>
        <w:ind w:left="4320"/>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spacing w:before="0" w:after="0" w:line="322" w:lineRule="exact"/>
        <w:ind w:left="4320"/>
      </w:pPr>
      <w:r>
        <w:t xml:space="preserve">Addison,</w:t>
      </w:r>
      <w:r>
        <w:t xml:space="preserve"> </w:t>
      </w:r>
      <w:r>
        <w:t xml:space="preserve">Texas</w:t>
      </w:r>
      <w:r>
        <w:t xml:space="preserve"> </w:t>
      </w:r>
      <w:r>
        <w:t xml:space="preserve">75001</w:t>
      </w:r>
    </w:p>
    <w:p>
      <w:pPr>
        <w:pStyle w:val="TexSingle"/>
        <w:spacing w:before="0" w:after="0" w:line="322" w:lineRule="exact"/>
        <w:ind w:left="4320"/>
      </w:pPr>
      <w:r>
        <w:t xml:space="preserve">Telephone:</w:t>
      </w:r>
      <w:r>
        <w:t xml:space="preserve"> </w:t>
      </w:r>
      <w:r>
        <w:t xml:space="preserve">972</w:t>
        <w:noBreakHyphen/>
        <w:t xml:space="preserve">204</w:t>
        <w:noBreakHyphen/>
        <w:t xml:space="preserve">5452</w:t>
      </w:r>
    </w:p>
    <w:p>
      <w:pPr>
        <w:pStyle w:val="TexSingle"/>
        <w:spacing w:before="0" w:after="0" w:line="322" w:lineRule="exact"/>
        <w:ind w:left="4320"/>
      </w:pPr>
      <w:r>
        <w:t xml:space="preserve">Email:</w:t>
      </w:r>
      <w:r>
        <w:t xml:space="preserve"> </w:t>
      </w:r>
      <w:r>
        <w:t xml:space="preserve">Niles@scottpalmerlaw.com</w:t>
      </w:r>
    </w:p>
    <w:p>
      <w:pPr>
        <w:pStyle w:val="TexSingle"/>
        <w:spacing w:before="0" w:after="0" w:line="322" w:lineRule="exact"/>
        <w:ind w:left="4320"/>
      </w:pPr>
      <w:r>
        <w:t xml:space="preserve">Counsel</w:t>
      </w:r>
      <w:r>
        <w:t xml:space="preserve"> </w:t>
      </w:r>
      <w:r>
        <w:t xml:space="preserve">for</w:t>
      </w:r>
      <w:r>
        <w:t xml:space="preserve"> </w:t>
      </w:r>
      <w:r>
        <w:t xml:space="preserve">Appellant</w:t>
      </w:r>
    </w:p>
    <w:p>
      <w:pPr>
        <w:pStyle w:val="TexSingle"/>
        <w:spacing w:before="440" w:after="0" w:line="322" w:lineRule="exact"/>
        <w:jc w:val="center"/>
      </w:pPr>
      <w:r>
        <w:rPr>
          <w:b/>
          <w:bCs/>
        </w:rPr>
        <w:t xml:space="preserve">ORAL ARGUMENT REQUESTED</w:t>
      </w:r>
    </w:p>
    <w:p>
      <w:pPr>
        <w:pStyle w:val="TexSingle"/>
        <w:spacing w:before="0" w:after="0" w:line="322" w:lineRule="exact"/>
        <w:jc w:val="center"/>
      </w:pPr>
      <w:r>
        <w:rPr>
          <w:b/>
          <w:bCs/>
        </w:rPr>
        <w:t xml:space="preserve">ACCELERATED APPEAL</w:t>
      </w:r>
    </w:p>
    <w:p>
      <w:pPr>
        <w:pStyle w:val="TexHead1"/>
        <w:pageBreakBefore/>
        <w:spacing w:before="0" w:after="240" w:line="322" w:lineRule="exact"/>
      </w:pPr>
      <w:r>
        <w:t xml:space="preserve">Table of Contents</w:t>
      </w:r>
    </w:p>
    <w:p>
      <w:pPr>
        <w:pStyle w:val="TexSingle"/>
        <w:keepLines/>
        <w:tabs>
          <w:tab w:val="right" w:leader="dot" w:pos="9360"/>
        </w:tabs>
        <w:spacing w:before="280" w:after="0" w:line="322" w:lineRule="exact"/>
        <w:ind w:left="360" w:right="720" w:hanging="360"/>
      </w:pPr>
      <w:r>
        <w:t xml:space="preserve">Table</w:t>
      </w:r>
      <w:r>
        <w:t xml:space="preserve"> </w:t>
      </w:r>
      <w:r>
        <w:t xml:space="preserve">of</w:t>
      </w:r>
      <w:r>
        <w:t xml:space="preserve"> </w:t>
      </w:r>
      <w:r>
        <w:t xml:space="preserve">Contents</w:t>
      </w:r>
      <w:r>
        <w:t xml:space="preserve">   </w:t>
      </w:r>
      <w:r>
        <w:tab/>
      </w:r>
      <w:r>
        <w:t xml:space="preserve">ii</w:t>
      </w:r>
    </w:p>
    <w:p>
      <w:pPr>
        <w:pStyle w:val="TexSingle"/>
        <w:keepLines/>
        <w:tabs>
          <w:tab w:val="right" w:leader="dot" w:pos="9360"/>
        </w:tabs>
        <w:spacing w:before="280" w:after="0" w:line="322" w:lineRule="exact"/>
        <w:ind w:left="360" w:right="720" w:hanging="360"/>
      </w:pPr>
      <w:r>
        <w:t xml:space="preserve">Index</w:t>
      </w:r>
      <w:r>
        <w:t xml:space="preserve"> </w:t>
      </w:r>
      <w:r>
        <w:t xml:space="preserve">of</w:t>
      </w:r>
      <w:r>
        <w:t xml:space="preserve"> </w:t>
      </w:r>
      <w:r>
        <w:t xml:space="preserve">Authorities</w:t>
      </w:r>
      <w:r>
        <w:t xml:space="preserve">   </w:t>
      </w:r>
      <w:r>
        <w:tab/>
      </w:r>
      <w:r>
        <w:t xml:space="preserve">iii</w:t>
      </w:r>
    </w:p>
    <w:p>
      <w:pPr>
        <w:pStyle w:val="TexSingle"/>
        <w:keepLines/>
        <w:tabs>
          <w:tab w:val="right" w:leader="dot" w:pos="9360"/>
        </w:tabs>
        <w:spacing w:before="280" w:after="0" w:line="322" w:lineRule="exact"/>
        <w:ind w:left="360" w:right="720" w:hanging="360"/>
      </w:pPr>
      <w:r>
        <w:t xml:space="preserve">First</w:t>
      </w:r>
      <w:r>
        <w:t xml:space="preserve"> </w:t>
      </w:r>
      <w:r>
        <w:t xml:space="preserve">Reply</w:t>
      </w:r>
      <w:r>
        <w:t xml:space="preserve"> </w:t>
      </w:r>
      <w:r>
        <w:t xml:space="preserve">Issue</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Second</w:t>
      </w:r>
      <w:r>
        <w:t xml:space="preserve"> </w:t>
      </w:r>
      <w:r>
        <w:t xml:space="preserve">Reply</w:t>
      </w:r>
      <w:r>
        <w:t xml:space="preserve"> </w:t>
      </w:r>
      <w:r>
        <w:t xml:space="preserve">Issue</w:t>
      </w:r>
      <w:r>
        <w:t xml:space="preserve">   </w:t>
      </w:r>
      <w:r>
        <w:tab/>
      </w:r>
      <w:r>
        <w:t xml:space="preserve">3</w:t>
      </w:r>
    </w:p>
    <w:p>
      <w:pPr>
        <w:pStyle w:val="TexSingle"/>
        <w:keepLines/>
        <w:tabs>
          <w:tab w:val="right" w:leader="dot" w:pos="9360"/>
        </w:tabs>
        <w:spacing w:before="280" w:after="0" w:line="322" w:lineRule="exact"/>
        <w:ind w:left="360" w:right="720" w:hanging="360"/>
      </w:pPr>
      <w:r>
        <w:t xml:space="preserve">Conclusion</w:t>
      </w:r>
      <w:r>
        <w:t xml:space="preserve"> </w:t>
      </w:r>
      <w:r>
        <w:t xml:space="preserve">and</w:t>
      </w:r>
      <w:r>
        <w:t xml:space="preserve"> </w:t>
      </w:r>
      <w:r>
        <w:t xml:space="preserve">Prayer</w:t>
      </w:r>
      <w:r>
        <w:t xml:space="preserve">   </w:t>
      </w:r>
      <w:r>
        <w:tab/>
      </w:r>
      <w:r>
        <w:t xml:space="preserve">5</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7</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7</w:t>
      </w:r>
    </w:p>
    <w:p>
      <w:pPr>
        <w:pStyle w:val="TexHead1"/>
        <w:pageBreakBefore/>
        <w:spacing w:before="0" w:after="240" w:line="322" w:lineRule="exact"/>
      </w:pPr>
      <w:r>
        <w:t xml:space="preserve">Index of Authorities</w:t>
      </w:r>
    </w:p>
    <w:p>
      <w:pPr>
        <w:pStyle w:val="TexSingle"/>
        <w:keepNext/>
        <w:keepLines/>
        <w:spacing w:before="440" w:after="160" w:line="322" w:lineRule="exact"/>
      </w:pPr>
      <w:r>
        <w:rPr>
          <w:b/>
          <w:bCs/>
        </w:rPr>
        <w:t xml:space="preserve">CASES</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D.A.D.</w:t>
      </w:r>
      <w:r>
        <w:t xml:space="preserve">, </w:t>
      </w:r>
      <w:r>
        <w:t xml:space="preserve">No.</w:t>
      </w:r>
      <w:r>
        <w:t xml:space="preserve"> </w:t>
      </w:r>
      <w:r>
        <w:t xml:space="preserve">05</w:t>
        <w:noBreakHyphen/>
        <w:t xml:space="preserve">17</w:t>
        <w:noBreakHyphen/>
        <w:t xml:space="preserve">00294-CV,</w:t>
      </w:r>
      <w:r>
        <w:t xml:space="preserve"> </w:t>
      </w:r>
      <w:r>
        <w:t xml:space="preserve">2017</w:t>
      </w:r>
      <w:r>
        <w:t xml:space="preserve"> </w:t>
      </w:r>
      <w:r>
        <w:t xml:space="preserve">Tex.</w:t>
      </w:r>
      <w:r>
        <w:t xml:space="preserve"> </w:t>
      </w:r>
      <w:r>
        <w:t xml:space="preserve">App.</w:t>
      </w:r>
      <w:r>
        <w:t xml:space="preserve"> </w:t>
      </w:r>
      <w:r>
        <w:t xml:space="preserve">LEXIS</w:t>
      </w:r>
      <w:r>
        <w:t xml:space="preserve"> </w:t>
      </w:r>
      <w:r>
        <w:t xml:space="preserve">8603,</w:t>
      </w:r>
      <w:r>
        <w:t xml:space="preserve"> </w:t>
      </w:r>
      <w:r>
        <w:t xml:space="preserve">2017</w:t>
      </w:r>
      <w:r>
        <w:t xml:space="preserve"> </w:t>
      </w:r>
      <w:r>
        <w:t xml:space="preserve">WL</w:t>
      </w:r>
      <w:r>
        <w:t xml:space="preserve"> </w:t>
      </w:r>
      <w:r>
        <w:t xml:space="preserve">3976585</w:t>
      </w:r>
      <w:r>
        <w:t xml:space="preserve"> </w:t>
      </w:r>
      <w:r>
        <w:t xml:space="preserve">(Tex.</w:t>
      </w:r>
      <w:r>
        <w:t xml:space="preserve"> </w:t>
      </w:r>
      <w:r>
        <w:t xml:space="preserve">App.—Dallas</w:t>
      </w:r>
      <w:r>
        <w:t xml:space="preserve"> </w:t>
      </w:r>
      <w:r>
        <w:t xml:space="preserve">Sept.</w:t>
      </w:r>
      <w:r>
        <w:t xml:space="preserve"> </w:t>
      </w:r>
      <w:r>
        <w:t xml:space="preserve">11,</w:t>
      </w:r>
      <w:r>
        <w:t xml:space="preserve"> </w:t>
      </w:r>
      <w:r>
        <w:t xml:space="preserve">2017,</w:t>
      </w:r>
      <w:r>
        <w:t xml:space="preserve"> </w:t>
      </w:r>
      <w:r>
        <w:t xml:space="preserve">pet.</w:t>
      </w:r>
      <w:r>
        <w:t xml:space="preserve"> </w:t>
      </w:r>
      <w:r>
        <w:t xml:space="preserve">denied)</w:t>
      </w:r>
      <w:r>
        <w:t xml:space="preserve"> </w:t>
      </w:r>
      <w:r>
        <w:t xml:space="preserve">(mem.</w:t>
      </w:r>
      <w:r>
        <w:t xml:space="preserve"> </w:t>
      </w:r>
      <w:r>
        <w:t xml:space="preserve">op.)</w:t>
      </w:r>
      <w:r>
        <w:t xml:space="preserve">   </w:t>
      </w:r>
      <w:r>
        <w:tab/>
      </w:r>
      <w:r>
        <w:t xml:space="preserve">1</w:t>
      </w:r>
    </w:p>
    <w:p>
      <w:pPr>
        <w:pStyle w:val="TexSingle"/>
        <w:keepLines/>
        <w:tabs>
          <w:tab w:val="right" w:leader="dot" w:pos="9360"/>
        </w:tabs>
        <w:spacing w:before="160" w:after="0" w:line="322" w:lineRule="exact"/>
        <w:ind w:left="360" w:right="1120" w:hanging="360"/>
      </w:pPr>
      <w:r>
        <w:rPr>
          <w:i/>
          <w:iCs/>
        </w:rPr>
        <w:t xml:space="preserve">Moon</w:t>
      </w:r>
      <w:r>
        <w:rPr>
          <w:i/>
          <w:iCs/>
        </w:rPr>
        <w:t xml:space="preserve"> </w:t>
      </w:r>
      <w:r>
        <w:rPr>
          <w:i/>
          <w:iCs/>
        </w:rPr>
        <w:t xml:space="preserve">v.</w:t>
      </w:r>
      <w:r>
        <w:rPr>
          <w:i/>
          <w:iCs/>
        </w:rPr>
        <w:t xml:space="preserve"> </w:t>
      </w:r>
      <w:r>
        <w:rPr>
          <w:i/>
          <w:iCs/>
        </w:rPr>
        <w:t xml:space="preserve">State</w:t>
      </w:r>
      <w:r>
        <w:t xml:space="preserve">, </w:t>
      </w:r>
      <w:r>
        <w:t xml:space="preserve">451</w:t>
      </w:r>
      <w:r>
        <w:t xml:space="preserve"> </w:t>
      </w:r>
      <w:r>
        <w:t xml:space="preserve">S.W.3d</w:t>
      </w:r>
      <w:r>
        <w:t xml:space="preserve"> </w:t>
      </w:r>
      <w:r>
        <w:t xml:space="preserve">28</w:t>
      </w:r>
      <w:r>
        <w:t xml:space="preserve"> </w:t>
      </w:r>
      <w:r>
        <w:t xml:space="preserve">(Tex.</w:t>
      </w:r>
      <w:r>
        <w:t xml:space="preserve"> </w:t>
      </w:r>
      <w:r>
        <w:t xml:space="preserve">Crim.</w:t>
      </w:r>
      <w:r>
        <w:t xml:space="preserve"> </w:t>
      </w:r>
      <w:r>
        <w:t xml:space="preserve">App.</w:t>
      </w:r>
      <w:r>
        <w:t xml:space="preserve"> </w:t>
      </w:r>
      <w:r>
        <w:t xml:space="preserve">2014)</w:t>
      </w:r>
      <w:r>
        <w:t xml:space="preserve">   </w:t>
      </w:r>
      <w:r>
        <w:tab/>
      </w:r>
      <w:r>
        <w:t xml:space="preserve">1, 2, 3</w:t>
      </w:r>
    </w:p>
    <w:p>
      <w:pPr>
        <w:pStyle w:val="TexSingle"/>
        <w:keepNext/>
        <w:keepLines/>
        <w:spacing w:before="440" w:after="160" w:line="322" w:lineRule="exact"/>
      </w:pPr>
      <w:r>
        <w:rPr>
          <w:b/>
          <w:bCs/>
        </w:rPr>
        <w:t xml:space="preserve">STATUTES</w:t>
      </w:r>
    </w:p>
    <w:p>
      <w:pPr>
        <w:pStyle w:val="TexSingle"/>
        <w:keepLines/>
        <w:tabs>
          <w:tab w:val="right" w:leader="dot" w:pos="9360"/>
        </w:tabs>
        <w:spacing w:before="160" w:after="0" w:line="322" w:lineRule="exact"/>
        <w:ind w:left="360" w:right="1260" w:hanging="360"/>
      </w:pPr>
      <w:r>
        <w:t xml:space="preserve">Tex.</w:t>
      </w:r>
      <w:r>
        <w:t xml:space="preserve"> </w:t>
      </w:r>
      <w:r>
        <w:t xml:space="preserve">Fam.</w:t>
      </w:r>
      <w:r>
        <w:t xml:space="preserve"> </w:t>
      </w:r>
      <w:r>
        <w:t xml:space="preserve">Code</w:t>
      </w:r>
      <w:r>
        <w:t xml:space="preserve"> </w:t>
      </w:r>
      <w:r>
        <w:t xml:space="preserve">§</w:t>
      </w:r>
      <w:r>
        <w:t xml:space="preserve"> </w:t>
      </w:r>
      <w:r>
        <w:t xml:space="preserve">54.02(h)</w:t>
      </w:r>
      <w:r>
        <w:t xml:space="preserve">   </w:t>
      </w:r>
      <w:r>
        <w:tab/>
      </w:r>
      <w:r>
        <w:t xml:space="preserve">1, 2, 3, 4, 5</w:t>
      </w:r>
    </w:p>
    <w:p>
      <w:pPr>
        <w:spacing w:before="0" w:after="0" w:line="20" w:lineRule="exact"/>
        <w:sectPr>
          <w:footerReference w:type="default" r:id="rIdRomanFtr"/>
          <w:footerReference w:type="first" r:id="rIdFtrNone"/>
          <w:pgSz w:w="12240" w:h="15840"/>
          <w:pgMar w:top="1440" w:right="1440" w:bottom="1440" w:left="1440" w:header="720" w:footer="720" w:gutter="0"/>
          <w:pgNumType w:fmt="lowerRoman" w:start="1"/>
          <w:titlePg/>
        </w:sectPr>
      </w:pPr>
    </w:p>
    <w:p>
      <w:pPr>
        <w:pStyle w:val="BodyLead"/>
      </w:pPr>
      <w:r>
        <w:t xml:space="preserve">To the Honorable Justices of the Fifth Court of Appeals:</w:t>
      </w:r>
    </w:p>
    <w:p>
      <w:pPr>
        <w:pStyle w:val="BodyFlush"/>
      </w:pPr>
      <w:r>
        <w:t xml:space="preserve">J.R., Appellant, presents this reply brief.</w:t>
      </w:r>
    </w:p>
    <w:p>
      <w:pPr>
        <w:pStyle w:val="TexHead1"/>
      </w:pPr>
      <w:r>
        <w:t xml:space="preserve">First</w:t>
      </w:r>
      <w:r>
        <w:t xml:space="preserve"> </w:t>
      </w:r>
      <w:r>
        <w:t xml:space="preserve">Reply</w:t>
      </w:r>
      <w:r>
        <w:t xml:space="preserve"> </w:t>
      </w:r>
      <w:r>
        <w:t xml:space="preserve">Issue</w:t>
      </w:r>
    </w:p>
    <w:p>
      <w:pPr>
        <w:pStyle w:val="BodyText"/>
      </w:pPr>
      <w:r>
        <w:t xml:space="preserve">The kernel of the dispute between Appellant and Appellee is whether § 54.02(h) and</w:t>
      </w:r>
      <w:r>
        <w:t xml:space="preserve"> </w:t>
      </w:r>
      <w:r>
        <w:rPr>
          <w:i/>
          <w:iCs/>
        </w:rPr>
        <w:t xml:space="preserve">Moon</w:t>
      </w:r>
      <w:r>
        <w:t xml:space="preserve"> </w:t>
      </w:r>
      <w:r>
        <w:t xml:space="preserve">require the Juvenile Court to consider both the evidence in favor of waiver of jurisdiction and the evidence against waiver of jurisdiction. The answer is uncomplicated, but requires consideration of the standard of review for factual sufficiency in a civil case.</w:t>
      </w:r>
    </w:p>
    <w:p>
      <w:pPr>
        <w:pStyle w:val="BodyText"/>
      </w:pPr>
      <w:r>
        <w:t xml:space="preserve">In a civil case, this Court reviews the factual sufficiency of the evidence under the following standard: “When reviewing the factual sufficiency of the evidence, we consider all of the evidence presented to determine if the Juvenile Court’s findings are so against the great weight and preponderance of the evidence as to be clearly wrong and unjust. But, our review of the sufficiency of the evidence supporting waiver is limited to the facts the Juvenile Court expressly relied on in its transfer order.” (internal citations removed).</w:t>
      </w:r>
      <w:r>
        <w:t xml:space="preserve"> </w:t>
      </w:r>
      <w:r>
        <w:rPr>
          <w:i/>
          <w:iCs/>
        </w:rPr>
        <w:t xml:space="preserve">In re D.A.D.</w:t>
      </w:r>
      <w:r>
        <w:t xml:space="preserve">, No. 05</w:t>
      </w:r>
      <w:r>
        <w:noBreakHyphen/>
      </w:r>
      <w:r>
        <w:t xml:space="preserve">17</w:t>
      </w:r>
      <w:r>
        <w:noBreakHyphen/>
      </w:r>
      <w:r>
        <w:t xml:space="preserve">00294-CV, 2017 Tex. App. LEXIS 8603, 2017 WL 3976585, at *3 (Tex. App.—Dallas Sept. 11, 2017, pet. denied) (mem. op.) (citing</w:t>
      </w:r>
      <w:r>
        <w:t xml:space="preserve"> </w:t>
      </w:r>
      <w:r>
        <w:rPr>
          <w:i/>
          <w:iCs/>
        </w:rPr>
        <w:t xml:space="preserve">Moon v. State</w:t>
      </w:r>
      <w:r>
        <w:t xml:space="preserve">, 451 S.W.3d 28, 50 (Tex. Crim. App. 2014)).</w:t>
      </w:r>
    </w:p>
    <w:p>
      <w:pPr>
        <w:pStyle w:val="BodyText"/>
      </w:pPr>
      <w:r>
        <w:t xml:space="preserve">Thus a factual sufficiency review requires a consideration of “all of the evidence presented,” but is limited to “the facts the Juvenile Court expressly relied on for its transfer order.”</w:t>
      </w:r>
      <w:r>
        <w:t xml:space="preserve"> </w:t>
      </w:r>
      <w:r>
        <w:rPr>
          <w:i/>
          <w:iCs/>
        </w:rPr>
        <w:t xml:space="preserve">Id.</w:t>
      </w:r>
      <w:r>
        <w:t xml:space="preserve"> </w:t>
      </w:r>
      <w:r>
        <w:t xml:space="preserve">To honor both requirements necessitates that the Juvenile Court include a deliberation of the factors that weigh in favor and against certification in the Court’s § 54.02(h) order. If the Juvenile Court does not include the factors that weigh against the certification in the § 54.02(h) order, then the factors that weigh against the certification cannot be considered in a factual sufficiency review.</w:t>
      </w:r>
      <w:r>
        <w:t xml:space="preserve"> </w:t>
      </w:r>
      <w:r>
        <w:rPr>
          <w:i/>
          <w:iCs/>
        </w:rPr>
        <w:t xml:space="preserve">Id.</w:t>
      </w:r>
      <w:r>
        <w:t xml:space="preserve">;</w:t>
      </w:r>
      <w:r>
        <w:t xml:space="preserve"> </w:t>
      </w:r>
      <w:r>
        <w:rPr>
          <w:i/>
          <w:iCs/>
        </w:rPr>
        <w:t xml:space="preserve">Moon v. State</w:t>
      </w:r>
      <w:r>
        <w:t xml:space="preserve">, 451 S.W.3d 28, 50 (Tex. Crim. App. 2014). If the Juvenile Court was not required to include the factors that weighed against certification, and if this Court cannot now review those factors, then there is no meaningful distinction between a factual sufficiency review and a legal sufficiency review.</w:t>
      </w:r>
    </w:p>
    <w:p>
      <w:pPr>
        <w:pStyle w:val="BodyText"/>
      </w:pPr>
      <w:r>
        <w:t xml:space="preserve">Here the trial court did not include any factors that weighed against certification in its opinion.</w:t>
      </w:r>
    </w:p>
    <w:p>
      <w:pPr>
        <w:pStyle w:val="BodyText"/>
      </w:pPr>
      <w:r>
        <w:t xml:space="preserve">At the best, the Juvenile Court’s order included the boilerplate promise that the Court made its decision after “considering all the testimony, diagnostic study, social evaluation, and full investigation.” [CR 97</w:t>
      </w:r>
      <w:r>
        <w:noBreakHyphen/>
      </w:r>
      <w:r>
        <w:t xml:space="preserve">98]. But this indifferent assurance should not substitute for a deliberate consideration of all of the factors that weigh in favor and against certification. Indeed, in</w:t>
      </w:r>
      <w:r>
        <w:t xml:space="preserve"> </w:t>
      </w:r>
      <w:r>
        <w:rPr>
          <w:i/>
          <w:iCs/>
        </w:rPr>
        <w:t xml:space="preserve">Moon</w:t>
      </w:r>
      <w:r>
        <w:t xml:space="preserve">, the Court wrote, “[t]he appellate court should not be made to rummage through the record for facts that the Juvenile Court might have found, given the evidence developed at the transfer hearing, but did not include in its written transfer order.” (emphasis original).</w:t>
      </w:r>
      <w:r>
        <w:t xml:space="preserve"> </w:t>
      </w:r>
      <w:r>
        <w:rPr>
          <w:i/>
          <w:iCs/>
        </w:rPr>
        <w:t xml:space="preserve">Moon</w:t>
      </w:r>
      <w:r>
        <w:t xml:space="preserve">, 451 S.W.3d at 50. By using the boilerplate promise that the Juvenile Court reached its decision after “considering all the testimony, diagnostic study, social evaluation, and full investigation,” the Juvenile Court disregarded</w:t>
      </w:r>
      <w:r>
        <w:t xml:space="preserve"> </w:t>
      </w:r>
      <w:r>
        <w:rPr>
          <w:i/>
          <w:iCs/>
        </w:rPr>
        <w:t xml:space="preserve">Moon</w:t>
      </w:r>
      <w:r>
        <w:t xml:space="preserve">’s express instruction against requiring the appellate court to “rummage through the record for facts that the Juvenile Court might have found…”</w:t>
      </w:r>
      <w:r>
        <w:t xml:space="preserve"> </w:t>
      </w:r>
      <w:r>
        <w:rPr>
          <w:i/>
          <w:iCs/>
        </w:rPr>
        <w:t xml:space="preserve">Id.</w:t>
      </w:r>
    </w:p>
    <w:p>
      <w:pPr>
        <w:pStyle w:val="BodyText"/>
      </w:pPr>
      <w:r>
        <w:t xml:space="preserve">For these reasons, the § 54.02(h) order must include the factors that weigh against certification. Here the order did not include the factors that weight against certification and therefore was deficient.</w:t>
      </w:r>
    </w:p>
    <w:p>
      <w:pPr>
        <w:pStyle w:val="TexHead1"/>
      </w:pPr>
      <w:r>
        <w:t xml:space="preserve">Second</w:t>
      </w:r>
      <w:r>
        <w:t xml:space="preserve"> </w:t>
      </w:r>
      <w:r>
        <w:t xml:space="preserve">Reply</w:t>
      </w:r>
      <w:r>
        <w:t xml:space="preserve"> </w:t>
      </w:r>
      <w:r>
        <w:t xml:space="preserve">Issue</w:t>
      </w:r>
    </w:p>
    <w:p>
      <w:pPr>
        <w:pStyle w:val="BodyText"/>
      </w:pPr>
      <w:r>
        <w:t xml:space="preserve">As a preliminary matter it is unsettled whether this Court can look to the record as a whole for evidence that would weigh against certification.</w:t>
      </w:r>
      <w:r>
        <w:t xml:space="preserve"> </w:t>
      </w:r>
      <w:r>
        <w:rPr>
          <w:i/>
          <w:iCs/>
        </w:rPr>
        <w:t xml:space="preserve">Moon</w:t>
      </w:r>
      <w:r>
        <w:t xml:space="preserve"> </w:t>
      </w:r>
      <w:r>
        <w:t xml:space="preserve">was clear that the review should be limited to the face of the § 54.02(h) order.</w:t>
      </w:r>
      <w:r>
        <w:t xml:space="preserve"> </w:t>
      </w:r>
      <w:r>
        <w:rPr>
          <w:i/>
          <w:iCs/>
        </w:rPr>
        <w:t xml:space="preserve">Id.</w:t>
      </w:r>
      <w:r>
        <w:t xml:space="preserve"> </w:t>
      </w:r>
      <w:r>
        <w:t xml:space="preserve">at 49</w:t>
      </w:r>
      <w:r>
        <w:noBreakHyphen/>
      </w:r>
      <w:r>
        <w:t xml:space="preserve">50.</w:t>
      </w:r>
    </w:p>
    <w:p>
      <w:pPr>
        <w:pStyle w:val="BodyText"/>
      </w:pPr>
      <w:r>
        <w:t xml:space="preserve">The problem for this Court, however, is that the § 54.02(h) order is deficient. The deficient order flagrantly leaves out all of the evidence that weighed against certification. And</w:t>
      </w:r>
      <w:r>
        <w:t xml:space="preserve"> </w:t>
      </w:r>
      <w:r>
        <w:rPr>
          <w:i/>
          <w:iCs/>
        </w:rPr>
        <w:t xml:space="preserve">Moon</w:t>
      </w:r>
      <w:r>
        <w:t xml:space="preserve"> </w:t>
      </w:r>
      <w:r>
        <w:t xml:space="preserve">limits a sufficiency review to the text of the § 54.02(h) order. If the Court relies on the boilerplate promise that the Juvenile Court reached its decision after “considering all the testimony, diagnostic study, social evaluation, and full investigation,” then the Juvenile Court disregarded</w:t>
      </w:r>
      <w:r>
        <w:t xml:space="preserve"> </w:t>
      </w:r>
      <w:r>
        <w:rPr>
          <w:i/>
          <w:iCs/>
        </w:rPr>
        <w:t xml:space="preserve">Moon</w:t>
      </w:r>
      <w:r>
        <w:t xml:space="preserve">’s express instruction against requiring the appellate court to “rummage through the record for facts that the Juvenile Court might have found…”</w:t>
      </w:r>
      <w:r>
        <w:t xml:space="preserve"> </w:t>
      </w:r>
      <w:r>
        <w:rPr>
          <w:i/>
          <w:iCs/>
        </w:rPr>
        <w:t xml:space="preserve">Id.</w:t>
      </w:r>
    </w:p>
    <w:p>
      <w:pPr>
        <w:pStyle w:val="BodyText"/>
      </w:pPr>
      <w:r>
        <w:t xml:space="preserve">But if this Court finds that it can rummage through the record, then the record overwhelmingly supports the conclusion that Appellant should not have been certified.</w:t>
      </w:r>
    </w:p>
    <w:p>
      <w:pPr>
        <w:pStyle w:val="BodyText"/>
      </w:pPr>
      <w:r>
        <w:t xml:space="preserve">Appellee discounts the evidence that supported the conclusion that Appellant should not have been certified as an adult. But Appellee’s arguments concerning [the appellant’s intellectual, medical, and conduct history, omitted from this transcription] all strongly weighed against a finding that Appellant should be certified as an adult. Indeed the social evaluation (if this Court can consider evidence in the record that is outside of the § 54.02(h) order) found that Appellant “has not demonstrated the ability to live independently of adult supervision” and “is reliant on his mother and grandparents for his basic needs.” All of these factors support a conclusion that Appellant should not have been certified as an adult.</w:t>
      </w:r>
    </w:p>
    <w:p>
      <w:pPr>
        <w:pStyle w:val="BodyText"/>
      </w:pPr>
      <w:r>
        <w:t xml:space="preserve">Here, when this Court considers all of the evidence, the evidence conclusively shows a teenaged young man [whose medical history is omitted from this transcription], and with a lack of maturity and sophistication that manifest itself in a lack of impulse control and poor decision-making faculties. But the evidence also established that when J.R. is not given choices and his environment is structured for him that he makes very good decisions and excels. This is the mark of a lack of maturity and sophistication, but the trial court found that J.R. is “excessively” sophisticated and mature. The evidence is factually insufficient to support this finding.</w:t>
      </w:r>
    </w:p>
    <w:p>
      <w:pPr>
        <w:pStyle w:val="BodyText"/>
      </w:pPr>
      <w:r>
        <w:t xml:space="preserve">Finally, the trial court abused its discretion by finding that the sophistication prong supported a finding that the Juvenile Court should waive its jurisdiction. Arguably, the sophistication prong is the most important prong and the factor that most distinguishes a criminal act by a juvenile and a criminal act by an adult. By misapplying the factor, the Juvenile Court abused its discretion and reversal is warranted.</w:t>
      </w:r>
    </w:p>
    <w:p>
      <w:pPr>
        <w:pStyle w:val="TexHead1"/>
      </w:pPr>
      <w:r>
        <w:t xml:space="preserve">Conclusion</w:t>
      </w:r>
      <w:r>
        <w:t xml:space="preserve"> </w:t>
      </w:r>
      <w:r>
        <w:t xml:space="preserve">and</w:t>
      </w:r>
      <w:r>
        <w:t xml:space="preserve"> </w:t>
      </w:r>
      <w:r>
        <w:t xml:space="preserve">Prayer</w:t>
      </w:r>
    </w:p>
    <w:p>
      <w:pPr>
        <w:pStyle w:val="BodyFlushLead"/>
      </w:pPr>
      <w:r>
        <w:t xml:space="preserve">J.R. asks this Court to:</w:t>
      </w:r>
    </w:p>
    <w:p>
      <w:pPr>
        <w:pStyle w:val="ListItem"/>
      </w:pPr>
      <w:r>
        <w:t xml:space="preserve">•</w:t>
      </w:r>
      <w:r>
        <w:tab/>
      </w:r>
      <w:r>
        <w:t xml:space="preserve">Find that the trial court abused its discretion and failed to honor either § 54.02 or</w:t>
      </w:r>
      <w:r>
        <w:t xml:space="preserve"> </w:t>
      </w:r>
      <w:r>
        <w:rPr>
          <w:i/>
          <w:iCs/>
        </w:rPr>
        <w:t xml:space="preserve">Moon</w:t>
      </w:r>
      <w:r>
        <w:t xml:space="preserve"> </w:t>
      </w:r>
      <w:r>
        <w:t xml:space="preserve">and their requirement that the Juvenile Court explain its deliberative process in a § 54.02(h) opinion;</w:t>
      </w:r>
    </w:p>
    <w:p>
      <w:pPr>
        <w:pStyle w:val="ListItem"/>
      </w:pPr>
      <w:r>
        <w:t xml:space="preserve">•</w:t>
      </w:r>
      <w:r>
        <w:tab/>
      </w:r>
      <w:r>
        <w:t xml:space="preserve">Find that the evidence was factually insufficient to support the findings that J.R. was sufficiently mature and sophisticated to certify and that the trial court abused its discretion in certifying J.R.;</w:t>
      </w:r>
    </w:p>
    <w:p>
      <w:pPr>
        <w:pStyle w:val="ListItem"/>
      </w:pPr>
      <w:r>
        <w:t xml:space="preserve">•</w:t>
      </w:r>
      <w:r>
        <w:tab/>
      </w:r>
      <w:r>
        <w:t xml:space="preserve">Vacate the certification order; and,</w:t>
      </w:r>
    </w:p>
    <w:p>
      <w:pPr>
        <w:pStyle w:val="ListItem"/>
        <w:keepNext/>
        <w:keepLines/>
      </w:pPr>
      <w:r>
        <w:t xml:space="preserve">•</w:t>
      </w:r>
      <w:r>
        <w:tab/>
      </w:r>
      <w:r>
        <w:t xml:space="preserve">Any</w:t>
      </w:r>
      <w:r>
        <w:t xml:space="preserve"> </w:t>
      </w:r>
      <w:r>
        <w:t xml:space="preserve">and</w:t>
      </w:r>
      <w:r>
        <w:t xml:space="preserve"> </w:t>
      </w:r>
      <w:r>
        <w:t xml:space="preserve">all</w:t>
      </w:r>
      <w:r>
        <w:t xml:space="preserve"> </w:t>
      </w:r>
      <w:r>
        <w:t xml:space="preserve">other</w:t>
      </w:r>
      <w:r>
        <w:t xml:space="preserve"> </w:t>
      </w:r>
      <w:r>
        <w:t xml:space="preserve">relief</w:t>
      </w:r>
      <w:r>
        <w:t xml:space="preserve"> </w:t>
      </w:r>
      <w:r>
        <w:t xml:space="preserve">to</w:t>
      </w:r>
      <w:r>
        <w:t xml:space="preserve"> </w:t>
      </w:r>
      <w:r>
        <w:t xml:space="preserve">which</w:t>
      </w:r>
      <w:r>
        <w:t xml:space="preserve"> </w:t>
      </w:r>
      <w:r>
        <w:t xml:space="preserve">Appellant</w:t>
      </w:r>
      <w:r>
        <w:t xml:space="preserve"> </w:t>
      </w:r>
      <w:r>
        <w:t xml:space="preserve">might</w:t>
      </w:r>
      <w:r>
        <w:t xml:space="preserve"> </w:t>
      </w:r>
      <w:r>
        <w:t xml:space="preserve">be</w:t>
      </w:r>
      <w:r>
        <w:t xml:space="preserve"> </w:t>
      </w:r>
      <w:r>
        <w:t xml:space="preserve">entitled.</w:t>
      </w:r>
    </w:p>
    <w:p>
      <w:pPr>
        <w:pStyle w:val="TexSingle"/>
        <w:keepNext/>
        <w:keepLines/>
        <w:spacing w:before="440" w:after="0" w:line="322" w:lineRule="exact"/>
        <w:ind w:left="4320"/>
      </w:pPr>
      <w:r>
        <w:t xml:space="preserve">Respectfully</w:t>
      </w:r>
      <w:r>
        <w:t xml:space="preserve"> </w:t>
      </w:r>
      <w:r>
        <w:t xml:space="preserve">submitted,</w:t>
      </w:r>
    </w:p>
    <w:p>
      <w:pPr>
        <w:pStyle w:val="TexSingle"/>
        <w:keepNext/>
        <w:keepLines/>
        <w:spacing w:before="0" w:after="0" w:line="322" w:lineRule="exact"/>
        <w:ind w:left="4320"/>
      </w:pPr>
    </w:p>
    <w:p>
      <w:pPr>
        <w:pStyle w:val="TexSingle"/>
        <w:keepNext/>
        <w:keepLines/>
        <w:spacing w:before="0" w:after="0" w:line="322" w:lineRule="exact"/>
        <w:ind w:left="4320"/>
      </w:pPr>
      <w:r>
        <w:t xml:space="preserve">Scott</w:t>
      </w:r>
      <w:r>
        <w:t xml:space="preserve"> </w:t>
      </w:r>
      <w:r>
        <w:t xml:space="preserve">H.</w:t>
      </w:r>
      <w:r>
        <w:t xml:space="preserve"> </w:t>
      </w:r>
      <w:r>
        <w:t xml:space="preserve">Palmer,</w:t>
      </w:r>
      <w:r>
        <w:t xml:space="preserve"> </w:t>
      </w:r>
      <w:r>
        <w:t xml:space="preserve">P.C.</w:t>
      </w:r>
    </w:p>
    <w:p>
      <w:pPr>
        <w:pStyle w:val="TexSingle"/>
        <w:keepNext/>
        <w:keepLines/>
        <w:spacing w:before="0" w:after="0" w:line="322" w:lineRule="exact"/>
        <w:ind w:left="4320"/>
      </w:pPr>
    </w:p>
    <w:p>
      <w:pPr>
        <w:pStyle w:val="TexSingle"/>
        <w:keepNext/>
        <w:keepLines/>
        <w:spacing w:before="0" w:after="0" w:line="322" w:lineRule="exact"/>
        <w:ind w:left="4320"/>
      </w:pPr>
      <w:r>
        <w:t xml:space="preserve">/​s/</w:t>
      </w:r>
      <w:r>
        <w:t xml:space="preserve"> </w:t>
      </w:r>
      <w:r>
        <w:t xml:space="preserve">Niles</w:t>
      </w:r>
      <w:r>
        <w:t xml:space="preserve"> </w:t>
      </w:r>
      <w:r>
        <w:t xml:space="preserve">Illich</w:t>
      </w:r>
    </w:p>
    <w:p>
      <w:pPr>
        <w:pStyle w:val="TexSingle"/>
        <w:keepNext/>
        <w:keepLines/>
        <w:spacing w:before="0" w:after="0" w:line="322" w:lineRule="exact"/>
        <w:ind w:left="4320"/>
      </w:pPr>
      <w:r>
        <w:t xml:space="preserve">Niles</w:t>
      </w:r>
      <w:r>
        <w:t xml:space="preserve"> </w:t>
      </w:r>
      <w:r>
        <w:t xml:space="preserve">Illich</w:t>
      </w:r>
    </w:p>
    <w:p>
      <w:pPr>
        <w:pStyle w:val="TexSingle"/>
        <w:keepNext/>
        <w:keepLines/>
        <w:spacing w:before="0" w:after="0" w:line="322" w:lineRule="exact"/>
        <w:ind w:left="4320"/>
      </w:pPr>
      <w:r>
        <w:t xml:space="preserve">State</w:t>
      </w:r>
      <w:r>
        <w:t xml:space="preserve"> </w:t>
      </w:r>
      <w:r>
        <w:t xml:space="preserve">Bar</w:t>
      </w:r>
      <w:r>
        <w:t xml:space="preserve"> </w:t>
      </w:r>
      <w:r>
        <w:t xml:space="preserve">No.</w:t>
      </w:r>
      <w:r>
        <w:t xml:space="preserve"> </w:t>
      </w:r>
      <w:r>
        <w:t xml:space="preserve">24069969</w:t>
      </w:r>
    </w:p>
    <w:p>
      <w:pPr>
        <w:pStyle w:val="TexSingle"/>
        <w:keepNext/>
        <w:keepLines/>
        <w:spacing w:before="0" w:after="0" w:line="322" w:lineRule="exact"/>
        <w:ind w:left="4320"/>
      </w:pPr>
    </w:p>
    <w:p>
      <w:pPr>
        <w:pStyle w:val="TexSingle"/>
        <w:keepNext/>
        <w:keepLines/>
        <w:spacing w:before="0" w:after="0" w:line="322" w:lineRule="exact"/>
        <w:ind w:left="4320"/>
      </w:pPr>
      <w:r>
        <w:t xml:space="preserve">/​s/</w:t>
      </w:r>
      <w:r>
        <w:t xml:space="preserve"> </w:t>
      </w:r>
      <w:r>
        <w:t xml:space="preserve">Rebekah</w:t>
      </w:r>
      <w:r>
        <w:t xml:space="preserve"> </w:t>
      </w:r>
      <w:r>
        <w:t xml:space="preserve">Perlstein</w:t>
      </w:r>
    </w:p>
    <w:p>
      <w:pPr>
        <w:pStyle w:val="TexSingle"/>
        <w:keepNext/>
        <w:keepLines/>
        <w:spacing w:before="0" w:after="0" w:line="322" w:lineRule="exact"/>
        <w:ind w:left="4320"/>
      </w:pPr>
      <w:r>
        <w:t xml:space="preserve">Rebekah</w:t>
      </w:r>
      <w:r>
        <w:t xml:space="preserve"> </w:t>
      </w:r>
      <w:r>
        <w:t xml:space="preserve">Perlstein</w:t>
      </w:r>
    </w:p>
    <w:p>
      <w:pPr>
        <w:pStyle w:val="TexSingle"/>
        <w:keepNext/>
        <w:keepLines/>
        <w:spacing w:before="0" w:after="0" w:line="322" w:lineRule="exact"/>
        <w:ind w:left="4320"/>
      </w:pPr>
      <w:r>
        <w:t xml:space="preserve">State</w:t>
      </w:r>
      <w:r>
        <w:t xml:space="preserve"> </w:t>
      </w:r>
      <w:r>
        <w:t xml:space="preserve">Bar</w:t>
      </w:r>
      <w:r>
        <w:t xml:space="preserve"> </w:t>
      </w:r>
      <w:r>
        <w:t xml:space="preserve">No.</w:t>
      </w:r>
      <w:r>
        <w:t xml:space="preserve"> </w:t>
      </w:r>
      <w:r>
        <w:t xml:space="preserve">24073080</w:t>
      </w:r>
    </w:p>
    <w:p>
      <w:pPr>
        <w:pStyle w:val="TexSingle"/>
        <w:keepNext/>
        <w:keepLines/>
        <w:spacing w:before="0" w:after="0" w:line="322" w:lineRule="exact"/>
        <w:ind w:left="4320"/>
      </w:pPr>
    </w:p>
    <w:p>
      <w:pPr>
        <w:pStyle w:val="TexSingle"/>
        <w:keepNext/>
        <w:keepLines/>
        <w:spacing w:before="0" w:after="0" w:line="322" w:lineRule="exact"/>
        <w:ind w:left="4320"/>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keepNext/>
        <w:keepLines/>
        <w:spacing w:before="0" w:after="0" w:line="322" w:lineRule="exact"/>
        <w:ind w:left="4320"/>
      </w:pPr>
      <w:r>
        <w:t xml:space="preserve">Addison,</w:t>
      </w:r>
      <w:r>
        <w:t xml:space="preserve"> </w:t>
      </w:r>
      <w:r>
        <w:t xml:space="preserve">Texas</w:t>
      </w:r>
      <w:r>
        <w:t xml:space="preserve"> </w:t>
      </w:r>
      <w:r>
        <w:t xml:space="preserve">75001</w:t>
      </w:r>
    </w:p>
    <w:p>
      <w:pPr>
        <w:pStyle w:val="TexSingle"/>
        <w:keepNext/>
        <w:keepLines/>
        <w:spacing w:before="0" w:after="0" w:line="322" w:lineRule="exact"/>
        <w:ind w:left="4320"/>
      </w:pPr>
      <w:r>
        <w:t xml:space="preserve">Direct:</w:t>
      </w:r>
      <w:r>
        <w:t xml:space="preserve"> </w:t>
      </w:r>
      <w:r>
        <w:t xml:space="preserve">(972)</w:t>
      </w:r>
      <w:r>
        <w:t xml:space="preserve"> </w:t>
      </w:r>
      <w:r>
        <w:t xml:space="preserve">204</w:t>
        <w:noBreakHyphen/>
        <w:t xml:space="preserve">5452</w:t>
      </w:r>
    </w:p>
    <w:p>
      <w:pPr>
        <w:pStyle w:val="TexSingle"/>
        <w:keepNext/>
        <w:keepLines/>
        <w:spacing w:before="0" w:after="0" w:line="322" w:lineRule="exact"/>
        <w:ind w:left="4320"/>
      </w:pPr>
      <w:r>
        <w:t xml:space="preserve">Email:</w:t>
      </w:r>
      <w:r>
        <w:t xml:space="preserve"> </w:t>
      </w:r>
      <w:r>
        <w:t xml:space="preserve">Niles@scottpalmerlaw.com</w:t>
      </w:r>
    </w:p>
    <w:p>
      <w:pPr>
        <w:pStyle w:val="TexSingle"/>
        <w:keepLines/>
        <w:spacing w:before="0" w:after="0" w:line="322" w:lineRule="exact"/>
        <w:ind w:left="4320"/>
      </w:pPr>
      <w:r>
        <w:t xml:space="preserve">Counsel</w:t>
      </w:r>
      <w:r>
        <w:t xml:space="preserve"> </w:t>
      </w:r>
      <w:r>
        <w:t xml:space="preserve">for</w:t>
      </w:r>
      <w:r>
        <w:t xml:space="preserve"> </w:t>
      </w:r>
      <w:r>
        <w:t xml:space="preserve">Appellant</w:t>
      </w:r>
    </w:p>
    <w:p>
      <w:pPr>
        <w:pStyle w:val="TexHead1"/>
      </w:pPr>
      <w:r>
        <w:t xml:space="preserve">Certificate</w:t>
      </w:r>
      <w:r>
        <w:t xml:space="preserve"> </w:t>
      </w:r>
      <w:r>
        <w:t xml:space="preserve">of</w:t>
      </w:r>
      <w:r>
        <w:t xml:space="preserve"> </w:t>
      </w:r>
      <w:r>
        <w:t xml:space="preserve">Compliance</w:t>
      </w:r>
    </w:p>
    <w:p>
      <w:pPr>
        <w:pStyle w:val="BodyText"/>
        <w:keepNext/>
        <w:keepLines/>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w:t>
      </w:r>
      <w:r>
        <w:t xml:space="preserve"> </w:t>
      </w:r>
      <w:r>
        <w:t xml:space="preserve">9.4</w:t>
      </w:r>
      <w:r>
        <w:t xml:space="preserve"> </w:t>
      </w:r>
      <w:r>
        <w:t xml:space="preserve">of</w:t>
      </w:r>
      <w:r>
        <w:t xml:space="preserve"> </w:t>
      </w:r>
      <w:r>
        <w:t xml:space="preserve">the</w:t>
      </w:r>
      <w:r>
        <w:t xml:space="preserve"> </w:t>
      </w:r>
      <w:r>
        <w:t xml:space="preserve">Texas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because</w:t>
      </w:r>
      <w:r>
        <w:t xml:space="preserve"> </w:t>
      </w:r>
      <w:r>
        <w:t xml:space="preserve">it</w:t>
      </w:r>
      <w:r>
        <w:t xml:space="preserve"> </w:t>
      </w:r>
      <w:r>
        <w:t xml:space="preserve">is</w:t>
      </w:r>
      <w:r>
        <w:t xml:space="preserve"> </w:t>
      </w:r>
      <w:r>
        <w:t xml:space="preserve">computer</w:t>
      </w:r>
      <w:r>
        <w:t xml:space="preserve"> </w:t>
      </w:r>
      <w:r>
        <w:t xml:space="preserve">generated</w:t>
      </w:r>
      <w:r>
        <w:t xml:space="preserve"> </w:t>
      </w:r>
      <w:r>
        <w:t xml:space="preserve">and</w:t>
      </w:r>
      <w:r>
        <w:t xml:space="preserve"> </w:t>
      </w:r>
      <w:r>
        <w:t xml:space="preserve">contains</w:t>
      </w:r>
      <w:r>
        <w:t xml:space="preserve"> </w:t>
      </w:r>
      <w:r>
        <w:t xml:space="preserve">1077</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Rule</w:t>
      </w:r>
      <w:r>
        <w:t xml:space="preserve"> </w:t>
      </w:r>
      <w:r>
        <w:t xml:space="preserve">9.4(i)⁠(1).</w:t>
      </w:r>
      <w:r>
        <w:t xml:space="preserve"> </w:t>
      </w:r>
      <w:r>
        <w:t xml:space="preserve">This</w:t>
      </w:r>
      <w:r>
        <w:t xml:space="preserve"> </w:t>
      </w:r>
      <w:r>
        <w:t xml:space="preserve">brief</w:t>
      </w:r>
      <w:r>
        <w:t xml:space="preserve"> </w:t>
      </w:r>
      <w:r>
        <w:t xml:space="preserve">also</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Rule</w:t>
      </w:r>
      <w:r>
        <w:t xml:space="preserve"> </w:t>
      </w:r>
      <w:r>
        <w:t xml:space="preserve">9.4(e)</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conventional</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for</w:t>
      </w:r>
      <w:r>
        <w:t xml:space="preserve"> </w:t>
      </w:r>
      <w:r>
        <w:t xml:space="preserve">the</w:t>
      </w:r>
      <w:r>
        <w:t xml:space="preserve"> </w:t>
      </w:r>
      <w:r>
        <w:t xml:space="preserve">text</w:t>
      </w:r>
      <w:r>
        <w:t xml:space="preserve"> </w:t>
      </w:r>
      <w:r>
        <w:t xml:space="preserve">and</w:t>
      </w:r>
      <w:r>
        <w:t xml:space="preserve"> </w:t>
      </w:r>
      <w:r>
        <w:t xml:space="preserve">12</w:t>
      </w:r>
      <w:r>
        <w:t xml:space="preserve"> </w:t>
      </w:r>
      <w:r>
        <w:t xml:space="preserve">points</w:t>
      </w:r>
      <w:r>
        <w:t xml:space="preserve"> </w:t>
      </w:r>
      <w:r>
        <w:t xml:space="preserve">for</w:t>
      </w:r>
      <w:r>
        <w:t xml:space="preserve"> </w:t>
      </w:r>
      <w:r>
        <w:t xml:space="preserve">the</w:t>
      </w:r>
      <w:r>
        <w:t xml:space="preserve"> </w:t>
      </w:r>
      <w:r>
        <w:t xml:space="preserve">footnotes.</w:t>
      </w:r>
    </w:p>
    <w:p>
      <w:pPr>
        <w:pStyle w:val="TexSingle"/>
        <w:keepNext/>
        <w:keepLines/>
        <w:spacing w:before="440" w:after="0" w:line="322" w:lineRule="exact"/>
        <w:ind w:left="4320"/>
      </w:pPr>
      <w:r>
        <w:t xml:space="preserve">/​s/</w:t>
      </w:r>
      <w:r>
        <w:t xml:space="preserve"> </w:t>
      </w:r>
      <w:r>
        <w:t xml:space="preserve">Niles</w:t>
      </w:r>
      <w:r>
        <w:t xml:space="preserve"> </w:t>
      </w:r>
      <w:r>
        <w:t xml:space="preserve">Illich</w:t>
      </w:r>
    </w:p>
    <w:p>
      <w:pPr>
        <w:pStyle w:val="TexSingle"/>
        <w:keepLines/>
        <w:spacing w:before="0" w:after="0" w:line="322" w:lineRule="exact"/>
        <w:ind w:left="4320"/>
      </w:pPr>
      <w:r>
        <w:t xml:space="preserve">Niles</w:t>
      </w:r>
      <w:r>
        <w:t xml:space="preserve"> </w:t>
      </w:r>
      <w:r>
        <w:t xml:space="preserve">Illich</w:t>
      </w:r>
    </w:p>
    <w:p>
      <w:pPr>
        <w:pStyle w:val="TexHead1"/>
      </w:pPr>
      <w:r>
        <w:t xml:space="preserve">Certificate</w:t>
      </w:r>
      <w:r>
        <w:t xml:space="preserve"> </w:t>
      </w:r>
      <w:r>
        <w:t xml:space="preserve">of</w:t>
      </w:r>
      <w:r>
        <w:t xml:space="preserve"> </w:t>
      </w:r>
      <w:r>
        <w:t xml:space="preserve">Service</w:t>
      </w:r>
    </w:p>
    <w:p>
      <w:pPr>
        <w:pStyle w:val="BodyText"/>
        <w:keepNext/>
        <w:keepLines/>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12,</w:t>
      </w:r>
      <w:r>
        <w:t xml:space="preserve"> </w:t>
      </w:r>
      <w:r>
        <w:t xml:space="preserve">2021</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was</w:t>
      </w:r>
      <w:r>
        <w:t xml:space="preserve"> </w:t>
      </w:r>
      <w:r>
        <w:t xml:space="preserve">served</w:t>
      </w:r>
      <w:r>
        <w:t xml:space="preserve"> </w:t>
      </w:r>
      <w:r>
        <w:t xml:space="preserve">on</w:t>
      </w:r>
      <w:r>
        <w:t xml:space="preserve"> </w:t>
      </w:r>
      <w:r>
        <w:t xml:space="preserve">lead</w:t>
      </w:r>
      <w:r>
        <w:t xml:space="preserve"> </w:t>
      </w:r>
      <w:r>
        <w:t xml:space="preserve">counsel</w:t>
      </w:r>
      <w:r>
        <w:t xml:space="preserve"> </w:t>
      </w:r>
      <w:r>
        <w:t xml:space="preserve">for</w:t>
      </w:r>
      <w:r>
        <w:t xml:space="preserve"> </w:t>
      </w:r>
      <w:r>
        <w:t xml:space="preserve">all</w:t>
      </w:r>
      <w:r>
        <w:t xml:space="preserve"> </w:t>
      </w:r>
      <w:r>
        <w:t xml:space="preserve">parties</w:t>
      </w:r>
      <w:r>
        <w:t xml:space="preserve"> </w:t>
      </w:r>
      <w:r>
        <w:t xml:space="preserve">in</w:t>
      </w:r>
      <w:r>
        <w:t xml:space="preserve"> </w:t>
      </w:r>
      <w:r>
        <w:t xml:space="preserve">accord</w:t>
      </w:r>
      <w:r>
        <w:t xml:space="preserve"> </w:t>
      </w:r>
      <w:r>
        <w:t xml:space="preserve">with</w:t>
      </w:r>
      <w:r>
        <w:t xml:space="preserve"> </w:t>
      </w:r>
      <w:r>
        <w:t xml:space="preserve">Rule</w:t>
      </w:r>
      <w:r>
        <w:t xml:space="preserve"> </w:t>
      </w:r>
      <w:r>
        <w:t xml:space="preserve">9.5</w:t>
      </w:r>
      <w:r>
        <w:t xml:space="preserve"> </w:t>
      </w:r>
      <w:r>
        <w:t xml:space="preserve">of</w:t>
      </w:r>
      <w:r>
        <w:t xml:space="preserve"> </w:t>
      </w:r>
      <w:r>
        <w:t xml:space="preserve">the</w:t>
      </w:r>
      <w:r>
        <w:t xml:space="preserve"> </w:t>
      </w:r>
      <w:r>
        <w:t xml:space="preserve">Texas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Service</w:t>
      </w:r>
      <w:r>
        <w:t xml:space="preserve"> </w:t>
      </w:r>
      <w:r>
        <w:t xml:space="preserve">was</w:t>
      </w:r>
      <w:r>
        <w:t xml:space="preserve"> </w:t>
      </w:r>
      <w:r>
        <w:t xml:space="preserve">accomplished</w:t>
      </w:r>
      <w:r>
        <w:t xml:space="preserve"> </w:t>
      </w:r>
      <w:r>
        <w:t xml:space="preserve">through</w:t>
      </w:r>
      <w:r>
        <w:t xml:space="preserve"> </w:t>
      </w:r>
      <w:r>
        <w:t xml:space="preserve">the</w:t>
      </w:r>
      <w:r>
        <w:t xml:space="preserve"> </w:t>
      </w:r>
      <w:r>
        <w:t xml:space="preserve">electronic</w:t>
      </w:r>
      <w:r>
        <w:t xml:space="preserve"> </w:t>
      </w:r>
      <w:r>
        <w:t xml:space="preserve">filing</w:t>
      </w:r>
      <w:r>
        <w:t xml:space="preserve"> </w:t>
      </w:r>
      <w:r>
        <w:t xml:space="preserve">manager</w:t>
      </w:r>
      <w:r>
        <w:t xml:space="preserve"> </w:t>
      </w:r>
      <w:r>
        <w:t xml:space="preserve">and</w:t>
      </w:r>
      <w:r>
        <w:t xml:space="preserve"> </w:t>
      </w:r>
      <w:r>
        <w:t xml:space="preserve">electronic</w:t>
      </w:r>
      <w:r>
        <w:t xml:space="preserve"> </w:t>
      </w:r>
      <w:r>
        <w:t xml:space="preserve">mail</w:t>
      </w:r>
      <w:r>
        <w:t xml:space="preserve"> </w:t>
      </w:r>
      <w:r>
        <w:t xml:space="preserve">as</w:t>
      </w:r>
      <w:r>
        <w:t xml:space="preserve"> </w:t>
      </w:r>
      <w:r>
        <w:t xml:space="preserve">follows:</w:t>
      </w:r>
    </w:p>
    <w:p>
      <w:pPr>
        <w:pStyle w:val="BodyFlush"/>
        <w:keepNext/>
        <w:keepLines/>
      </w:pPr>
      <w:r>
        <w:t xml:space="preserve">Jennifer</w:t>
      </w:r>
      <w:r>
        <w:t xml:space="preserve"> </w:t>
      </w:r>
      <w:r>
        <w:t xml:space="preserve">Balido,</w:t>
      </w:r>
      <w:r>
        <w:t xml:space="preserve"> </w:t>
      </w:r>
      <w:r>
        <w:t xml:space="preserve">DCDAappeals@dallascounty.org</w:t>
      </w:r>
    </w:p>
    <w:p>
      <w:pPr>
        <w:pStyle w:val="BodyFlush"/>
        <w:keepNext/>
        <w:keepLines/>
      </w:pPr>
      <w:r>
        <w:t xml:space="preserve">Jessie</w:t>
      </w:r>
      <w:r>
        <w:t xml:space="preserve"> </w:t>
      </w:r>
      <w:r>
        <w:t xml:space="preserve">R.</w:t>
      </w:r>
      <w:r>
        <w:t xml:space="preserve"> </w:t>
      </w:r>
      <w:r>
        <w:t xml:space="preserve">Allen,</w:t>
      </w:r>
      <w:r>
        <w:t xml:space="preserve"> </w:t>
      </w:r>
      <w:r>
        <w:t xml:space="preserve">Jessie.allen@dallascounty.org</w:t>
      </w:r>
    </w:p>
    <w:p>
      <w:pPr>
        <w:pStyle w:val="TexSingle"/>
        <w:keepNext/>
        <w:keepLines/>
        <w:spacing w:before="440" w:after="0" w:line="322" w:lineRule="exact"/>
        <w:ind w:left="4320"/>
      </w:pPr>
      <w:r>
        <w:t xml:space="preserve">/​s/</w:t>
      </w:r>
      <w:r>
        <w:t xml:space="preserve"> </w:t>
      </w:r>
      <w:r>
        <w:t xml:space="preserve">Niles</w:t>
      </w:r>
      <w:r>
        <w:t xml:space="preserve"> </w:t>
      </w:r>
      <w:r>
        <w:t xml:space="preserve">Illich</w:t>
      </w:r>
    </w:p>
    <w:p>
      <w:pPr>
        <w:pStyle w:val="TexSingle"/>
        <w:keepLines/>
        <w:spacing w:before="0" w:after="0" w:line="322" w:lineRule="exact"/>
        <w:ind w:left="4320"/>
      </w:pPr>
      <w:r>
        <w:t xml:space="preserve">Niles</w:t>
      </w:r>
      <w:r>
        <w:t xml:space="preserve"> </w:t>
      </w:r>
      <w:r>
        <w:t xml:space="preserve">Illich</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0" w:after="16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320" w:after="16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320" w:after="16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320" w:after="16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320" w:after="16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3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exHead1">
    <w:name w:val="Tex Head 1"/>
    <w:basedOn w:val="Normal"/>
    <w:next w:val="BodyText"/>
    <w:qFormat/>
    <w:pPr>
      <w:keepNext/>
      <w:keepLines/>
      <w:spacing w:before="480" w:after="240" w:line="322" w:lineRule="exact"/>
      <w:ind w:firstLine="0"/>
      <w:jc w:val="center"/>
      <w:outlineLvl w:val="0"/>
    </w:pPr>
    <w:rPr>
      <w:b/>
      <w:bCs/>
      <w:caps/>
    </w:rPr>
  </w:style>
  <w:style w:type="paragraph" w:customStyle="1" w:styleId="TexHead2">
    <w:name w:val="Tex Head 2"/>
    <w:basedOn w:val="Normal"/>
    <w:next w:val="BodyText"/>
    <w:qFormat/>
    <w:pPr>
      <w:keepNext/>
      <w:keepLines/>
      <w:spacing w:before="320" w:after="160" w:line="322" w:lineRule="exact"/>
      <w:ind w:firstLine="0"/>
      <w:outlineLvl w:val="1"/>
    </w:pPr>
    <w:rPr>
      <w:b/>
      <w:bCs/>
    </w:rPr>
  </w:style>
  <w:style w:type="paragraph" w:customStyle="1" w:styleId="TexHead3">
    <w:name w:val="Tex Head 3"/>
    <w:basedOn w:val="TexHead2"/>
    <w:next w:val="BodyText"/>
    <w:qFormat/>
    <w:pPr>
      <w:outlineLvl w:val="2"/>
    </w:pPr>
    <w:rPr>
      <w:b/>
      <w:bCs/>
      <w:i/>
      <w:iCs/>
    </w:rPr>
  </w:style>
  <w:style w:type="paragraph" w:customStyle="1" w:styleId="TexHead4">
    <w:name w:val="Tex Head 4"/>
    <w:basedOn w:val="TexHead2"/>
    <w:next w:val="BodyText"/>
    <w:qFormat/>
    <w:pPr>
      <w:outlineLvl w:val="3"/>
    </w:pPr>
    <w:rPr>
      <w:b w:val="0"/>
      <w:bCs w:val="0"/>
      <w:i/>
      <w:iCs/>
    </w:rPr>
  </w:style>
  <w:style w:type="paragraph" w:customStyle="1" w:styleId="TexSingle">
    <w:name w:val="Tex Single"/>
    <w:basedOn w:val="Normal"/>
    <w:qFormat/>
    <w:pPr>
      <w:spacing w:before="0" w:after="0" w:line="322" w:lineRule="exact"/>
      <w:ind w:firstLine="0"/>
    </w:pPr>
  </w:style>
  <w:style w:type="paragraph" w:customStyle="1" w:styleId="BodyFlush">
    <w:name w:val="Body Flush"/>
    <w:basedOn w:val="BodyText"/>
    <w:qFormat/>
    <w:pPr>
      <w:ind w:firstLine="0"/>
    </w:pPr>
  </w:style>
  <w:style w:type="paragraph" w:customStyle="1" w:styleId="BodyLead">
    <w:name w:val="Body Lead"/>
    <w:basedOn w:val="BodyText"/>
    <w:qFormat/>
    <w:pPr>
      <w:keepNext/>
    </w:pPr>
  </w:style>
  <w:style w:type="paragraph" w:customStyle="1" w:styleId="BodyFlushLead">
    <w:name w:val="Body Flush Lead"/>
    <w:basedOn w:val="BodyFlush"/>
    <w:qFormat/>
    <w:pPr>
      <w:keepNext/>
    </w:pPr>
  </w:style>
  <w:style w:type="paragraph" w:customStyle="1" w:styleId="BodyTextNote">
    <w:name w:val="Body Text Note"/>
    <w:basedOn w:val="BodyText"/>
    <w:qFormat/>
    <w:pPr>
      <w:widowControl w:val="0"/>
    </w:pPr>
  </w:style>
  <w:style w:type="paragraph" w:customStyle="1" w:styleId="BodyFlushNote">
    <w:name w:val="Body Flush Note"/>
    <w:basedOn w:val="BodyFlus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