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FIFTH</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OHIO</w:t>
      </w:r>
    </w:p>
    <w:p>
      <w:pPr>
        <w:spacing w:before="432" w:after="0" w:line="276" w:lineRule="exact"/>
        <w:ind w:left="0" w:firstLine="0"/>
        <w:jc w:val="center"/>
      </w:pPr>
      <w:r>
        <w:rPr>
          <w:b/>
          <w:bCs/>
        </w:rPr>
        <w:t xml:space="preserve">Appellate</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23</w:t>
      </w:r>
      <w:r>
        <w:rPr>
          <w:b/>
          <w:bCs/>
        </w:rPr>
        <w:t xml:space="preserve"> </w:t>
      </w:r>
      <w:r>
        <w:rPr>
          <w:b/>
          <w:bCs/>
        </w:rPr>
        <w:t xml:space="preserve">CAE</w:t>
      </w:r>
      <w:r>
        <w:rPr>
          <w:b/>
          <w:bCs/>
        </w:rPr>
        <w:t xml:space="preserve"> </w:t>
      </w:r>
      <w:r>
        <w:rPr>
          <w:b/>
          <w:bCs/>
        </w:rPr>
        <w:t xml:space="preserve">04</w:t>
      </w:r>
      <w:r>
        <w:rPr>
          <w:b/>
          <w:bCs/>
        </w:rPr>
        <w:t xml:space="preserve"> </w:t>
      </w:r>
      <w:r>
        <w:rPr>
          <w:b/>
          <w:bCs/>
        </w:rPr>
        <w:t xml:space="preserve">0028</w:t>
      </w:r>
    </w:p>
    <w:p>
      <w:pPr>
        <w:spacing w:before="0" w:after="0" w:line="276" w:lineRule="exact"/>
        <w:ind w:left="0" w:firstLine="0"/>
        <w:jc w:val="center"/>
      </w:pPr>
      <w:r>
        <w:rPr>
          <w:b/>
          <w:bCs/>
        </w:rPr>
        <w:t xml:space="preserve">Trial</w:t>
      </w:r>
      <w:r>
        <w:rPr>
          <w:b/>
          <w:bCs/>
        </w:rPr>
        <w:t xml:space="preserve"> </w:t>
      </w:r>
      <w:r>
        <w:rPr>
          <w:b/>
          <w:bCs/>
        </w:rPr>
        <w:t xml:space="preserve">Court</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23-cv-H</w:t>
        <w:noBreakHyphen/>
        <w:t xml:space="preserve">02</w:t>
        <w:noBreakHyphen/>
        <w:t xml:space="preserve">0089</w:t>
      </w:r>
    </w:p>
    <w:p>
      <w:pPr>
        <w:spacing w:before="432" w:after="0" w:line="276" w:lineRule="exact"/>
        <w:ind w:left="0" w:firstLine="0"/>
        <w:jc w:val="center"/>
      </w:pPr>
      <w:r>
        <w:t xml:space="preserve">JOHN</w:t>
      </w:r>
      <w:r>
        <w:t xml:space="preserve"> </w:t>
      </w:r>
      <w:r>
        <w:t xml:space="preserve">DOE</w:t>
      </w:r>
      <w:r>
        <w:t xml:space="preserve"> </w:t>
      </w:r>
      <w:r>
        <w:t xml:space="preserve">1,</w:t>
      </w:r>
      <w:r>
        <w:t xml:space="preserve"> </w:t>
      </w:r>
      <w:r>
        <w:t xml:space="preserve">et</w:t>
      </w:r>
      <w:r>
        <w:t xml:space="preserve"> </w:t>
      </w:r>
      <w:r>
        <w:t xml:space="preserve">al.,</w:t>
      </w:r>
    </w:p>
    <w:p>
      <w:pPr>
        <w:spacing w:before="0" w:after="0" w:line="276" w:lineRule="exact"/>
        <w:ind w:left="0" w:firstLine="0"/>
        <w:jc w:val="center"/>
      </w:pPr>
      <w:r>
        <w:rPr>
          <w:i/>
          <w:iCs/>
        </w:rPr>
        <w:t xml:space="preserve">Plaintiffs-Appellees,</w:t>
      </w:r>
    </w:p>
    <w:p>
      <w:pPr>
        <w:spacing w:before="288" w:after="288" w:line="276" w:lineRule="exact"/>
        <w:ind w:left="0" w:firstLine="0"/>
        <w:jc w:val="center"/>
      </w:pPr>
      <w:r>
        <w:t xml:space="preserve">v.</w:t>
      </w:r>
    </w:p>
    <w:p>
      <w:pPr>
        <w:spacing w:before="0" w:after="0" w:line="276" w:lineRule="exact"/>
        <w:ind w:left="0" w:firstLine="0"/>
        <w:jc w:val="center"/>
      </w:pPr>
      <w:r>
        <w:t xml:space="preserve">CITY</w:t>
      </w:r>
      <w:r>
        <w:t xml:space="preserve"> </w:t>
      </w:r>
      <w:r>
        <w:t xml:space="preserve">OF</w:t>
      </w:r>
      <w:r>
        <w:t xml:space="preserve"> </w:t>
      </w:r>
      <w:r>
        <w:t xml:space="preserve">COLUMBUS,</w:t>
      </w:r>
      <w:r>
        <w:t xml:space="preserve"> </w:t>
      </w:r>
      <w:r>
        <w:t xml:space="preserve">et</w:t>
      </w:r>
      <w:r>
        <w:t xml:space="preserve"> </w:t>
      </w:r>
      <w:r>
        <w:t xml:space="preserve">al.,</w:t>
      </w:r>
    </w:p>
    <w:p>
      <w:pPr>
        <w:spacing w:before="0" w:after="0" w:line="276" w:lineRule="exact"/>
        <w:ind w:left="0" w:firstLine="0"/>
        <w:jc w:val="center"/>
      </w:pPr>
      <w:r>
        <w:rPr>
          <w:i/>
          <w:iCs/>
        </w:rPr>
        <w:t xml:space="preserve">Defendants-Appellants.</w:t>
      </w:r>
    </w:p>
    <w:p>
      <w:pPr>
        <w:spacing w:before="432"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Delaware</w:t>
      </w:r>
      <w:r>
        <w:t xml:space="preserve"> </w:t>
      </w:r>
      <w:r>
        <w:t xml:space="preserve">County</w:t>
      </w:r>
      <w:r>
        <w:t xml:space="preserve"> </w:t>
      </w:r>
      <w:r>
        <w:t xml:space="preserve">Court</w:t>
      </w:r>
      <w:r>
        <w:t xml:space="preserve"> </w:t>
      </w:r>
      <w:r>
        <w:t xml:space="preserve">of</w:t>
      </w:r>
      <w:r>
        <w:t xml:space="preserve"> </w:t>
      </w:r>
      <w:r>
        <w:t xml:space="preserve">Common</w:t>
      </w:r>
      <w:r>
        <w:t xml:space="preserve"> </w:t>
      </w:r>
      <w:r>
        <w:t xml:space="preserve">Pleas</w:t>
      </w:r>
    </w:p>
    <w:p>
      <w:pPr>
        <w:spacing w:before="864"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APPELLEES</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276" w:lineRule="exact"/>
              <w:ind w:left="0" w:firstLine="0"/>
              <w:jc w:val="left"/>
            </w:pPr>
            <w:r>
              <w:rPr>
                <w:b/>
                <w:bCs/>
              </w:rPr>
              <w:t xml:space="preserve">Richard</w:t>
            </w:r>
            <w:r>
              <w:rPr>
                <w:b/>
                <w:bCs/>
              </w:rPr>
              <w:t xml:space="preserve"> </w:t>
            </w:r>
            <w:r>
              <w:rPr>
                <w:b/>
                <w:bCs/>
              </w:rPr>
              <w:t xml:space="preserve">N.</w:t>
            </w:r>
            <w:r>
              <w:rPr>
                <w:b/>
                <w:bCs/>
              </w:rPr>
              <w:t xml:space="preserve"> </w:t>
            </w:r>
            <w:r>
              <w:rPr>
                <w:b/>
                <w:bCs/>
              </w:rPr>
              <w:t xml:space="preserve">Coglianese</w:t>
            </w:r>
            <w:r>
              <w:rPr>
                <w:b/>
                <w:bCs/>
              </w:rPr>
              <w:t xml:space="preserve"> </w:t>
            </w:r>
            <w:r>
              <w:rPr>
                <w:b/>
                <w:bCs/>
              </w:rPr>
              <w:t xml:space="preserve">(0066830)</w:t>
            </w:r>
          </w:p>
          <w:p>
            <w:pPr>
              <w:spacing w:before="0" w:after="0" w:line="276" w:lineRule="exact"/>
              <w:ind w:left="0" w:firstLine="0"/>
              <w:jc w:val="left"/>
            </w:pPr>
            <w:r>
              <w:rPr>
                <w:b/>
                <w:bCs/>
              </w:rPr>
              <w:t xml:space="preserve">Matthew</w:t>
            </w:r>
            <w:r>
              <w:rPr>
                <w:b/>
                <w:bCs/>
              </w:rPr>
              <w:t xml:space="preserve"> </w:t>
            </w:r>
            <w:r>
              <w:rPr>
                <w:b/>
                <w:bCs/>
              </w:rPr>
              <w:t xml:space="preserve">D.</w:t>
            </w:r>
            <w:r>
              <w:rPr>
                <w:b/>
                <w:bCs/>
              </w:rPr>
              <w:t xml:space="preserve"> </w:t>
            </w:r>
            <w:r>
              <w:rPr>
                <w:b/>
                <w:bCs/>
              </w:rPr>
              <w:t xml:space="preserve">Sturtz</w:t>
            </w:r>
            <w:r>
              <w:rPr>
                <w:b/>
                <w:bCs/>
              </w:rPr>
              <w:t xml:space="preserve"> </w:t>
            </w:r>
            <w:r>
              <w:rPr>
                <w:b/>
                <w:bCs/>
              </w:rPr>
              <w:t xml:space="preserve">(0095536)</w:t>
            </w:r>
          </w:p>
          <w:p>
            <w:pPr>
              <w:spacing w:before="0" w:after="0" w:line="276" w:lineRule="exact"/>
              <w:ind w:left="0" w:firstLine="0"/>
              <w:jc w:val="left"/>
            </w:pPr>
            <w:r>
              <w:rPr>
                <w:b/>
                <w:bCs/>
              </w:rPr>
              <w:t xml:space="preserve">Aaron</w:t>
            </w:r>
            <w:r>
              <w:rPr>
                <w:b/>
                <w:bCs/>
              </w:rPr>
              <w:t xml:space="preserve"> </w:t>
            </w:r>
            <w:r>
              <w:rPr>
                <w:b/>
                <w:bCs/>
              </w:rPr>
              <w:t xml:space="preserve">D.</w:t>
            </w:r>
            <w:r>
              <w:rPr>
                <w:b/>
                <w:bCs/>
              </w:rPr>
              <w:t xml:space="preserve"> </w:t>
            </w:r>
            <w:r>
              <w:rPr>
                <w:b/>
                <w:bCs/>
              </w:rPr>
              <w:t xml:space="preserve">Epstein</w:t>
            </w:r>
            <w:r>
              <w:rPr>
                <w:b/>
                <w:bCs/>
              </w:rPr>
              <w:t xml:space="preserve"> </w:t>
            </w:r>
            <w:r>
              <w:rPr>
                <w:b/>
                <w:bCs/>
              </w:rPr>
              <w:t xml:space="preserve">(0063286)</w:t>
            </w:r>
          </w:p>
          <w:p>
            <w:pPr>
              <w:spacing w:before="0" w:after="0" w:line="276" w:lineRule="exact"/>
              <w:ind w:left="0" w:firstLine="0"/>
              <w:jc w:val="left"/>
            </w:pPr>
            <w:r>
              <w:t xml:space="preserve">Assistant</w:t>
            </w:r>
            <w:r>
              <w:t xml:space="preserve"> </w:t>
            </w:r>
            <w:r>
              <w:t xml:space="preserve">City</w:t>
            </w:r>
            <w:r>
              <w:t xml:space="preserve"> </w:t>
            </w:r>
            <w:r>
              <w:t xml:space="preserve">Attorneys</w:t>
            </w:r>
          </w:p>
          <w:p>
            <w:pPr>
              <w:spacing w:before="0" w:after="0" w:line="276" w:lineRule="exact"/>
              <w:ind w:left="0" w:firstLine="0"/>
              <w:jc w:val="left"/>
            </w:pPr>
            <w:r>
              <w:t xml:space="preserve">City</w:t>
            </w:r>
            <w:r>
              <w:t xml:space="preserve"> </w:t>
            </w:r>
            <w:r>
              <w:t xml:space="preserve">of</w:t>
            </w:r>
            <w:r>
              <w:t xml:space="preserve"> </w:t>
            </w:r>
            <w:r>
              <w:t xml:space="preserve">Columbus</w:t>
            </w:r>
          </w:p>
          <w:p>
            <w:pPr>
              <w:spacing w:before="0" w:after="0" w:line="276" w:lineRule="exact"/>
              <w:ind w:left="0" w:firstLine="0"/>
              <w:jc w:val="left"/>
            </w:pPr>
            <w:r>
              <w:t xml:space="preserve">Department</w:t>
            </w:r>
            <w:r>
              <w:t xml:space="preserve"> </w:t>
            </w:r>
            <w:r>
              <w:t xml:space="preserve">of</w:t>
            </w:r>
            <w:r>
              <w:t xml:space="preserve"> </w:t>
            </w:r>
            <w:r>
              <w:t xml:space="preserve">Law</w:t>
            </w:r>
          </w:p>
          <w:p>
            <w:pPr>
              <w:spacing w:before="0" w:after="0" w:line="276" w:lineRule="exact"/>
              <w:ind w:left="0" w:firstLine="0"/>
              <w:jc w:val="left"/>
            </w:pPr>
            <w:r>
              <w:t xml:space="preserve">77</w:t>
            </w:r>
            <w:r>
              <w:t xml:space="preserve"> </w:t>
            </w:r>
            <w:r>
              <w:t xml:space="preserve">N.</w:t>
            </w:r>
            <w:r>
              <w:t xml:space="preserve"> </w:t>
            </w:r>
            <w:r>
              <w:t xml:space="preserve">Front</w:t>
            </w:r>
            <w:r>
              <w:t xml:space="preserve"> </w:t>
            </w:r>
            <w:r>
              <w:t xml:space="preserve">Street,</w:t>
            </w:r>
            <w:r>
              <w:t xml:space="preserve"> </w:t>
            </w:r>
            <w:r>
              <w:t xml:space="preserve">4th</w:t>
            </w:r>
            <w:r>
              <w:t xml:space="preserve"> </w:t>
            </w:r>
            <w:r>
              <w:t xml:space="preserve">Floor</w:t>
            </w:r>
          </w:p>
          <w:p>
            <w:pPr>
              <w:spacing w:before="0" w:after="0" w:line="276" w:lineRule="exact"/>
              <w:ind w:left="0" w:firstLine="0"/>
              <w:jc w:val="left"/>
            </w:pPr>
            <w:r>
              <w:t xml:space="preserve">Columbus,</w:t>
            </w:r>
            <w:r>
              <w:t xml:space="preserve"> </w:t>
            </w:r>
            <w:r>
              <w:t xml:space="preserve">Ohio</w:t>
            </w:r>
            <w:r>
              <w:t xml:space="preserve"> </w:t>
            </w:r>
            <w:r>
              <w:t xml:space="preserve">43215</w:t>
            </w:r>
          </w:p>
          <w:p>
            <w:pPr>
              <w:spacing w:before="0" w:after="0" w:line="276" w:lineRule="exact"/>
              <w:ind w:left="0" w:firstLine="0"/>
              <w:jc w:val="left"/>
            </w:pPr>
            <w:r>
              <w:t xml:space="preserve">mcoglianese@columbus.gov</w:t>
            </w:r>
          </w:p>
          <w:p>
            <w:pPr>
              <w:spacing w:before="0" w:after="0" w:line="276" w:lineRule="exact"/>
              <w:ind w:left="0" w:firstLine="0"/>
              <w:jc w:val="left"/>
            </w:pPr>
            <w:r>
              <w:t xml:space="preserve">mdsturtz@columbus.gov</w:t>
            </w:r>
          </w:p>
          <w:p>
            <w:pPr>
              <w:spacing w:before="0" w:after="0" w:line="276" w:lineRule="exact"/>
              <w:ind w:left="0" w:firstLine="0"/>
              <w:jc w:val="left"/>
            </w:pPr>
            <w:r>
              <w:t xml:space="preserve">adepstein@columbus.gov</w:t>
            </w:r>
          </w:p>
          <w:p>
            <w:pPr>
              <w:spacing w:before="0" w:after="0" w:line="276" w:lineRule="exact"/>
              <w:ind w:left="0" w:firstLine="0"/>
              <w:jc w:val="left"/>
            </w:pPr>
            <w:r>
              <w:t xml:space="preserve">(614)</w:t>
            </w:r>
            <w:r>
              <w:t xml:space="preserve"> </w:t>
            </w:r>
            <w:r>
              <w:t xml:space="preserve">645</w:t>
              <w:noBreakHyphen/>
              <w:t xml:space="preserve">7385</w:t>
            </w:r>
            <w:r>
              <w:t xml:space="preserve"> </w:t>
            </w:r>
            <w:r>
              <w:t xml:space="preserve">Phone</w:t>
            </w:r>
          </w:p>
          <w:p>
            <w:pPr>
              <w:spacing w:before="0" w:after="0" w:line="276" w:lineRule="exact"/>
              <w:ind w:left="0" w:firstLine="0"/>
              <w:jc w:val="left"/>
            </w:pPr>
            <w:r>
              <w:t xml:space="preserve">(614)</w:t>
            </w:r>
            <w:r>
              <w:t xml:space="preserve"> </w:t>
            </w:r>
            <w:r>
              <w:t xml:space="preserve">645</w:t>
              <w:noBreakHyphen/>
              <w:t xml:space="preserve">6949</w:t>
            </w:r>
            <w:r>
              <w:t xml:space="preserve"> </w:t>
            </w:r>
            <w:r>
              <w:t xml:space="preserve">Fax</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Defendants-Appellants</w:t>
            </w:r>
          </w:p>
        </w:tc>
        <w:tc>
          <w:tcPr>
            <w:tcW w:w="4860" w:type="dxa"/>
            <w:tcMar>
              <w:left w:w="360" w:type="dxa"/>
            </w:tcMar>
          </w:tcPr>
          <w:p>
            <w:pPr>
              <w:spacing w:before="0" w:after="0" w:line="276" w:lineRule="exact"/>
              <w:ind w:left="0" w:firstLine="0"/>
              <w:jc w:val="left"/>
            </w:pPr>
            <w:r>
              <w:rPr>
                <w:b/>
                <w:bCs/>
              </w:rPr>
              <w:t xml:space="preserve">David</w:t>
            </w:r>
            <w:r>
              <w:rPr>
                <w:b/>
                <w:bCs/>
              </w:rPr>
              <w:t xml:space="preserve"> </w:t>
            </w:r>
            <w:r>
              <w:rPr>
                <w:b/>
                <w:bCs/>
              </w:rPr>
              <w:t xml:space="preserve">C.</w:t>
            </w:r>
            <w:r>
              <w:rPr>
                <w:b/>
                <w:bCs/>
              </w:rPr>
              <w:t xml:space="preserve"> </w:t>
            </w:r>
            <w:r>
              <w:rPr>
                <w:b/>
                <w:bCs/>
              </w:rPr>
              <w:t xml:space="preserve">Tryon</w:t>
            </w:r>
            <w:r>
              <w:rPr>
                <w:b/>
                <w:bCs/>
              </w:rPr>
              <w:t xml:space="preserve"> </w:t>
            </w:r>
            <w:r>
              <w:rPr>
                <w:b/>
                <w:bCs/>
              </w:rPr>
              <w:t xml:space="preserve">(0028954)</w:t>
            </w:r>
          </w:p>
          <w:p>
            <w:pPr>
              <w:spacing w:before="0" w:after="0" w:line="276" w:lineRule="exact"/>
              <w:ind w:left="0" w:firstLine="0"/>
              <w:jc w:val="left"/>
            </w:pPr>
            <w:r>
              <w:rPr>
                <w:b/>
                <w:bCs/>
              </w:rPr>
              <w:t xml:space="preserve">Robert</w:t>
            </w:r>
            <w:r>
              <w:rPr>
                <w:b/>
                <w:bCs/>
              </w:rPr>
              <w:t xml:space="preserve"> </w:t>
            </w:r>
            <w:r>
              <w:rPr>
                <w:b/>
                <w:bCs/>
              </w:rPr>
              <w:t xml:space="preserve">D.</w:t>
            </w:r>
            <w:r>
              <w:rPr>
                <w:b/>
                <w:bCs/>
              </w:rPr>
              <w:t xml:space="preserve"> </w:t>
            </w:r>
            <w:r>
              <w:rPr>
                <w:b/>
                <w:bCs/>
              </w:rPr>
              <w:t xml:space="preserve">Alt</w:t>
            </w:r>
            <w:r>
              <w:rPr>
                <w:b/>
                <w:bCs/>
              </w:rPr>
              <w:t xml:space="preserve"> </w:t>
            </w:r>
            <w:r>
              <w:rPr>
                <w:b/>
                <w:bCs/>
              </w:rPr>
              <w:t xml:space="preserve">(0091753)</w:t>
            </w:r>
          </w:p>
          <w:p>
            <w:pPr>
              <w:spacing w:before="0" w:after="0" w:line="276" w:lineRule="exact"/>
              <w:ind w:left="0" w:firstLine="0"/>
              <w:jc w:val="left"/>
            </w:pPr>
            <w:r>
              <w:rPr>
                <w:b/>
                <w:bCs/>
              </w:rPr>
              <w:t xml:space="preserve">Jay</w:t>
            </w:r>
            <w:r>
              <w:rPr>
                <w:b/>
                <w:bCs/>
              </w:rPr>
              <w:t xml:space="preserve"> </w:t>
            </w:r>
            <w:r>
              <w:rPr>
                <w:b/>
                <w:bCs/>
              </w:rPr>
              <w:t xml:space="preserve">R.</w:t>
            </w:r>
            <w:r>
              <w:rPr>
                <w:b/>
                <w:bCs/>
              </w:rPr>
              <w:t xml:space="preserve"> </w:t>
            </w:r>
            <w:r>
              <w:rPr>
                <w:b/>
                <w:bCs/>
              </w:rPr>
              <w:t xml:space="preserve">Carson</w:t>
            </w:r>
            <w:r>
              <w:rPr>
                <w:b/>
                <w:bCs/>
              </w:rPr>
              <w:t xml:space="preserve"> </w:t>
            </w:r>
            <w:r>
              <w:rPr>
                <w:b/>
                <w:bCs/>
              </w:rPr>
              <w:t xml:space="preserve">(0068526)</w:t>
            </w:r>
          </w:p>
          <w:p>
            <w:pPr>
              <w:spacing w:before="0" w:after="0" w:line="276" w:lineRule="exact"/>
              <w:ind w:left="0" w:firstLine="0"/>
              <w:jc w:val="left"/>
            </w:pPr>
            <w:r>
              <w:rPr>
                <w:b/>
                <w:bCs/>
              </w:rPr>
              <w:t xml:space="preserve">Alex</w:t>
            </w:r>
            <w:r>
              <w:rPr>
                <w:b/>
                <w:bCs/>
              </w:rPr>
              <w:t xml:space="preserve"> </w:t>
            </w:r>
            <w:r>
              <w:rPr>
                <w:b/>
                <w:bCs/>
              </w:rPr>
              <w:t xml:space="preserve">M.</w:t>
            </w:r>
            <w:r>
              <w:rPr>
                <w:b/>
                <w:bCs/>
              </w:rPr>
              <w:t xml:space="preserve"> </w:t>
            </w:r>
            <w:r>
              <w:rPr>
                <w:b/>
                <w:bCs/>
              </w:rPr>
              <w:t xml:space="preserve">Certo</w:t>
            </w:r>
            <w:r>
              <w:rPr>
                <w:b/>
                <w:bCs/>
              </w:rPr>
              <w:t xml:space="preserve"> </w:t>
            </w:r>
            <w:r>
              <w:rPr>
                <w:b/>
                <w:bCs/>
              </w:rPr>
              <w:t xml:space="preserve">(0102790)</w:t>
            </w:r>
          </w:p>
          <w:p>
            <w:pPr>
              <w:spacing w:before="0" w:after="0" w:line="276" w:lineRule="exact"/>
              <w:ind w:left="0" w:firstLine="0"/>
              <w:jc w:val="left"/>
            </w:pPr>
            <w:r>
              <w:t xml:space="preserve">The</w:t>
            </w:r>
            <w:r>
              <w:t xml:space="preserve"> </w:t>
            </w:r>
            <w:r>
              <w:t xml:space="preserve">Buckeye</w:t>
            </w:r>
            <w:r>
              <w:t xml:space="preserve"> </w:t>
            </w:r>
            <w:r>
              <w:t xml:space="preserve">Institute</w:t>
            </w:r>
          </w:p>
          <w:p>
            <w:pPr>
              <w:spacing w:before="0" w:after="0" w:line="276" w:lineRule="exact"/>
              <w:ind w:left="0" w:firstLine="0"/>
              <w:jc w:val="left"/>
            </w:pPr>
            <w:r>
              <w:t xml:space="preserve">88</w:t>
            </w:r>
            <w:r>
              <w:t xml:space="preserve"> </w:t>
            </w:r>
            <w:r>
              <w:t xml:space="preserve">East</w:t>
            </w:r>
            <w:r>
              <w:t xml:space="preserve"> </w:t>
            </w:r>
            <w:r>
              <w:t xml:space="preserve">Broad</w:t>
            </w:r>
            <w:r>
              <w:t xml:space="preserve"> </w:t>
            </w:r>
            <w:r>
              <w:t xml:space="preserve">Street,</w:t>
            </w:r>
            <w:r>
              <w:t xml:space="preserve"> </w:t>
            </w:r>
            <w:r>
              <w:t xml:space="preserve">Suite</w:t>
            </w:r>
            <w:r>
              <w:t xml:space="preserve"> </w:t>
            </w:r>
            <w:r>
              <w:t xml:space="preserve">1300</w:t>
            </w:r>
          </w:p>
          <w:p>
            <w:pPr>
              <w:spacing w:before="0" w:after="0" w:line="276" w:lineRule="exact"/>
              <w:ind w:left="0" w:firstLine="0"/>
              <w:jc w:val="left"/>
            </w:pPr>
            <w:r>
              <w:t xml:space="preserve">Columbus,</w:t>
            </w:r>
            <w:r>
              <w:t xml:space="preserve"> </w:t>
            </w:r>
            <w:r>
              <w:t xml:space="preserve">Ohio</w:t>
            </w:r>
            <w:r>
              <w:t xml:space="preserve"> </w:t>
            </w:r>
            <w:r>
              <w:t xml:space="preserve">43215</w:t>
            </w:r>
          </w:p>
          <w:p>
            <w:pPr>
              <w:spacing w:before="0" w:after="0" w:line="276" w:lineRule="exact"/>
              <w:ind w:left="0" w:firstLine="0"/>
              <w:jc w:val="left"/>
            </w:pPr>
            <w:r>
              <w:t xml:space="preserve">(614)</w:t>
            </w:r>
            <w:r>
              <w:t xml:space="preserve"> </w:t>
            </w:r>
            <w:r>
              <w:t xml:space="preserve">224</w:t>
              <w:noBreakHyphen/>
              <w:t xml:space="preserve">4422</w:t>
            </w:r>
          </w:p>
          <w:p>
            <w:pPr>
              <w:spacing w:before="0" w:after="0" w:line="276" w:lineRule="exact"/>
              <w:ind w:left="0" w:firstLine="0"/>
              <w:jc w:val="left"/>
            </w:pPr>
            <w:r>
              <w:t xml:space="preserve">d.tryon@buckeyeinstitute.org</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Plaintiffs-Appellees</w:t>
            </w:r>
          </w:p>
        </w:tc>
      </w:tr>
    </w:tbl>
    <w:p>
      <w:pPr>
        <w:pageBreakBefore/>
        <w:spacing w:before="0" w:after="0" w:line="1" w:lineRule="exact"/>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360" w:right="720" w:hanging="360"/>
      </w:pPr>
      <w:r>
        <w:t xml:space="preserve">STATEMENT</w:t>
      </w:r>
      <w:r>
        <w:t xml:space="preserve"> </w:t>
      </w:r>
      <w:r>
        <w:t xml:space="preserve">OF</w:t>
      </w:r>
      <w:r>
        <w:t xml:space="preserve"> </w:t>
      </w:r>
      <w:r>
        <w:t xml:space="preserve">ASSIGNMENTS</w:t>
      </w:r>
      <w:r>
        <w:t xml:space="preserve"> </w:t>
      </w:r>
      <w:r>
        <w:t xml:space="preserve">OF</w:t>
      </w:r>
      <w:r>
        <w:t xml:space="preserve"> </w:t>
      </w:r>
      <w:r>
        <w:t xml:space="preserve">ERROR</w:t>
      </w:r>
      <w:r>
        <w:t xml:space="preserve">   </w:t>
      </w:r>
      <w:r>
        <w:tab/>
      </w:r>
      <w:r>
        <w:t xml:space="preserve">7</w:t>
      </w:r>
    </w:p>
    <w:p>
      <w:pPr>
        <w:keepLines/>
        <w:tabs>
          <w:tab w:val="right" w:leader="dot" w:pos="9360"/>
        </w:tabs>
        <w:spacing w:before="192" w:after="0" w:line="276" w:lineRule="exact"/>
        <w:ind w:left="360" w:right="720" w:hanging="360"/>
      </w:pPr>
      <w:r>
        <w:t xml:space="preserve">STATEMENT</w:t>
      </w:r>
      <w:r>
        <w:t xml:space="preserve"> </w:t>
      </w:r>
      <w:r>
        <w:t xml:space="preserve">OF</w:t>
      </w:r>
      <w:r>
        <w:t xml:space="preserve"> </w:t>
      </w:r>
      <w:r>
        <w:t xml:space="preserve">ISSUES</w:t>
      </w:r>
      <w:r>
        <w:t xml:space="preserve"> </w:t>
      </w:r>
      <w:r>
        <w:t xml:space="preserve">FOR</w:t>
      </w:r>
      <w:r>
        <w:t xml:space="preserve"> </w:t>
      </w:r>
      <w:r>
        <w:t xml:space="preserve">REVIEW</w:t>
      </w:r>
      <w:r>
        <w:t xml:space="preserve">   </w:t>
      </w:r>
      <w:r>
        <w:tab/>
      </w:r>
      <w:r>
        <w:t xml:space="preserve">7</w:t>
      </w:r>
    </w:p>
    <w:p>
      <w:pPr>
        <w:keepLines/>
        <w:tabs>
          <w:tab w:val="right" w:leader="dot" w:pos="9360"/>
        </w:tabs>
        <w:spacing w:before="192" w:after="0" w:line="276" w:lineRule="exact"/>
        <w:ind w:left="360" w:right="720" w:hanging="360"/>
      </w:pPr>
      <w:r>
        <w:t xml:space="preserve">ARGUMENT</w:t>
      </w:r>
      <w:r>
        <w:t xml:space="preserve">   </w:t>
      </w:r>
      <w:r>
        <w:tab/>
      </w:r>
      <w:r>
        <w:t xml:space="preserve">8</w:t>
      </w:r>
    </w:p>
    <w:p>
      <w:pPr>
        <w:keepLines/>
        <w:tabs>
          <w:tab w:val="right" w:leader="dot" w:pos="9360"/>
        </w:tabs>
        <w:spacing w:before="192" w:after="0" w:line="276" w:lineRule="exact"/>
        <w:ind w:left="360" w:right="720" w:hanging="360"/>
      </w:pPr>
      <w:r>
        <w:t xml:space="preserve">I.</w:t>
      </w:r>
      <w:r>
        <w:t xml:space="preserve"> </w:t>
      </w:r>
      <w:r>
        <w:t xml:space="preserve">Standard</w:t>
      </w:r>
      <w:r>
        <w:t xml:space="preserve"> </w:t>
      </w:r>
      <w:r>
        <w:t xml:space="preserve">of</w:t>
      </w:r>
      <w:r>
        <w:t xml:space="preserve"> </w:t>
      </w:r>
      <w:r>
        <w:t xml:space="preserve">Review</w:t>
      </w:r>
      <w:r>
        <w:t xml:space="preserve">   </w:t>
      </w:r>
      <w:r>
        <w:tab/>
      </w:r>
      <w:r>
        <w:t xml:space="preserve">8</w:t>
      </w:r>
    </w:p>
    <w:p>
      <w:pPr>
        <w:keepLines/>
        <w:tabs>
          <w:tab w:val="right" w:leader="dot" w:pos="9360"/>
        </w:tabs>
        <w:spacing w:before="192" w:after="0" w:line="276" w:lineRule="exact"/>
        <w:ind w:left="360" w:right="720" w:hanging="360"/>
      </w:pPr>
      <w:r>
        <w:t xml:space="preserve">II.</w:t>
      </w:r>
      <w:r>
        <w:t xml:space="preserve"> </w:t>
      </w:r>
      <w:r>
        <w:t xml:space="preserve">The</w:t>
      </w:r>
      <w:r>
        <w:t xml:space="preserve"> </w:t>
      </w:r>
      <w:r>
        <w:t xml:space="preserve">trial</w:t>
      </w:r>
      <w:r>
        <w:t xml:space="preserve"> </w:t>
      </w:r>
      <w:r>
        <w:t xml:space="preserve">court</w:t>
      </w:r>
      <w:r>
        <w:t xml:space="preserve"> </w:t>
      </w:r>
      <w:r>
        <w:t xml:space="preserve">had</w:t>
      </w:r>
      <w:r>
        <w:t xml:space="preserve"> </w:t>
      </w:r>
      <w:r>
        <w:t xml:space="preserve">subject</w:t>
      </w:r>
      <w:r>
        <w:t xml:space="preserve"> </w:t>
      </w:r>
      <w:r>
        <w:t xml:space="preserve">matter</w:t>
      </w:r>
      <w:r>
        <w:t xml:space="preserve"> </w:t>
      </w:r>
      <w:r>
        <w:t xml:space="preserve">jurisdiction.</w:t>
      </w:r>
      <w:r>
        <w:t xml:space="preserve">   </w:t>
      </w:r>
      <w:r>
        <w:tab/>
      </w:r>
      <w:r>
        <w:t xml:space="preserve">9</w:t>
      </w:r>
    </w:p>
    <w:p>
      <w:pPr>
        <w:keepLines/>
        <w:tabs>
          <w:tab w:val="right" w:leader="dot" w:pos="9360"/>
        </w:tabs>
        <w:spacing w:before="192" w:after="0" w:line="276" w:lineRule="exact"/>
        <w:ind w:left="720" w:right="720" w:hanging="360"/>
      </w:pPr>
      <w:r>
        <w:t xml:space="preserve">A.</w:t>
      </w:r>
      <w:r>
        <w:t xml:space="preserve"> </w:t>
      </w:r>
      <w:r>
        <w:t xml:space="preserve">Plaintiffs’</w:t>
      </w:r>
      <w:r>
        <w:t xml:space="preserve"> </w:t>
      </w:r>
      <w:r>
        <w:t xml:space="preserve">anonymous</w:t>
      </w:r>
      <w:r>
        <w:t xml:space="preserve"> </w:t>
      </w:r>
      <w:r>
        <w:t xml:space="preserve">complaint</w:t>
      </w:r>
      <w:r>
        <w:t xml:space="preserve"> </w:t>
      </w:r>
      <w:r>
        <w:t xml:space="preserve">does</w:t>
      </w:r>
      <w:r>
        <w:t xml:space="preserve"> </w:t>
      </w:r>
      <w:r>
        <w:t xml:space="preserve">not</w:t>
      </w:r>
      <w:r>
        <w:t xml:space="preserve"> </w:t>
      </w:r>
      <w:r>
        <w:t xml:space="preserve">divest</w:t>
      </w:r>
      <w:r>
        <w:t xml:space="preserve"> </w:t>
      </w:r>
      <w:r>
        <w:t xml:space="preserve">the</w:t>
      </w:r>
      <w:r>
        <w:t xml:space="preserve"> </w:t>
      </w:r>
      <w:r>
        <w:t xml:space="preserve">court</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tab/>
      </w:r>
      <w:r>
        <w:t xml:space="preserve">9</w:t>
      </w:r>
    </w:p>
    <w:p>
      <w:pPr>
        <w:keepLines/>
        <w:tabs>
          <w:tab w:val="right" w:leader="dot" w:pos="9360"/>
        </w:tabs>
        <w:spacing w:before="192" w:after="0" w:line="276" w:lineRule="exact"/>
        <w:ind w:left="1080" w:right="720" w:hanging="360"/>
      </w:pPr>
      <w:r>
        <w:t xml:space="preserve">1.</w:t>
      </w:r>
      <w:r>
        <w:t xml:space="preserve"> </w:t>
      </w:r>
      <w:r>
        <w:t xml:space="preserve">The</w:t>
      </w:r>
      <w:r>
        <w:t xml:space="preserve"> </w:t>
      </w:r>
      <w:r>
        <w:t xml:space="preserve">Ohio</w:t>
      </w:r>
      <w:r>
        <w:t xml:space="preserve"> </w:t>
      </w:r>
      <w:r>
        <w:t xml:space="preserve">Supreme</w:t>
      </w:r>
      <w:r>
        <w:t xml:space="preserve"> </w:t>
      </w:r>
      <w:r>
        <w:t xml:space="preserve">Court</w:t>
      </w:r>
      <w:r>
        <w:t xml:space="preserve"> </w:t>
      </w:r>
      <w:r>
        <w:t xml:space="preserve">has</w:t>
      </w:r>
      <w:r>
        <w:t xml:space="preserve"> </w:t>
      </w:r>
      <w:r>
        <w:t xml:space="preserve">sanctioned</w:t>
      </w:r>
      <w:r>
        <w:t xml:space="preserve"> </w:t>
      </w:r>
      <w:r>
        <w:t xml:space="preserve">the</w:t>
      </w:r>
      <w:r>
        <w:t xml:space="preserve"> </w:t>
      </w:r>
      <w:r>
        <w:t xml:space="preserve">use</w:t>
      </w:r>
      <w:r>
        <w:t xml:space="preserve"> </w:t>
      </w:r>
      <w:r>
        <w:t xml:space="preserve">of</w:t>
      </w:r>
      <w:r>
        <w:t xml:space="preserve"> </w:t>
      </w:r>
      <w:r>
        <w:t xml:space="preserve">pseudonyms</w:t>
      </w:r>
      <w:r>
        <w:t xml:space="preserve"> </w:t>
      </w:r>
      <w:r>
        <w:t xml:space="preserve">by</w:t>
      </w:r>
      <w:r>
        <w:t xml:space="preserve"> </w:t>
      </w:r>
      <w:r>
        <w:t xml:space="preserve">plaintiffs.</w:t>
      </w:r>
      <w:r>
        <w:t xml:space="preserve">   </w:t>
      </w:r>
      <w:r>
        <w:tab/>
      </w:r>
      <w:r>
        <w:t xml:space="preserve">9</w:t>
      </w:r>
    </w:p>
    <w:p>
      <w:pPr>
        <w:keepLines/>
        <w:tabs>
          <w:tab w:val="right" w:leader="dot" w:pos="9360"/>
        </w:tabs>
        <w:spacing w:before="192" w:after="0" w:line="276" w:lineRule="exact"/>
        <w:ind w:left="1080" w:right="720" w:hanging="360"/>
      </w:pPr>
      <w:r>
        <w:t xml:space="preserve">2.</w:t>
      </w:r>
      <w:r>
        <w:t xml:space="preserve"> </w:t>
      </w:r>
      <w:r>
        <w:t xml:space="preserve">Leave</w:t>
      </w:r>
      <w:r>
        <w:t xml:space="preserve"> </w:t>
      </w:r>
      <w:r>
        <w:t xml:space="preserve">to</w:t>
      </w:r>
      <w:r>
        <w:t xml:space="preserve"> </w:t>
      </w:r>
      <w:r>
        <w:t xml:space="preserve">proceed</w:t>
      </w:r>
      <w:r>
        <w:t xml:space="preserve"> </w:t>
      </w:r>
      <w:r>
        <w:t xml:space="preserve">pseudonymously</w:t>
      </w:r>
      <w:r>
        <w:t xml:space="preserve"> </w:t>
      </w:r>
      <w:r>
        <w:t xml:space="preserve">is</w:t>
      </w:r>
      <w:r>
        <w:t xml:space="preserve"> </w:t>
      </w:r>
      <w:r>
        <w:t xml:space="preserve">not</w:t>
      </w:r>
      <w:r>
        <w:t xml:space="preserve"> </w:t>
      </w:r>
      <w:r>
        <w:t xml:space="preserve">required</w:t>
      </w:r>
      <w:r>
        <w:t xml:space="preserve"> </w:t>
      </w:r>
      <w:r>
        <w:t xml:space="preserve">before</w:t>
      </w:r>
      <w:r>
        <w:t xml:space="preserve"> </w:t>
      </w:r>
      <w:r>
        <w:t xml:space="preserve">filing</w:t>
      </w:r>
      <w:r>
        <w:t xml:space="preserve"> </w:t>
      </w:r>
      <w:r>
        <w:t xml:space="preserve">a</w:t>
      </w:r>
      <w:r>
        <w:t xml:space="preserve"> </w:t>
      </w:r>
      <w:r>
        <w:t xml:space="preserve">complaint.</w:t>
      </w:r>
      <w:r>
        <w:t xml:space="preserve">   </w:t>
      </w:r>
      <w:r>
        <w:tab/>
      </w:r>
      <w:r>
        <w:t xml:space="preserve">13</w:t>
      </w:r>
    </w:p>
    <w:p>
      <w:pPr>
        <w:keepLines/>
        <w:tabs>
          <w:tab w:val="right" w:leader="dot" w:pos="9360"/>
        </w:tabs>
        <w:spacing w:before="192" w:after="0" w:line="276" w:lineRule="exact"/>
        <w:ind w:left="1080" w:right="720" w:hanging="360"/>
      </w:pPr>
      <w:r>
        <w:t xml:space="preserve">3.</w:t>
      </w:r>
      <w:r>
        <w:t xml:space="preserve"> </w:t>
      </w:r>
      <w:r>
        <w:t xml:space="preserve">Pseudonymous</w:t>
      </w:r>
      <w:r>
        <w:t xml:space="preserve"> </w:t>
      </w:r>
      <w:r>
        <w:t xml:space="preserve">filing</w:t>
      </w:r>
      <w:r>
        <w:t xml:space="preserve"> </w:t>
      </w:r>
      <w:r>
        <w:t xml:space="preserve">is</w:t>
      </w:r>
      <w:r>
        <w:t xml:space="preserve"> </w:t>
      </w:r>
      <w:r>
        <w:t xml:space="preserve">not</w:t>
      </w:r>
      <w:r>
        <w:t xml:space="preserve"> </w:t>
      </w:r>
      <w:r>
        <w:t xml:space="preserve">a</w:t>
      </w:r>
      <w:r>
        <w:t xml:space="preserve"> </w:t>
      </w:r>
      <w:r>
        <w:t xml:space="preserve">subject</w:t>
      </w:r>
      <w:r>
        <w:t xml:space="preserve"> </w:t>
      </w:r>
      <w:r>
        <w:t xml:space="preserve">matter</w:t>
      </w:r>
      <w:r>
        <w:t xml:space="preserve"> </w:t>
      </w:r>
      <w:r>
        <w:t xml:space="preserve">jurisdiction</w:t>
      </w:r>
      <w:r>
        <w:t xml:space="preserve"> </w:t>
      </w:r>
      <w:r>
        <w:t xml:space="preserve">question.</w:t>
      </w:r>
      <w:r>
        <w:t xml:space="preserve">   </w:t>
      </w:r>
      <w:r>
        <w:tab/>
      </w:r>
      <w:r>
        <w:t xml:space="preserve">15</w:t>
      </w:r>
    </w:p>
    <w:p>
      <w:pPr>
        <w:keepLines/>
        <w:tabs>
          <w:tab w:val="right" w:leader="dot" w:pos="9360"/>
        </w:tabs>
        <w:spacing w:before="192" w:after="0" w:line="276" w:lineRule="exact"/>
        <w:ind w:left="720" w:right="720" w:hanging="360"/>
      </w:pPr>
      <w:r>
        <w:t xml:space="preserve">B.</w:t>
      </w:r>
      <w:r>
        <w:t xml:space="preserve"> </w:t>
      </w:r>
      <w:r>
        <w:t xml:space="preserve">The</w:t>
      </w:r>
      <w:r>
        <w:t xml:space="preserve"> </w:t>
      </w:r>
      <w:r>
        <w:t xml:space="preserve">jurisdictional-priority</w:t>
      </w:r>
      <w:r>
        <w:t xml:space="preserve"> </w:t>
      </w:r>
      <w:r>
        <w:t xml:space="preserve">rule</w:t>
      </w:r>
      <w:r>
        <w:t xml:space="preserve"> </w:t>
      </w:r>
      <w:r>
        <w:t xml:space="preserve">does</w:t>
      </w:r>
      <w:r>
        <w:t xml:space="preserve"> </w:t>
      </w:r>
      <w:r>
        <w:t xml:space="preserve">not</w:t>
      </w:r>
      <w:r>
        <w:t xml:space="preserve"> </w:t>
      </w:r>
      <w:r>
        <w:t xml:space="preserve">divest</w:t>
      </w:r>
      <w:r>
        <w:t xml:space="preserve"> </w:t>
      </w:r>
      <w:r>
        <w:t xml:space="preserve">the</w:t>
      </w:r>
      <w:r>
        <w:t xml:space="preserve"> </w:t>
      </w:r>
      <w:r>
        <w:t xml:space="preserve">trial</w:t>
      </w:r>
      <w:r>
        <w:t xml:space="preserve"> </w:t>
      </w:r>
      <w:r>
        <w:t xml:space="preserve">court</w:t>
      </w:r>
      <w:r>
        <w:t xml:space="preserve"> </w:t>
      </w:r>
      <w:r>
        <w:t xml:space="preserve">of</w:t>
      </w:r>
      <w:r>
        <w:t xml:space="preserve"> </w:t>
      </w:r>
      <w:r>
        <w:t xml:space="preserve">jurisdiction</w:t>
      </w:r>
      <w:r>
        <w:t xml:space="preserve"> </w:t>
      </w:r>
      <w:r>
        <w:t xml:space="preserve">to</w:t>
      </w:r>
      <w:r>
        <w:t xml:space="preserve"> </w:t>
      </w:r>
      <w:r>
        <w:t xml:space="preserve">hear</w:t>
      </w:r>
      <w:r>
        <w:t xml:space="preserve"> </w:t>
      </w:r>
      <w:r>
        <w:t xml:space="preserve">Plaintiffs’</w:t>
      </w:r>
      <w:r>
        <w:t xml:space="preserve"> </w:t>
      </w:r>
      <w:r>
        <w:t xml:space="preserve">claims.</w:t>
      </w:r>
      <w:r>
        <w:t xml:space="preserve">   </w:t>
      </w:r>
      <w:r>
        <w:tab/>
      </w:r>
      <w:r>
        <w:t xml:space="preserve">16</w:t>
      </w:r>
    </w:p>
    <w:p>
      <w:pPr>
        <w:keepLines/>
        <w:tabs>
          <w:tab w:val="right" w:leader="dot" w:pos="9360"/>
        </w:tabs>
        <w:spacing w:before="192" w:after="0" w:line="276" w:lineRule="exact"/>
        <w:ind w:left="360" w:right="720" w:hanging="360"/>
      </w:pPr>
      <w:r>
        <w:t xml:space="preserve">III.</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err</w:t>
      </w:r>
      <w:r>
        <w:t xml:space="preserve"> </w:t>
      </w:r>
      <w:r>
        <w:t xml:space="preserve">when</w:t>
      </w:r>
      <w:r>
        <w:t xml:space="preserve"> </w:t>
      </w:r>
      <w:r>
        <w:t xml:space="preserve">it</w:t>
      </w:r>
      <w:r>
        <w:t xml:space="preserve"> </w:t>
      </w:r>
      <w:r>
        <w:t xml:space="preserve">granted</w:t>
      </w:r>
      <w:r>
        <w:t xml:space="preserve"> </w:t>
      </w:r>
      <w:r>
        <w:t xml:space="preserve">a</w:t>
      </w:r>
      <w:r>
        <w:t xml:space="preserve"> </w:t>
      </w:r>
      <w:r>
        <w:t xml:space="preserve">preliminary</w:t>
      </w:r>
      <w:r>
        <w:t xml:space="preserve"> </w:t>
      </w:r>
      <w:r>
        <w:t xml:space="preserve">injunction</w:t>
      </w:r>
      <w:r>
        <w:t xml:space="preserve"> </w:t>
      </w:r>
      <w:r>
        <w:t xml:space="preserve">to</w:t>
      </w:r>
      <w:r>
        <w:t xml:space="preserve"> </w:t>
      </w:r>
      <w:r>
        <w:t xml:space="preserve">Plaintiffs.</w:t>
      </w:r>
      <w:r>
        <w:t xml:space="preserve">   </w:t>
      </w:r>
      <w:r>
        <w:tab/>
      </w:r>
      <w:r>
        <w:t xml:space="preserve">20</w:t>
      </w:r>
    </w:p>
    <w:p>
      <w:pPr>
        <w:keepLines/>
        <w:tabs>
          <w:tab w:val="right" w:leader="dot" w:pos="9360"/>
        </w:tabs>
        <w:spacing w:before="192" w:after="0" w:line="276" w:lineRule="exact"/>
        <w:ind w:left="720" w:right="720" w:hanging="360"/>
      </w:pPr>
      <w:r>
        <w:t xml:space="preserve">A.</w:t>
      </w:r>
      <w:r>
        <w:t xml:space="preserve"> </w:t>
      </w:r>
      <w:r>
        <w:t xml:space="preserve">Plaintiffs</w:t>
      </w:r>
      <w:r>
        <w:t xml:space="preserve"> </w:t>
      </w:r>
      <w:r>
        <w:t xml:space="preserve">have</w:t>
      </w:r>
      <w:r>
        <w:t xml:space="preserve"> </w:t>
      </w:r>
      <w:r>
        <w:t xml:space="preserve">standing</w:t>
      </w:r>
      <w:r>
        <w:t xml:space="preserve"> </w:t>
      </w:r>
      <w:r>
        <w:t xml:space="preserve">to</w:t>
      </w:r>
      <w:r>
        <w:t xml:space="preserve"> </w:t>
      </w:r>
      <w:r>
        <w:t xml:space="preserve">bring</w:t>
      </w:r>
      <w:r>
        <w:t xml:space="preserve"> </w:t>
      </w:r>
      <w:r>
        <w:t xml:space="preserve">their</w:t>
      </w:r>
      <w:r>
        <w:t xml:space="preserve"> </w:t>
      </w:r>
      <w:r>
        <w:t xml:space="preserve">claims.</w:t>
      </w:r>
      <w:r>
        <w:t xml:space="preserve">   </w:t>
      </w:r>
      <w:r>
        <w:tab/>
      </w:r>
      <w:r>
        <w:t xml:space="preserve">20</w:t>
      </w:r>
    </w:p>
    <w:p>
      <w:pPr>
        <w:keepLines/>
        <w:tabs>
          <w:tab w:val="right" w:leader="dot" w:pos="9360"/>
        </w:tabs>
        <w:spacing w:before="192" w:after="0" w:line="276" w:lineRule="exact"/>
        <w:ind w:left="720" w:right="720" w:hanging="360"/>
      </w:pPr>
      <w:r>
        <w:t xml:space="preserve">B.</w:t>
      </w:r>
      <w:r>
        <w:t xml:space="preserve"> </w:t>
      </w:r>
      <w:r>
        <w:t xml:space="preserve">Municipalities</w:t>
      </w:r>
      <w:r>
        <w:t xml:space="preserve"> </w:t>
      </w:r>
      <w:r>
        <w:t xml:space="preserve">do</w:t>
      </w:r>
      <w:r>
        <w:t xml:space="preserve"> </w:t>
      </w:r>
      <w:r>
        <w:t xml:space="preserve">not</w:t>
      </w:r>
      <w:r>
        <w:t xml:space="preserve"> </w:t>
      </w:r>
      <w:r>
        <w:t xml:space="preserve">have</w:t>
      </w:r>
      <w:r>
        <w:t xml:space="preserve"> </w:t>
      </w:r>
      <w:r>
        <w:t xml:space="preserve">due</w:t>
      </w:r>
      <w:r>
        <w:t xml:space="preserve"> </w:t>
      </w:r>
      <w:r>
        <w:t xml:space="preserve">process</w:t>
      </w:r>
      <w:r>
        <w:t xml:space="preserve"> </w:t>
      </w:r>
      <w:r>
        <w:t xml:space="preserve">rights,</w:t>
      </w:r>
      <w:r>
        <w:t xml:space="preserve"> </w:t>
      </w:r>
      <w:r>
        <w:t xml:space="preserve">and,</w:t>
      </w:r>
      <w:r>
        <w:t xml:space="preserve"> </w:t>
      </w:r>
      <w:r>
        <w:t xml:space="preserve">regardless,</w:t>
      </w:r>
      <w:r>
        <w:t xml:space="preserve"> </w:t>
      </w:r>
      <w:r>
        <w:t xml:space="preserve">Defendants</w:t>
      </w:r>
      <w:r>
        <w:t xml:space="preserve"> </w:t>
      </w:r>
      <w:r>
        <w:t xml:space="preserve">had</w:t>
      </w:r>
      <w:r>
        <w:t xml:space="preserve"> </w:t>
      </w:r>
      <w:r>
        <w:t xml:space="preserve">notice</w:t>
      </w:r>
      <w:r>
        <w:t xml:space="preserve"> </w:t>
      </w:r>
      <w:r>
        <w:t xml:space="preserve">and</w:t>
      </w:r>
      <w:r>
        <w:t xml:space="preserve"> </w:t>
      </w:r>
      <w:r>
        <w:t xml:space="preserve">an</w:t>
      </w:r>
      <w:r>
        <w:t xml:space="preserve"> </w:t>
      </w:r>
      <w:r>
        <w:t xml:space="preserve">opportunity</w:t>
      </w:r>
      <w:r>
        <w:t xml:space="preserve"> </w:t>
      </w:r>
      <w:r>
        <w:t xml:space="preserve">to</w:t>
      </w:r>
      <w:r>
        <w:t xml:space="preserve"> </w:t>
      </w:r>
      <w:r>
        <w:t xml:space="preserve">be</w:t>
      </w:r>
      <w:r>
        <w:t xml:space="preserve"> </w:t>
      </w:r>
      <w:r>
        <w:t xml:space="preserve">heard</w:t>
      </w:r>
      <w:r>
        <w:t xml:space="preserve"> </w:t>
      </w:r>
      <w:r>
        <w:t xml:space="preserve">on</w:t>
      </w:r>
      <w:r>
        <w:t xml:space="preserve"> </w:t>
      </w:r>
      <w:r>
        <w:t xml:space="preserve">John</w:t>
      </w:r>
      <w:r>
        <w:t xml:space="preserve"> </w:t>
      </w:r>
      <w:r>
        <w:t xml:space="preserve">Doe</w:t>
      </w:r>
      <w:r>
        <w:t xml:space="preserve"> </w:t>
      </w:r>
      <w:r>
        <w:t xml:space="preserve">5’s</w:t>
      </w:r>
      <w:r>
        <w:t xml:space="preserve"> </w:t>
      </w:r>
      <w:r>
        <w:t xml:space="preserve">addition</w:t>
      </w:r>
      <w:r>
        <w:t xml:space="preserve"> </w:t>
      </w:r>
      <w:r>
        <w:t xml:space="preserve">to</w:t>
      </w:r>
      <w:r>
        <w:t xml:space="preserve"> </w:t>
      </w:r>
      <w:r>
        <w:t xml:space="preserve">the</w:t>
      </w:r>
      <w:r>
        <w:t xml:space="preserve"> </w:t>
      </w:r>
      <w:r>
        <w:t xml:space="preserve">preliminary</w:t>
      </w:r>
      <w:r>
        <w:t xml:space="preserve"> </w:t>
      </w:r>
      <w:r>
        <w:t xml:space="preserve">injunction.</w:t>
      </w:r>
      <w:r>
        <w:t xml:space="preserve">   </w:t>
      </w:r>
      <w:r>
        <w:tab/>
      </w:r>
      <w:r>
        <w:t xml:space="preserve">21</w:t>
      </w:r>
    </w:p>
    <w:p>
      <w:pPr>
        <w:keepLines/>
        <w:tabs>
          <w:tab w:val="right" w:leader="dot" w:pos="9360"/>
        </w:tabs>
        <w:spacing w:before="192" w:after="0" w:line="276" w:lineRule="exact"/>
        <w:ind w:left="720" w:right="720" w:hanging="360"/>
      </w:pPr>
      <w:r>
        <w:t xml:space="preserve">C.</w:t>
      </w:r>
      <w:r>
        <w:t xml:space="preserve"> </w:t>
      </w:r>
      <w:r>
        <w:t xml:space="preserve">Plaintiffs</w:t>
      </w:r>
      <w:r>
        <w:t xml:space="preserve"> </w:t>
      </w:r>
      <w:r>
        <w:t xml:space="preserve">are</w:t>
      </w:r>
      <w:r>
        <w:t xml:space="preserve"> </w:t>
      </w:r>
      <w:r>
        <w:t xml:space="preserve">likely</w:t>
      </w:r>
      <w:r>
        <w:t xml:space="preserve"> </w:t>
      </w:r>
      <w:r>
        <w:t xml:space="preserve">to</w:t>
      </w:r>
      <w:r>
        <w:t xml:space="preserve"> </w:t>
      </w:r>
      <w:r>
        <w:t xml:space="preserve">prevail</w:t>
      </w:r>
      <w:r>
        <w:t xml:space="preserve"> </w:t>
      </w:r>
      <w:r>
        <w:t xml:space="preserve">on</w:t>
      </w:r>
      <w:r>
        <w:t xml:space="preserve"> </w:t>
      </w:r>
      <w:r>
        <w:t xml:space="preserve">their</w:t>
      </w:r>
      <w:r>
        <w:t xml:space="preserve"> </w:t>
      </w:r>
      <w:r>
        <w:t xml:space="preserve">constitutional</w:t>
      </w:r>
      <w:r>
        <w:t xml:space="preserve"> </w:t>
      </w:r>
      <w:r>
        <w:t xml:space="preserve">claim</w:t>
      </w:r>
      <w:r>
        <w:t xml:space="preserve"> </w:t>
      </w:r>
      <w:r>
        <w:t xml:space="preserve">because</w:t>
      </w:r>
      <w:r>
        <w:t xml:space="preserve"> </w:t>
      </w:r>
      <w:r>
        <w:t xml:space="preserve">Article</w:t>
      </w:r>
      <w:r>
        <w:t xml:space="preserve"> </w:t>
      </w:r>
      <w:r>
        <w:t xml:space="preserve">I,</w:t>
      </w:r>
      <w:r>
        <w:t xml:space="preserve"> </w:t>
      </w:r>
      <w:r>
        <w:t xml:space="preserve">Section</w:t>
      </w:r>
      <w:r>
        <w:t xml:space="preserve"> </w:t>
      </w:r>
      <w:r>
        <w:t xml:space="preserve">4</w:t>
      </w:r>
      <w:r>
        <w:t xml:space="preserve"> </w:t>
      </w:r>
      <w:r>
        <w:t xml:space="preserve">must</w:t>
      </w:r>
      <w:r>
        <w:t xml:space="preserve"> </w:t>
      </w:r>
      <w:r>
        <w:t xml:space="preserve">be</w:t>
      </w:r>
      <w:r>
        <w:t xml:space="preserve"> </w:t>
      </w:r>
      <w:r>
        <w:t xml:space="preserve">interpreted</w:t>
      </w:r>
      <w:r>
        <w:t xml:space="preserve"> </w:t>
      </w:r>
      <w:r>
        <w:t xml:space="preserve">in</w:t>
      </w:r>
      <w:r>
        <w:t xml:space="preserve"> </w:t>
      </w:r>
      <w:r>
        <w:t xml:space="preserve">light</w:t>
      </w:r>
      <w:r>
        <w:t xml:space="preserve"> </w:t>
      </w:r>
      <w:r>
        <w:t xml:space="preserve">of</w:t>
      </w:r>
      <w:r>
        <w:t xml:space="preserve"> </w:t>
      </w:r>
      <w:r>
        <w:t xml:space="preserve">the</w:t>
      </w:r>
      <w:r>
        <w:t xml:space="preserve"> </w:t>
      </w:r>
      <w:r>
        <w:t xml:space="preserve">Second</w:t>
      </w:r>
      <w:r>
        <w:t xml:space="preserve"> </w:t>
      </w:r>
      <w:r>
        <w:t xml:space="preserve">Amendment.</w:t>
      </w:r>
      <w:r>
        <w:t xml:space="preserve">   </w:t>
      </w:r>
      <w:r>
        <w:tab/>
      </w:r>
      <w:r>
        <w:t xml:space="preserve">22</w:t>
      </w:r>
    </w:p>
    <w:p>
      <w:pPr>
        <w:keepLines/>
        <w:tabs>
          <w:tab w:val="right" w:leader="dot" w:pos="9360"/>
        </w:tabs>
        <w:spacing w:before="192" w:after="0" w:line="276" w:lineRule="exact"/>
        <w:ind w:left="1080" w:right="720" w:hanging="360"/>
      </w:pPr>
      <w:r>
        <w:t xml:space="preserve">1.</w:t>
      </w:r>
      <w:r>
        <w:t xml:space="preserve"> </w:t>
      </w:r>
      <w:r>
        <w:t xml:space="preserve">The</w:t>
      </w:r>
      <w:r>
        <w:t xml:space="preserve"> </w:t>
      </w:r>
      <w:r>
        <w:t xml:space="preserve">Second</w:t>
      </w:r>
      <w:r>
        <w:t xml:space="preserve"> </w:t>
      </w:r>
      <w:r>
        <w:t xml:space="preserve">Amendment</w:t>
      </w:r>
      <w:r>
        <w:t xml:space="preserve"> </w:t>
      </w:r>
      <w:r>
        <w:t xml:space="preserve">is</w:t>
      </w:r>
      <w:r>
        <w:t xml:space="preserve"> </w:t>
      </w:r>
      <w:r>
        <w:t xml:space="preserve">the</w:t>
      </w:r>
      <w:r>
        <w:t xml:space="preserve"> </w:t>
      </w:r>
      <w:r>
        <w:t xml:space="preserve">floor</w:t>
      </w:r>
      <w:r>
        <w:t xml:space="preserve"> </w:t>
      </w:r>
      <w:r>
        <w:t xml:space="preserve">for</w:t>
      </w:r>
      <w:r>
        <w:t xml:space="preserve"> </w:t>
      </w:r>
      <w:r>
        <w:t xml:space="preserve">Article</w:t>
      </w:r>
      <w:r>
        <w:t xml:space="preserve"> </w:t>
      </w:r>
      <w:r>
        <w:t xml:space="preserve">I,</w:t>
      </w:r>
      <w:r>
        <w:t xml:space="preserve"> </w:t>
      </w:r>
      <w:r>
        <w:t xml:space="preserve">Section</w:t>
      </w:r>
      <w:r>
        <w:t xml:space="preserve"> </w:t>
      </w:r>
      <w:r>
        <w:t xml:space="preserve">4.</w:t>
      </w:r>
      <w:r>
        <w:t xml:space="preserve">   </w:t>
      </w:r>
      <w:r>
        <w:tab/>
      </w:r>
      <w:r>
        <w:t xml:space="preserve">22</w:t>
      </w:r>
    </w:p>
    <w:p>
      <w:pPr>
        <w:keepLines/>
        <w:tabs>
          <w:tab w:val="right" w:leader="dot" w:pos="9360"/>
        </w:tabs>
        <w:spacing w:before="192" w:after="0" w:line="276" w:lineRule="exact"/>
        <w:ind w:left="1080" w:right="720" w:hanging="360"/>
      </w:pPr>
      <w:r>
        <w:t xml:space="preserve">2.</w:t>
      </w:r>
      <w:r>
        <w:t xml:space="preserve"> </w:t>
      </w:r>
      <w:r>
        <w:t xml:space="preserve">The</w:t>
      </w:r>
      <w:r>
        <w:t xml:space="preserve"> </w:t>
      </w:r>
      <w:r>
        <w:t xml:space="preserve">Ohio</w:t>
      </w:r>
      <w:r>
        <w:t xml:space="preserve"> </w:t>
      </w:r>
      <w:r>
        <w:t xml:space="preserve">Supreme</w:t>
      </w:r>
      <w:r>
        <w:t xml:space="preserve"> </w:t>
      </w:r>
      <w:r>
        <w:t xml:space="preserve">Court</w:t>
      </w:r>
      <w:r>
        <w:t xml:space="preserve"> </w:t>
      </w:r>
      <w:r>
        <w:t xml:space="preserve">has</w:t>
      </w:r>
      <w:r>
        <w:t xml:space="preserve"> </w:t>
      </w:r>
      <w:r>
        <w:t xml:space="preserve">abrogated</w:t>
      </w:r>
      <w:r>
        <w:t xml:space="preserve"> </w:t>
      </w:r>
      <w:r>
        <w:t xml:space="preserve">the</w:t>
      </w:r>
      <w:r>
        <w:t xml:space="preserve"> </w:t>
      </w:r>
      <w:r>
        <w:t xml:space="preserve">reasonableness</w:t>
      </w:r>
      <w:r>
        <w:t xml:space="preserve"> </w:t>
      </w:r>
      <w:r>
        <w:t xml:space="preserve">test</w:t>
      </w:r>
      <w:r>
        <w:t xml:space="preserve"> </w:t>
      </w:r>
      <w:r>
        <w:t xml:space="preserve">for</w:t>
      </w:r>
      <w:r>
        <w:t xml:space="preserve"> </w:t>
      </w:r>
      <w:r>
        <w:t xml:space="preserve">fundamental</w:t>
      </w:r>
      <w:r>
        <w:t xml:space="preserve"> </w:t>
      </w:r>
      <w:r>
        <w:t xml:space="preserve">rights.</w:t>
      </w:r>
      <w:r>
        <w:t xml:space="preserve">   </w:t>
      </w:r>
      <w:r>
        <w:tab/>
      </w:r>
      <w:r>
        <w:t xml:space="preserve">29</w:t>
      </w:r>
    </w:p>
    <w:p>
      <w:pPr>
        <w:keepLines/>
        <w:tabs>
          <w:tab w:val="right" w:leader="dot" w:pos="9360"/>
        </w:tabs>
        <w:spacing w:before="192" w:after="0" w:line="276" w:lineRule="exact"/>
        <w:ind w:left="1080" w:right="720" w:hanging="360"/>
      </w:pPr>
      <w:r>
        <w:t xml:space="preserve">3.</w:t>
      </w:r>
      <w:r>
        <w:t xml:space="preserve"> </w:t>
      </w:r>
      <w:r>
        <w:t xml:space="preserve">The</w:t>
      </w:r>
      <w:r>
        <w:t xml:space="preserve"> </w:t>
      </w:r>
      <w:r>
        <w:t xml:space="preserve">ordinances</w:t>
      </w:r>
      <w:r>
        <w:t xml:space="preserve"> </w:t>
      </w:r>
      <w:r>
        <w:t xml:space="preserve">are</w:t>
      </w:r>
      <w:r>
        <w:t xml:space="preserve"> </w:t>
      </w:r>
      <w:r>
        <w:t xml:space="preserve">invalid</w:t>
      </w:r>
      <w:r>
        <w:t xml:space="preserve"> </w:t>
      </w:r>
      <w:r>
        <w:t xml:space="preserve">even</w:t>
      </w:r>
      <w:r>
        <w:t xml:space="preserve"> </w:t>
      </w:r>
      <w:r>
        <w:t xml:space="preserve">under</w:t>
      </w:r>
      <w:r>
        <w:t xml:space="preserve"> </w:t>
      </w:r>
      <w:r>
        <w:t xml:space="preserve">the</w:t>
      </w:r>
      <w:r>
        <w:t xml:space="preserve"> </w:t>
      </w:r>
      <w:r>
        <w:t xml:space="preserve">abrogated</w:t>
      </w:r>
      <w:r>
        <w:t xml:space="preserve"> </w:t>
      </w:r>
      <w:r>
        <w:rPr>
          <w:i/>
          <w:iCs/>
        </w:rPr>
        <w:t xml:space="preserve">Arnold</w:t>
      </w:r>
      <w:r>
        <w:t xml:space="preserve"> </w:t>
      </w:r>
      <w:r>
        <w:t xml:space="preserve">reasonableness</w:t>
      </w:r>
      <w:r>
        <w:t xml:space="preserve"> </w:t>
      </w:r>
      <w:r>
        <w:t xml:space="preserve">test.</w:t>
      </w:r>
      <w:r>
        <w:t xml:space="preserve">   </w:t>
      </w:r>
      <w:r>
        <w:tab/>
      </w:r>
      <w:r>
        <w:t xml:space="preserve">30</w:t>
      </w:r>
    </w:p>
    <w:p>
      <w:pPr>
        <w:keepLines/>
        <w:tabs>
          <w:tab w:val="right" w:leader="dot" w:pos="9360"/>
        </w:tabs>
        <w:spacing w:before="192" w:after="0" w:line="276" w:lineRule="exact"/>
        <w:ind w:left="720" w:right="720" w:hanging="360"/>
      </w:pPr>
      <w:r>
        <w:t xml:space="preserve">D.</w:t>
      </w:r>
      <w:r>
        <w:t xml:space="preserve"> </w:t>
      </w:r>
      <w:r>
        <w:t xml:space="preserve">Plaintiffs</w:t>
      </w:r>
      <w:r>
        <w:t xml:space="preserve"> </w:t>
      </w:r>
      <w:r>
        <w:t xml:space="preserve">are</w:t>
      </w:r>
      <w:r>
        <w:t xml:space="preserve"> </w:t>
      </w:r>
      <w:r>
        <w:t xml:space="preserve">likely</w:t>
      </w:r>
      <w:r>
        <w:t xml:space="preserve"> </w:t>
      </w:r>
      <w:r>
        <w:t xml:space="preserve">to</w:t>
      </w:r>
      <w:r>
        <w:t xml:space="preserve"> </w:t>
      </w:r>
      <w:r>
        <w:t xml:space="preserve">prevail</w:t>
      </w:r>
      <w:r>
        <w:t xml:space="preserve"> </w:t>
      </w:r>
      <w:r>
        <w:t xml:space="preserve">on</w:t>
      </w:r>
      <w:r>
        <w:t xml:space="preserve"> </w:t>
      </w:r>
      <w:r>
        <w:t xml:space="preserve">their</w:t>
      </w:r>
      <w:r>
        <w:t xml:space="preserve"> </w:t>
      </w:r>
      <w:r>
        <w:t xml:space="preserve">claims</w:t>
      </w:r>
      <w:r>
        <w:t xml:space="preserve"> </w:t>
      </w:r>
      <w:r>
        <w:t xml:space="preserve">under</w:t>
      </w:r>
      <w:r>
        <w:t xml:space="preserve"> </w:t>
      </w:r>
      <w:r>
        <w:t xml:space="preserve">R.C.</w:t>
      </w:r>
      <w:r>
        <w:t xml:space="preserve"> </w:t>
      </w:r>
      <w:r>
        <w:t xml:space="preserve">9.68.</w:t>
      </w:r>
      <w:r>
        <w:t xml:space="preserve">   </w:t>
      </w:r>
      <w:r>
        <w:tab/>
      </w:r>
      <w:r>
        <w:t xml:space="preserve">33</w:t>
      </w:r>
    </w:p>
    <w:p>
      <w:pPr>
        <w:keepLines/>
        <w:tabs>
          <w:tab w:val="right" w:leader="dot" w:pos="9360"/>
        </w:tabs>
        <w:spacing w:before="192" w:after="0" w:line="276" w:lineRule="exact"/>
        <w:ind w:left="720" w:right="720" w:hanging="360"/>
      </w:pPr>
      <w:r>
        <w:t xml:space="preserve">E.</w:t>
      </w:r>
      <w:r>
        <w:t xml:space="preserve"> </w:t>
      </w:r>
      <w:r>
        <w:t xml:space="preserve">Plaintiffs</w:t>
      </w:r>
      <w:r>
        <w:t xml:space="preserve"> </w:t>
      </w:r>
      <w:r>
        <w:t xml:space="preserve">face</w:t>
      </w:r>
      <w:r>
        <w:t xml:space="preserve"> </w:t>
      </w:r>
      <w:r>
        <w:t xml:space="preserve">irreparable</w:t>
      </w:r>
      <w:r>
        <w:t xml:space="preserve"> </w:t>
      </w:r>
      <w:r>
        <w:t xml:space="preserve">harm</w:t>
      </w:r>
      <w:r>
        <w:t xml:space="preserve"> </w:t>
      </w:r>
      <w:r>
        <w:t xml:space="preserve">without</w:t>
      </w:r>
      <w:r>
        <w:t xml:space="preserve"> </w:t>
      </w:r>
      <w:r>
        <w:t xml:space="preserve">an</w:t>
      </w:r>
      <w:r>
        <w:t xml:space="preserve"> </w:t>
      </w:r>
      <w:r>
        <w:t xml:space="preserve">injunction.</w:t>
      </w:r>
      <w:r>
        <w:t xml:space="preserve">   </w:t>
      </w:r>
      <w:r>
        <w:tab/>
      </w:r>
      <w:r>
        <w:t xml:space="preserve">35</w:t>
      </w:r>
    </w:p>
    <w:p>
      <w:pPr>
        <w:keepLines/>
        <w:tabs>
          <w:tab w:val="right" w:leader="dot" w:pos="9360"/>
        </w:tabs>
        <w:spacing w:before="192" w:after="0" w:line="276" w:lineRule="exact"/>
        <w:ind w:left="720" w:right="720" w:hanging="360"/>
      </w:pPr>
      <w:r>
        <w:t xml:space="preserve">F.</w:t>
      </w:r>
      <w:r>
        <w:t xml:space="preserve"> </w:t>
      </w:r>
      <w:r>
        <w:t xml:space="preserve">Defendants</w:t>
      </w:r>
      <w:r>
        <w:t xml:space="preserve"> </w:t>
      </w:r>
      <w:r>
        <w:t xml:space="preserve">failed</w:t>
      </w:r>
      <w:r>
        <w:t xml:space="preserve"> </w:t>
      </w:r>
      <w:r>
        <w:t xml:space="preserve">to</w:t>
      </w:r>
      <w:r>
        <w:t xml:space="preserve"> </w:t>
      </w:r>
      <w:r>
        <w:t xml:space="preserve">show</w:t>
      </w:r>
      <w:r>
        <w:t xml:space="preserve"> </w:t>
      </w:r>
      <w:r>
        <w:t xml:space="preserve">that</w:t>
      </w:r>
      <w:r>
        <w:t xml:space="preserve"> </w:t>
      </w:r>
      <w:r>
        <w:t xml:space="preserve">an</w:t>
      </w:r>
      <w:r>
        <w:t xml:space="preserve"> </w:t>
      </w:r>
      <w:r>
        <w:t xml:space="preserve">injunction</w:t>
      </w:r>
      <w:r>
        <w:t xml:space="preserve"> </w:t>
      </w:r>
      <w:r>
        <w:t xml:space="preserve">would</w:t>
      </w:r>
      <w:r>
        <w:t xml:space="preserve"> </w:t>
      </w:r>
      <w:r>
        <w:t xml:space="preserve">harm</w:t>
      </w:r>
      <w:r>
        <w:t xml:space="preserve"> </w:t>
      </w:r>
      <w:r>
        <w:t xml:space="preserve">Defendants</w:t>
      </w:r>
      <w:r>
        <w:t xml:space="preserve"> </w:t>
      </w:r>
      <w:r>
        <w:t xml:space="preserve">or</w:t>
      </w:r>
      <w:r>
        <w:t xml:space="preserve"> </w:t>
      </w:r>
      <w:r>
        <w:t xml:space="preserve">third</w:t>
      </w:r>
      <w:r>
        <w:t xml:space="preserve"> </w:t>
      </w:r>
      <w:r>
        <w:t xml:space="preserve">parties.</w:t>
      </w:r>
      <w:r>
        <w:t xml:space="preserve">   </w:t>
      </w:r>
      <w:r>
        <w:tab/>
      </w:r>
      <w:r>
        <w:t xml:space="preserve">36</w:t>
      </w:r>
    </w:p>
    <w:p>
      <w:pPr>
        <w:keepLines/>
        <w:tabs>
          <w:tab w:val="right" w:leader="dot" w:pos="9360"/>
        </w:tabs>
        <w:spacing w:before="192" w:after="0" w:line="276" w:lineRule="exact"/>
        <w:ind w:left="360" w:right="720" w:hanging="360"/>
      </w:pPr>
      <w:r>
        <w:t xml:space="preserve">CONCLUSION</w:t>
      </w:r>
      <w:r>
        <w:t xml:space="preserve">   </w:t>
      </w:r>
      <w:r>
        <w:tab/>
      </w:r>
      <w:r>
        <w:t xml:space="preserve">37</w:t>
      </w:r>
    </w:p>
    <w:p>
      <w:pPr>
        <w:pageBreakBefore/>
        <w:spacing w:before="0" w:after="0" w:line="1" w:lineRule="exact"/>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192" w:after="0" w:line="276" w:lineRule="exact"/>
        <w:ind w:left="360" w:right="720" w:hanging="360"/>
      </w:pPr>
      <w:r>
        <w:rPr>
          <w:i/>
          <w:iCs/>
        </w:rPr>
        <w:t xml:space="preserve">Allison</w:t>
      </w:r>
      <w:r>
        <w:rPr>
          <w:i/>
          <w:iCs/>
        </w:rPr>
        <w:t xml:space="preserve"> </w:t>
      </w:r>
      <w:r>
        <w:rPr>
          <w:i/>
          <w:iCs/>
        </w:rPr>
        <w:t xml:space="preserve">Publications,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Doe</w:t>
      </w:r>
      <w:r>
        <w:t xml:space="preserve">,</w:t>
      </w:r>
      <w:r>
        <w:t xml:space="preserve"> </w:t>
      </w:r>
      <w:r>
        <w:t xml:space="preserve">654</w:t>
      </w:r>
      <w:r>
        <w:t xml:space="preserve"> </w:t>
      </w:r>
      <w:r>
        <w:t xml:space="preserve">S.W.3d</w:t>
      </w:r>
      <w:r>
        <w:t xml:space="preserve"> </w:t>
      </w:r>
      <w:r>
        <w:t xml:space="preserve">210</w:t>
      </w:r>
      <w:r>
        <w:t xml:space="preserve"> </w:t>
      </w:r>
      <w:r>
        <w:t xml:space="preserve">(Tex.App.2022)</w:t>
      </w:r>
      <w:r>
        <w:t xml:space="preserve">   </w:t>
      </w:r>
      <w:r>
        <w:tab/>
      </w:r>
      <w:r>
        <w:t xml:space="preserve">12</w:t>
      </w:r>
    </w:p>
    <w:p>
      <w:pPr>
        <w:keepLines/>
        <w:tabs>
          <w:tab w:val="right" w:leader="dot" w:pos="9360"/>
        </w:tabs>
        <w:spacing w:before="192" w:after="0" w:line="276" w:lineRule="exact"/>
        <w:ind w:left="360" w:right="720" w:hanging="360"/>
      </w:pPr>
      <w:r>
        <w:rPr>
          <w:i/>
          <w:iCs/>
        </w:rPr>
        <w:t xml:space="preserve">Arbino</w:t>
      </w:r>
      <w:r>
        <w:rPr>
          <w:i/>
          <w:iCs/>
        </w:rPr>
        <w:t xml:space="preserve"> </w:t>
      </w:r>
      <w:r>
        <w:rPr>
          <w:i/>
          <w:iCs/>
        </w:rPr>
        <w:t xml:space="preserve">v.</w:t>
      </w:r>
      <w:r>
        <w:rPr>
          <w:i/>
          <w:iCs/>
        </w:rPr>
        <w:t xml:space="preserve"> </w:t>
      </w:r>
      <w:r>
        <w:rPr>
          <w:i/>
          <w:iCs/>
        </w:rPr>
        <w:t xml:space="preserve">Johnson</w:t>
      </w:r>
      <w:r>
        <w:rPr>
          <w:i/>
          <w:iCs/>
        </w:rPr>
        <w:t xml:space="preserve"> </w:t>
      </w:r>
      <w:r>
        <w:rPr>
          <w:i/>
          <w:iCs/>
        </w:rPr>
        <w:t xml:space="preserve">&amp;</w:t>
      </w:r>
      <w:r>
        <w:rPr>
          <w:i/>
          <w:iCs/>
        </w:rPr>
        <w:t xml:space="preserve"> </w:t>
      </w:r>
      <w:r>
        <w:rPr>
          <w:i/>
          <w:iCs/>
        </w:rPr>
        <w:t xml:space="preserve">Johnson</w:t>
      </w:r>
      <w:r>
        <w:t xml:space="preserve">,</w:t>
      </w:r>
      <w:r>
        <w:t xml:space="preserve"> </w:t>
      </w:r>
      <w:r>
        <w:t xml:space="preserve">116</w:t>
      </w:r>
      <w:r>
        <w:t xml:space="preserve"> </w:t>
      </w:r>
      <w:r>
        <w:t xml:space="preserve">Ohio</w:t>
      </w:r>
      <w:r>
        <w:t xml:space="preserve"> </w:t>
      </w:r>
      <w:r>
        <w:t xml:space="preserve">St.3d</w:t>
      </w:r>
      <w:r>
        <w:t xml:space="preserve"> </w:t>
      </w:r>
      <w:r>
        <w:t xml:space="preserve">468,</w:t>
      </w:r>
      <w:r>
        <w:t xml:space="preserve"> </w:t>
      </w:r>
      <w:r>
        <w:t xml:space="preserve">2007-Ohio</w:t>
        <w:noBreakHyphen/>
        <w:t xml:space="preserve">6948,</w:t>
      </w:r>
      <w:r>
        <w:t xml:space="preserve"> </w:t>
      </w:r>
      <w:r>
        <w:t xml:space="preserve">880</w:t>
      </w:r>
      <w:r>
        <w:t xml:space="preserve"> </w:t>
      </w:r>
      <w:r>
        <w:t xml:space="preserve">N.E.2d</w:t>
      </w:r>
      <w:r>
        <w:t xml:space="preserve"> </w:t>
      </w:r>
      <w:r>
        <w:t xml:space="preserve">420</w:t>
      </w:r>
      <w:r>
        <w:t xml:space="preserve">   </w:t>
      </w:r>
      <w:r>
        <w:tab/>
      </w:r>
      <w:r>
        <w:t xml:space="preserve">29</w:t>
      </w:r>
    </w:p>
    <w:p>
      <w:pPr>
        <w:keepLines/>
        <w:tabs>
          <w:tab w:val="right" w:leader="dot" w:pos="9360"/>
        </w:tabs>
        <w:spacing w:before="192" w:after="0" w:line="276" w:lineRule="exact"/>
        <w:ind w:left="360" w:right="2400" w:hanging="360"/>
      </w:pPr>
      <w:r>
        <w:rPr>
          <w:i/>
          <w:iCs/>
        </w:rPr>
        <w:t xml:space="preserve">Arnold</w:t>
      </w:r>
      <w:r>
        <w:rPr>
          <w:i/>
          <w:iCs/>
        </w:rPr>
        <w:t xml:space="preserve"> </w:t>
      </w:r>
      <w:r>
        <w:rPr>
          <w:i/>
          <w:iCs/>
        </w:rPr>
        <w:t xml:space="preserve">v.</w:t>
      </w:r>
      <w:r>
        <w:rPr>
          <w:i/>
          <w:iCs/>
        </w:rPr>
        <w:t xml:space="preserve"> </w:t>
      </w:r>
      <w:r>
        <w:rPr>
          <w:i/>
          <w:iCs/>
        </w:rPr>
        <w:t xml:space="preserve">Cleveland</w:t>
      </w:r>
      <w:r>
        <w:t xml:space="preserve">,</w:t>
      </w:r>
      <w:r>
        <w:t xml:space="preserve"> </w:t>
      </w:r>
      <w:r>
        <w:t xml:space="preserve">67</w:t>
      </w:r>
      <w:r>
        <w:t xml:space="preserve"> </w:t>
      </w:r>
      <w:r>
        <w:t xml:space="preserve">Ohio</w:t>
      </w:r>
      <w:r>
        <w:t xml:space="preserve"> </w:t>
      </w:r>
      <w:r>
        <w:t xml:space="preserve">St.</w:t>
      </w:r>
      <w:r>
        <w:t xml:space="preserve"> </w:t>
      </w:r>
      <w:r>
        <w:t xml:space="preserve">3d</w:t>
      </w:r>
      <w:r>
        <w:t xml:space="preserve"> </w:t>
      </w:r>
      <w:r>
        <w:t xml:space="preserve">35,</w:t>
      </w:r>
      <w:r>
        <w:t xml:space="preserve"> </w:t>
      </w:r>
      <w:r>
        <w:t xml:space="preserve">616</w:t>
      </w:r>
      <w:r>
        <w:t xml:space="preserve"> </w:t>
      </w:r>
      <w:r>
        <w:t xml:space="preserve">N.E.2d</w:t>
      </w:r>
      <w:r>
        <w:t xml:space="preserve"> </w:t>
      </w:r>
      <w:r>
        <w:t xml:space="preserve">163</w:t>
      </w:r>
      <w:r>
        <w:t xml:space="preserve"> </w:t>
      </w:r>
      <w:r>
        <w:t xml:space="preserve">(1993)</w:t>
      </w:r>
      <w:r>
        <w:t xml:space="preserve">   </w:t>
      </w:r>
      <w:r>
        <w:tab/>
      </w:r>
      <w:r>
        <w:t xml:space="preserve">22, 23, 24, 29, 30, 31, 32</w:t>
      </w:r>
    </w:p>
    <w:p>
      <w:pPr>
        <w:keepLines/>
        <w:tabs>
          <w:tab w:val="right" w:leader="dot" w:pos="9360"/>
        </w:tabs>
        <w:spacing w:before="192" w:after="0" w:line="276" w:lineRule="exact"/>
        <w:ind w:left="360" w:right="720" w:hanging="360"/>
      </w:pPr>
      <w:r>
        <w:rPr>
          <w:i/>
          <w:iCs/>
        </w:rPr>
        <w:t xml:space="preserve">Ass’n</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Jersey</w:t>
      </w:r>
      <w:r>
        <w:rPr>
          <w:i/>
          <w:iCs/>
        </w:rPr>
        <w:t xml:space="preserve"> </w:t>
      </w:r>
      <w:r>
        <w:rPr>
          <w:i/>
          <w:iCs/>
        </w:rPr>
        <w:t xml:space="preserve">Rifle</w:t>
      </w:r>
      <w:r>
        <w:rPr>
          <w:i/>
          <w:iCs/>
        </w:rPr>
        <w:t xml:space="preserve"> </w:t>
      </w:r>
      <w:r>
        <w:rPr>
          <w:i/>
          <w:iCs/>
        </w:rPr>
        <w:t xml:space="preserve">&amp;</w:t>
      </w:r>
      <w:r>
        <w:rPr>
          <w:i/>
          <w:iCs/>
        </w:rPr>
        <w:t xml:space="preserve"> </w:t>
      </w:r>
      <w:r>
        <w:rPr>
          <w:i/>
          <w:iCs/>
        </w:rPr>
        <w:t xml:space="preserve">Pistol</w:t>
      </w:r>
      <w:r>
        <w:rPr>
          <w:i/>
          <w:iCs/>
        </w:rPr>
        <w:t xml:space="preserve"> </w:t>
      </w:r>
      <w:r>
        <w:rPr>
          <w:i/>
          <w:iCs/>
        </w:rPr>
        <w:t xml:space="preserve">Clubs,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Att’y</w:t>
      </w:r>
      <w:r>
        <w:rPr>
          <w:i/>
          <w:iCs/>
        </w:rPr>
        <w:t xml:space="preserve"> </w:t>
      </w:r>
      <w:r>
        <w:rPr>
          <w:i/>
          <w:iCs/>
        </w:rPr>
        <w:t xml:space="preserve">Gen.</w:t>
      </w:r>
      <w:r>
        <w:rPr>
          <w:i/>
          <w:iCs/>
        </w:rPr>
        <w:t xml:space="preserve"> </w:t>
      </w:r>
      <w:r>
        <w:rPr>
          <w:i/>
          <w:iCs/>
        </w:rPr>
        <w:t xml:space="preserve">New</w:t>
      </w:r>
      <w:r>
        <w:rPr>
          <w:i/>
          <w:iCs/>
        </w:rPr>
        <w:t xml:space="preserve"> </w:t>
      </w:r>
      <w:r>
        <w:rPr>
          <w:i/>
          <w:iCs/>
        </w:rPr>
        <w:t xml:space="preserve">Jersey</w:t>
      </w:r>
      <w:r>
        <w:t xml:space="preserve">,</w:t>
      </w:r>
      <w:r>
        <w:t xml:space="preserve"> </w:t>
      </w:r>
      <w:r>
        <w:t xml:space="preserve">910</w:t>
      </w:r>
      <w:r>
        <w:t xml:space="preserve"> </w:t>
      </w:r>
      <w:r>
        <w:t xml:space="preserve">F.3d</w:t>
      </w:r>
      <w:r>
        <w:t xml:space="preserve"> </w:t>
      </w:r>
      <w:r>
        <w:t xml:space="preserve">106,</w:t>
      </w:r>
      <w:r>
        <w:t xml:space="preserve"> </w:t>
      </w:r>
      <w:r>
        <w:t xml:space="preserve">(3d</w:t>
      </w:r>
      <w:r>
        <w:t xml:space="preserve"> </w:t>
      </w:r>
      <w:r>
        <w:t xml:space="preserve">Cir.2018)</w:t>
      </w:r>
      <w:r>
        <w:t xml:space="preserve">   </w:t>
      </w:r>
      <w:r>
        <w:tab/>
      </w:r>
      <w:r>
        <w:t xml:space="preserve">25</w:t>
      </w:r>
    </w:p>
    <w:p>
      <w:pPr>
        <w:keepLines/>
        <w:tabs>
          <w:tab w:val="right" w:leader="dot" w:pos="9360"/>
        </w:tabs>
        <w:spacing w:before="192" w:after="0" w:line="276" w:lineRule="exact"/>
        <w:ind w:left="360" w:right="720" w:hanging="360"/>
      </w:pPr>
      <w:r>
        <w:rPr>
          <w:i/>
          <w:iCs/>
        </w:rPr>
        <w:t xml:space="preserve">Avery</w:t>
      </w:r>
      <w:r>
        <w:rPr>
          <w:i/>
          <w:iCs/>
        </w:rPr>
        <w:t xml:space="preserve"> </w:t>
      </w:r>
      <w:r>
        <w:rPr>
          <w:i/>
          <w:iCs/>
        </w:rPr>
        <w:t xml:space="preserve">Dennison</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TransAct</w:t>
      </w:r>
      <w:r>
        <w:rPr>
          <w:i/>
          <w:iCs/>
        </w:rPr>
        <w:t xml:space="preserve"> </w:t>
      </w:r>
      <w:r>
        <w:rPr>
          <w:i/>
          <w:iCs/>
        </w:rPr>
        <w:t xml:space="preserve">Techs.,</w:t>
      </w:r>
      <w:r>
        <w:rPr>
          <w:i/>
          <w:iCs/>
        </w:rPr>
        <w:t xml:space="preserve"> </w:t>
      </w:r>
      <w:r>
        <w:rPr>
          <w:i/>
          <w:iCs/>
        </w:rPr>
        <w:t xml:space="preserve">Inc.</w:t>
      </w:r>
      <w:r>
        <w:t xml:space="preserve">,</w:t>
      </w:r>
      <w:r>
        <w:t xml:space="preserve"> </w:t>
      </w:r>
      <w:r>
        <w:t xml:space="preserve">11th</w:t>
      </w:r>
      <w:r>
        <w:t xml:space="preserve"> </w:t>
      </w:r>
      <w:r>
        <w:t xml:space="preserve">Dist.</w:t>
      </w:r>
      <w:r>
        <w:t xml:space="preserve"> </w:t>
      </w:r>
      <w:r>
        <w:t xml:space="preserve">Lake</w:t>
      </w:r>
      <w:r>
        <w:t xml:space="preserve"> </w:t>
      </w:r>
      <w:r>
        <w:t xml:space="preserve">No.</w:t>
      </w:r>
      <w:r>
        <w:t xml:space="preserve"> </w:t>
      </w:r>
      <w:r>
        <w:t xml:space="preserve">2012-L</w:t>
        <w:noBreakHyphen/>
        <w:t xml:space="preserve">132,</w:t>
      </w:r>
      <w:r>
        <w:t xml:space="preserve"> </w:t>
      </w:r>
      <w:r>
        <w:t xml:space="preserve">2013-Ohio</w:t>
        <w:noBreakHyphen/>
        <w:t xml:space="preserve">4551,</w:t>
      </w:r>
      <w:r>
        <w:t xml:space="preserve"> </w:t>
      </w:r>
      <w:r>
        <w:t xml:space="preserve">¶</w:t>
      </w:r>
      <w:r>
        <w:t xml:space="preserve"> </w:t>
      </w:r>
      <w:r>
        <w:t xml:space="preserve">13</w:t>
      </w:r>
      <w:r>
        <w:t xml:space="preserve">   </w:t>
      </w:r>
      <w:r>
        <w:tab/>
      </w:r>
      <w:r>
        <w:t xml:space="preserve">8, 33</w:t>
      </w:r>
    </w:p>
    <w:p>
      <w:pPr>
        <w:keepLines/>
        <w:tabs>
          <w:tab w:val="right" w:leader="dot" w:pos="9360"/>
        </w:tabs>
        <w:spacing w:before="192" w:after="0" w:line="276" w:lineRule="exact"/>
        <w:ind w:left="360" w:right="720" w:hanging="360"/>
      </w:pPr>
      <w:r>
        <w:rPr>
          <w:i/>
          <w:iCs/>
        </w:rPr>
        <w:t xml:space="preserve">Bank</w:t>
      </w:r>
      <w:r>
        <w:rPr>
          <w:i/>
          <w:iCs/>
        </w:rPr>
        <w:t xml:space="preserve"> </w:t>
      </w:r>
      <w:r>
        <w:rPr>
          <w:i/>
          <w:iCs/>
        </w:rPr>
        <w:t xml:space="preserve">of</w:t>
      </w:r>
      <w:r>
        <w:rPr>
          <w:i/>
          <w:iCs/>
        </w:rPr>
        <w:t xml:space="preserve"> </w:t>
      </w:r>
      <w:r>
        <w:rPr>
          <w:i/>
          <w:iCs/>
        </w:rPr>
        <w:t xml:space="preserve">Am.,</w:t>
      </w:r>
      <w:r>
        <w:rPr>
          <w:i/>
          <w:iCs/>
        </w:rPr>
        <w:t xml:space="preserve"> </w:t>
      </w:r>
      <w:r>
        <w:rPr>
          <w:i/>
          <w:iCs/>
        </w:rPr>
        <w:t xml:space="preserve">N.A.</w:t>
      </w:r>
      <w:r>
        <w:rPr>
          <w:i/>
          <w:iCs/>
        </w:rPr>
        <w:t xml:space="preserve"> </w:t>
      </w:r>
      <w:r>
        <w:rPr>
          <w:i/>
          <w:iCs/>
        </w:rPr>
        <w:t xml:space="preserve">v.</w:t>
      </w:r>
      <w:r>
        <w:rPr>
          <w:i/>
          <w:iCs/>
        </w:rPr>
        <w:t xml:space="preserve"> </w:t>
      </w:r>
      <w:r>
        <w:rPr>
          <w:i/>
          <w:iCs/>
        </w:rPr>
        <w:t xml:space="preserve">Kuchta</w:t>
      </w:r>
      <w:r>
        <w:t xml:space="preserve">,</w:t>
      </w:r>
      <w:r>
        <w:t xml:space="preserve"> </w:t>
      </w:r>
      <w:r>
        <w:t xml:space="preserve">141</w:t>
      </w:r>
      <w:r>
        <w:t xml:space="preserve"> </w:t>
      </w:r>
      <w:r>
        <w:t xml:space="preserve">Ohio</w:t>
      </w:r>
      <w:r>
        <w:t xml:space="preserve"> </w:t>
      </w:r>
      <w:r>
        <w:t xml:space="preserve">St.3d</w:t>
      </w:r>
      <w:r>
        <w:t xml:space="preserve"> </w:t>
      </w:r>
      <w:r>
        <w:t xml:space="preserve">75,</w:t>
      </w:r>
      <w:r>
        <w:t xml:space="preserve"> </w:t>
      </w:r>
      <w:r>
        <w:t xml:space="preserve">2014-Ohio</w:t>
        <w:noBreakHyphen/>
        <w:t xml:space="preserve">4275,</w:t>
      </w:r>
      <w:r>
        <w:t xml:space="preserve"> </w:t>
      </w:r>
      <w:r>
        <w:t xml:space="preserve">21</w:t>
      </w:r>
      <w:r>
        <w:t xml:space="preserve"> </w:t>
      </w:r>
      <w:r>
        <w:t xml:space="preserve">N.E.2d</w:t>
      </w:r>
      <w:r>
        <w:t xml:space="preserve"> </w:t>
      </w:r>
      <w:r>
        <w:t xml:space="preserve">1040</w:t>
      </w:r>
      <w:r>
        <w:t xml:space="preserve">   </w:t>
      </w:r>
      <w:r>
        <w:tab/>
      </w:r>
      <w:r>
        <w:t xml:space="preserve">13</w:t>
      </w:r>
    </w:p>
    <w:p>
      <w:pPr>
        <w:keepLines/>
        <w:tabs>
          <w:tab w:val="right" w:leader="dot" w:pos="9360"/>
        </w:tabs>
        <w:spacing w:before="192" w:after="0" w:line="276" w:lineRule="exact"/>
        <w:ind w:left="360" w:right="720" w:hanging="360"/>
      </w:pPr>
      <w:r>
        <w:rPr>
          <w:i/>
          <w:iCs/>
        </w:rPr>
        <w:t xml:space="preserve">Barnett</w:t>
      </w:r>
      <w:r>
        <w:rPr>
          <w:i/>
          <w:iCs/>
        </w:rPr>
        <w:t xml:space="preserve"> </w:t>
      </w:r>
      <w:r>
        <w:rPr>
          <w:i/>
          <w:iCs/>
        </w:rPr>
        <w:t xml:space="preserve">v.</w:t>
      </w:r>
      <w:r>
        <w:rPr>
          <w:i/>
          <w:iCs/>
        </w:rPr>
        <w:t xml:space="preserve"> </w:t>
      </w:r>
      <w:r>
        <w:rPr>
          <w:i/>
          <w:iCs/>
        </w:rPr>
        <w:t xml:space="preserve">Raoul</w:t>
      </w:r>
      <w:r>
        <w:t xml:space="preserve">,</w:t>
      </w:r>
      <w:r>
        <w:t xml:space="preserve"> </w:t>
      </w:r>
      <w:r>
        <w:t xml:space="preserve">S.D.</w:t>
      </w:r>
      <w:r>
        <w:t xml:space="preserve"> </w:t>
      </w:r>
      <w:r>
        <w:t xml:space="preserve">Ill.</w:t>
      </w:r>
      <w:r>
        <w:t xml:space="preserve"> </w:t>
      </w:r>
      <w:r>
        <w:t xml:space="preserve">No.</w:t>
      </w:r>
      <w:r>
        <w:t xml:space="preserve"> </w:t>
      </w:r>
      <w:r>
        <w:t xml:space="preserve">3:23-CV</w:t>
        <w:noBreakHyphen/>
        <w:t xml:space="preserve">00141,</w:t>
      </w:r>
      <w:r>
        <w:t xml:space="preserve"> </w:t>
      </w:r>
      <w:r>
        <w:t xml:space="preserve">2023</w:t>
      </w:r>
      <w:r>
        <w:t xml:space="preserve"> </w:t>
      </w:r>
      <w:r>
        <w:t xml:space="preserve">WL</w:t>
      </w:r>
      <w:r>
        <w:t xml:space="preserve"> </w:t>
      </w:r>
      <w:r>
        <w:t xml:space="preserve">3160285</w:t>
      </w:r>
      <w:r>
        <w:t xml:space="preserve"> </w:t>
      </w:r>
      <w:r>
        <w:t xml:space="preserve">(Apr.</w:t>
      </w:r>
      <w:r>
        <w:t xml:space="preserve"> </w:t>
      </w:r>
      <w:r>
        <w:t xml:space="preserve">28,</w:t>
      </w:r>
      <w:r>
        <w:t xml:space="preserve"> </w:t>
      </w:r>
      <w:r>
        <w:t xml:space="preserve">2023)</w:t>
      </w:r>
      <w:r>
        <w:t xml:space="preserve">   </w:t>
      </w:r>
      <w:r>
        <w:tab/>
      </w:r>
      <w:r>
        <w:t xml:space="preserve">28, 29</w:t>
      </w:r>
    </w:p>
    <w:p>
      <w:pPr>
        <w:keepLines/>
        <w:tabs>
          <w:tab w:val="right" w:leader="dot" w:pos="9360"/>
        </w:tabs>
        <w:spacing w:before="192" w:after="0" w:line="276" w:lineRule="exact"/>
        <w:ind w:left="360" w:right="720" w:hanging="360"/>
      </w:pPr>
      <w:r>
        <w:rPr>
          <w:i/>
          <w:iCs/>
        </w:rPr>
        <w:t xml:space="preserve">Bevis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Naperville,</w:t>
      </w:r>
      <w:r>
        <w:rPr>
          <w:i/>
          <w:iCs/>
        </w:rPr>
        <w:t xml:space="preserve"> </w:t>
      </w:r>
      <w:r>
        <w:rPr>
          <w:i/>
          <w:iCs/>
        </w:rPr>
        <w:t xml:space="preserve">Illinois</w:t>
      </w:r>
      <w:r>
        <w:t xml:space="preserve">,</w:t>
      </w:r>
      <w:r>
        <w:t xml:space="preserve"> </w:t>
      </w:r>
      <w:r>
        <w:t xml:space="preserve">N.D.</w:t>
      </w:r>
      <w:r>
        <w:t xml:space="preserve"> </w:t>
      </w:r>
      <w:r>
        <w:t xml:space="preserve">Ill.</w:t>
      </w:r>
      <w:r>
        <w:t xml:space="preserve"> </w:t>
      </w:r>
      <w:r>
        <w:t xml:space="preserve">No.</w:t>
      </w:r>
      <w:r>
        <w:t xml:space="preserve"> </w:t>
      </w:r>
      <w:r>
        <w:t xml:space="preserve">22</w:t>
      </w:r>
      <w:r>
        <w:t xml:space="preserve"> </w:t>
      </w:r>
      <w:r>
        <w:t xml:space="preserve">C</w:t>
      </w:r>
      <w:r>
        <w:t xml:space="preserve"> </w:t>
      </w:r>
      <w:r>
        <w:t xml:space="preserve">4775,</w:t>
      </w:r>
      <w:r>
        <w:t xml:space="preserve"> </w:t>
      </w:r>
      <w:r>
        <w:t xml:space="preserve">2023</w:t>
      </w:r>
      <w:r>
        <w:t xml:space="preserve"> </w:t>
      </w:r>
      <w:r>
        <w:t xml:space="preserve">WL</w:t>
      </w:r>
      <w:r>
        <w:t xml:space="preserve"> </w:t>
      </w:r>
      <w:r>
        <w:t xml:space="preserve">2077392</w:t>
      </w:r>
      <w:r>
        <w:t xml:space="preserve"> </w:t>
      </w:r>
      <w:r>
        <w:t xml:space="preserve">(Feb.</w:t>
      </w:r>
      <w:r>
        <w:t xml:space="preserve"> </w:t>
      </w:r>
      <w:r>
        <w:t xml:space="preserve">17,</w:t>
      </w:r>
      <w:r>
        <w:t xml:space="preserve"> </w:t>
      </w:r>
      <w:r>
        <w:t xml:space="preserve">2023)</w:t>
      </w:r>
      <w:r>
        <w:t xml:space="preserve">   </w:t>
      </w:r>
      <w:r>
        <w:tab/>
      </w:r>
      <w:r>
        <w:t xml:space="preserve">28</w:t>
      </w:r>
    </w:p>
    <w:p>
      <w:pPr>
        <w:keepLines/>
        <w:tabs>
          <w:tab w:val="right" w:leader="dot" w:pos="9360"/>
        </w:tabs>
        <w:spacing w:before="192" w:after="0" w:line="276" w:lineRule="exact"/>
        <w:ind w:left="360" w:right="720" w:hanging="360"/>
      </w:pPr>
      <w:r>
        <w:rPr>
          <w:i/>
          <w:iCs/>
        </w:rPr>
        <w:t xml:space="preserve">Bowen</w:t>
      </w:r>
      <w:r>
        <w:rPr>
          <w:i/>
          <w:iCs/>
        </w:rPr>
        <w:t xml:space="preserve"> </w:t>
      </w:r>
      <w:r>
        <w:rPr>
          <w:i/>
          <w:iCs/>
        </w:rPr>
        <w:t xml:space="preserve">v.</w:t>
      </w:r>
      <w:r>
        <w:rPr>
          <w:i/>
          <w:iCs/>
        </w:rPr>
        <w:t xml:space="preserve"> </w:t>
      </w:r>
      <w:r>
        <w:rPr>
          <w:i/>
          <w:iCs/>
        </w:rPr>
        <w:t xml:space="preserve">Kendrick</w:t>
      </w:r>
      <w:r>
        <w:t xml:space="preserve">,</w:t>
      </w:r>
      <w:r>
        <w:t xml:space="preserve"> </w:t>
      </w:r>
      <w:r>
        <w:t xml:space="preserve">487</w:t>
      </w:r>
      <w:r>
        <w:t xml:space="preserve"> </w:t>
      </w:r>
      <w:r>
        <w:t xml:space="preserve">U.S.</w:t>
      </w:r>
      <w:r>
        <w:t xml:space="preserve"> </w:t>
      </w:r>
      <w:r>
        <w:t xml:space="preserve">589,</w:t>
      </w:r>
      <w:r>
        <w:t xml:space="preserve"> </w:t>
      </w:r>
      <w:r>
        <w:t xml:space="preserve">108</w:t>
      </w:r>
      <w:r>
        <w:t xml:space="preserve"> </w:t>
      </w:r>
      <w:r>
        <w:t xml:space="preserve">S.Ct.</w:t>
      </w:r>
      <w:r>
        <w:t xml:space="preserve"> </w:t>
      </w:r>
      <w:r>
        <w:t xml:space="preserve">2562</w:t>
      </w:r>
      <w:r>
        <w:t xml:space="preserve"> </w:t>
      </w:r>
      <w:r>
        <w:t xml:space="preserve">(1988)</w:t>
      </w:r>
      <w:r>
        <w:t xml:space="preserve">   </w:t>
      </w:r>
      <w:r>
        <w:tab/>
      </w:r>
      <w:r>
        <w:t xml:space="preserve">21</w:t>
      </w:r>
    </w:p>
    <w:p>
      <w:pPr>
        <w:keepLines/>
        <w:tabs>
          <w:tab w:val="right" w:leader="dot" w:pos="9360"/>
        </w:tabs>
        <w:spacing w:before="192" w:after="0" w:line="276" w:lineRule="exact"/>
        <w:ind w:left="360" w:right="720" w:hanging="360"/>
      </w:pPr>
      <w:r>
        <w:rPr>
          <w:i/>
          <w:iCs/>
        </w:rPr>
        <w:t xml:space="preserve">Centerburg</w:t>
      </w:r>
      <w:r>
        <w:rPr>
          <w:i/>
          <w:iCs/>
        </w:rPr>
        <w:t xml:space="preserve"> </w:t>
      </w:r>
      <w:r>
        <w:rPr>
          <w:i/>
          <w:iCs/>
        </w:rPr>
        <w:t xml:space="preserve">RE,</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Centerburg</w:t>
      </w:r>
      <w:r>
        <w:rPr>
          <w:i/>
          <w:iCs/>
        </w:rPr>
        <w:t xml:space="preserve"> </w:t>
      </w:r>
      <w:r>
        <w:rPr>
          <w:i/>
          <w:iCs/>
        </w:rPr>
        <w:t xml:space="preserve">Pointe,</w:t>
      </w:r>
      <w:r>
        <w:rPr>
          <w:i/>
          <w:iCs/>
        </w:rPr>
        <w:t xml:space="preserve"> </w:t>
      </w:r>
      <w:r>
        <w:rPr>
          <w:i/>
          <w:iCs/>
        </w:rPr>
        <w:t xml:space="preserve">Inc.</w:t>
      </w:r>
      <w:r>
        <w:t xml:space="preserve">,</w:t>
      </w:r>
      <w:r>
        <w:t xml:space="preserve"> </w:t>
      </w:r>
      <w:r>
        <w:t xml:space="preserve">2014-Ohio</w:t>
        <w:noBreakHyphen/>
        <w:t xml:space="preserve">4846,</w:t>
      </w:r>
      <w:r>
        <w:t xml:space="preserve"> </w:t>
      </w:r>
      <w:r>
        <w:t xml:space="preserve">22</w:t>
      </w:r>
      <w:r>
        <w:t xml:space="preserve"> </w:t>
      </w:r>
      <w:r>
        <w:t xml:space="preserve">N.E.3d</w:t>
      </w:r>
      <w:r>
        <w:t xml:space="preserve"> </w:t>
      </w:r>
      <w:r>
        <w:t xml:space="preserve">296</w:t>
      </w:r>
      <w:r>
        <w:t xml:space="preserve"> </w:t>
      </w:r>
      <w:r>
        <w:t xml:space="preserve">(5th</w:t>
      </w:r>
      <w:r>
        <w:t xml:space="preserve"> </w:t>
      </w:r>
      <w:r>
        <w:t xml:space="preserve">Dist.)</w:t>
      </w:r>
      <w:r>
        <w:t xml:space="preserve">   </w:t>
      </w:r>
      <w:r>
        <w:tab/>
      </w:r>
      <w:r>
        <w:t xml:space="preserve">17</w:t>
      </w:r>
    </w:p>
    <w:p>
      <w:pPr>
        <w:keepLines/>
        <w:tabs>
          <w:tab w:val="right" w:leader="dot" w:pos="9360"/>
        </w:tabs>
        <w:spacing w:before="192" w:after="0" w:line="276" w:lineRule="exact"/>
        <w:ind w:left="360" w:right="720" w:hanging="360"/>
      </w:pPr>
      <w:r>
        <w:rPr>
          <w:i/>
          <w:iCs/>
        </w:rPr>
        <w:t xml:space="preserve">Citizens</w:t>
      </w:r>
      <w:r>
        <w:rPr>
          <w:i/>
          <w:iCs/>
        </w:rPr>
        <w:t xml:space="preserve"> </w:t>
      </w:r>
      <w:r>
        <w:rPr>
          <w:i/>
          <w:iCs/>
        </w:rPr>
        <w:t xml:space="preserve">for</w:t>
      </w:r>
      <w:r>
        <w:rPr>
          <w:i/>
          <w:iCs/>
        </w:rPr>
        <w:t xml:space="preserve"> </w:t>
      </w:r>
      <w:r>
        <w:rPr>
          <w:i/>
          <w:iCs/>
        </w:rPr>
        <w:t xml:space="preserve">a</w:t>
      </w:r>
      <w:r>
        <w:rPr>
          <w:i/>
          <w:iCs/>
        </w:rPr>
        <w:t xml:space="preserve"> </w:t>
      </w:r>
      <w:r>
        <w:rPr>
          <w:i/>
          <w:iCs/>
        </w:rPr>
        <w:t xml:space="preserve">Strong</w:t>
      </w:r>
      <w:r>
        <w:rPr>
          <w:i/>
          <w:iCs/>
        </w:rPr>
        <w:t xml:space="preserve"> </w:t>
      </w:r>
      <w:r>
        <w:rPr>
          <w:i/>
          <w:iCs/>
        </w:rPr>
        <w:t xml:space="preserve">Ohio</w:t>
      </w:r>
      <w:r>
        <w:rPr>
          <w:i/>
          <w:iCs/>
        </w:rPr>
        <w:t xml:space="preserve"> </w:t>
      </w:r>
      <w:r>
        <w:rPr>
          <w:i/>
          <w:iCs/>
        </w:rPr>
        <w:t xml:space="preserve">v.</w:t>
      </w:r>
      <w:r>
        <w:rPr>
          <w:i/>
          <w:iCs/>
        </w:rPr>
        <w:t xml:space="preserve"> </w:t>
      </w:r>
      <w:r>
        <w:rPr>
          <w:i/>
          <w:iCs/>
        </w:rPr>
        <w:t xml:space="preserve">Marsh</w:t>
      </w:r>
      <w:r>
        <w:t xml:space="preserve">,</w:t>
      </w:r>
      <w:r>
        <w:t xml:space="preserve"> </w:t>
      </w:r>
      <w:r>
        <w:t xml:space="preserve">123</w:t>
      </w:r>
      <w:r>
        <w:t xml:space="preserve"> </w:t>
      </w:r>
      <w:r>
        <w:t xml:space="preserve">Fed.Appx.</w:t>
      </w:r>
      <w:r>
        <w:t xml:space="preserve"> </w:t>
      </w:r>
      <w:r>
        <w:t xml:space="preserve">630</w:t>
      </w:r>
      <w:r>
        <w:t xml:space="preserve"> </w:t>
      </w:r>
      <w:r>
        <w:t xml:space="preserve">(6th</w:t>
      </w:r>
      <w:r>
        <w:t xml:space="preserve"> </w:t>
      </w:r>
      <w:r>
        <w:t xml:space="preserve">Cir.2005)</w:t>
      </w:r>
      <w:r>
        <w:t xml:space="preserve">   </w:t>
      </w:r>
      <w:r>
        <w:tab/>
      </w:r>
      <w:r>
        <w:t xml:space="preserve">14</w:t>
      </w:r>
    </w:p>
    <w:p>
      <w:pPr>
        <w:keepLines/>
        <w:tabs>
          <w:tab w:val="right" w:leader="dot" w:pos="9360"/>
        </w:tabs>
        <w:spacing w:before="192" w:after="0" w:line="276" w:lineRule="exact"/>
        <w:ind w:left="360" w:right="720" w:hanging="360"/>
      </w:pPr>
      <w:r>
        <w:rPr>
          <w:i/>
          <w:iCs/>
        </w:rPr>
        <w:t xml:space="preserve">City</w:t>
      </w:r>
      <w:r>
        <w:rPr>
          <w:i/>
          <w:iCs/>
        </w:rPr>
        <w:t xml:space="preserve"> </w:t>
      </w:r>
      <w:r>
        <w:rPr>
          <w:i/>
          <w:iCs/>
        </w:rPr>
        <w:t xml:space="preserve">of</w:t>
      </w:r>
      <w:r>
        <w:rPr>
          <w:i/>
          <w:iCs/>
        </w:rPr>
        <w:t xml:space="preserve"> </w:t>
      </w:r>
      <w:r>
        <w:rPr>
          <w:i/>
          <w:iCs/>
        </w:rPr>
        <w:t xml:space="preserve">Xenia</w:t>
      </w:r>
      <w:r>
        <w:rPr>
          <w:i/>
          <w:iCs/>
        </w:rPr>
        <w:t xml:space="preserve"> </w:t>
      </w:r>
      <w:r>
        <w:rPr>
          <w:i/>
          <w:iCs/>
        </w:rPr>
        <w:t xml:space="preserve">v.</w:t>
      </w:r>
      <w:r>
        <w:rPr>
          <w:i/>
          <w:iCs/>
        </w:rPr>
        <w:t xml:space="preserve"> </w:t>
      </w:r>
      <w:r>
        <w:rPr>
          <w:i/>
          <w:iCs/>
        </w:rPr>
        <w:t xml:space="preserve">Schmidt</w:t>
      </w:r>
      <w:r>
        <w:t xml:space="preserve">,</w:t>
      </w:r>
      <w:r>
        <w:t xml:space="preserve"> </w:t>
      </w:r>
      <w:r>
        <w:t xml:space="preserve">101</w:t>
      </w:r>
      <w:r>
        <w:t xml:space="preserve"> </w:t>
      </w:r>
      <w:r>
        <w:t xml:space="preserve">Ohio</w:t>
      </w:r>
      <w:r>
        <w:t xml:space="preserve"> </w:t>
      </w:r>
      <w:r>
        <w:t xml:space="preserve">St.</w:t>
      </w:r>
      <w:r>
        <w:t xml:space="preserve"> </w:t>
      </w:r>
      <w:r>
        <w:t xml:space="preserve">437,</w:t>
      </w:r>
      <w:r>
        <w:t xml:space="preserve"> </w:t>
      </w:r>
      <w:r>
        <w:t xml:space="preserve">130</w:t>
      </w:r>
      <w:r>
        <w:t xml:space="preserve"> </w:t>
      </w:r>
      <w:r>
        <w:t xml:space="preserve">N.E.</w:t>
      </w:r>
      <w:r>
        <w:t xml:space="preserve"> </w:t>
      </w:r>
      <w:r>
        <w:t xml:space="preserve">24</w:t>
      </w:r>
      <w:r>
        <w:t xml:space="preserve"> </w:t>
      </w:r>
      <w:r>
        <w:t xml:space="preserve">(1920)</w:t>
      </w:r>
      <w:r>
        <w:t xml:space="preserve">   </w:t>
      </w:r>
      <w:r>
        <w:tab/>
      </w:r>
      <w:r>
        <w:t xml:space="preserve">9</w:t>
      </w:r>
    </w:p>
    <w:p>
      <w:pPr>
        <w:keepLines/>
        <w:tabs>
          <w:tab w:val="right" w:leader="dot" w:pos="9360"/>
        </w:tabs>
        <w:spacing w:before="192" w:after="0" w:line="276" w:lineRule="exact"/>
        <w:ind w:left="360" w:right="720" w:hanging="360"/>
      </w:pPr>
      <w:r>
        <w:rPr>
          <w:i/>
          <w:iCs/>
        </w:rPr>
        <w:t xml:space="preserve">Cleveland</w:t>
      </w:r>
      <w:r>
        <w:rPr>
          <w:i/>
          <w:iCs/>
        </w:rPr>
        <w:t xml:space="preserve"> </w:t>
      </w:r>
      <w:r>
        <w:rPr>
          <w:i/>
          <w:iCs/>
        </w:rPr>
        <w:t xml:space="preserve">v.</w:t>
      </w:r>
      <w:r>
        <w:rPr>
          <w:i/>
          <w:iCs/>
        </w:rPr>
        <w:t xml:space="preserve"> </w:t>
      </w:r>
      <w:r>
        <w:rPr>
          <w:i/>
          <w:iCs/>
        </w:rPr>
        <w:t xml:space="preserve">Cleveland</w:t>
      </w:r>
      <w:r>
        <w:rPr>
          <w:i/>
          <w:iCs/>
        </w:rPr>
        <w:t xml:space="preserve"> </w:t>
      </w:r>
      <w:r>
        <w:rPr>
          <w:i/>
          <w:iCs/>
        </w:rPr>
        <w:t xml:space="preserve">Elec.</w:t>
      </w:r>
      <w:r>
        <w:rPr>
          <w:i/>
          <w:iCs/>
        </w:rPr>
        <w:t xml:space="preserve"> </w:t>
      </w:r>
      <w:r>
        <w:rPr>
          <w:i/>
          <w:iCs/>
        </w:rPr>
        <w:t xml:space="preserve">Illum.</w:t>
      </w:r>
      <w:r>
        <w:rPr>
          <w:i/>
          <w:iCs/>
        </w:rPr>
        <w:t xml:space="preserve"> </w:t>
      </w:r>
      <w:r>
        <w:rPr>
          <w:i/>
          <w:iCs/>
        </w:rPr>
        <w:t xml:space="preserve">Co.</w:t>
      </w:r>
      <w:r>
        <w:t xml:space="preserve">,</w:t>
      </w:r>
      <w:r>
        <w:t xml:space="preserve"> </w:t>
      </w:r>
      <w:r>
        <w:t xml:space="preserve">115</w:t>
      </w:r>
      <w:r>
        <w:t xml:space="preserve"> </w:t>
      </w:r>
      <w:r>
        <w:t xml:space="preserve">Ohio</w:t>
      </w:r>
      <w:r>
        <w:t xml:space="preserve"> </w:t>
      </w:r>
      <w:r>
        <w:t xml:space="preserve">App.3d</w:t>
      </w:r>
      <w:r>
        <w:t xml:space="preserve"> </w:t>
      </w:r>
      <w:r>
        <w:t xml:space="preserve">1,</w:t>
      </w:r>
      <w:r>
        <w:t xml:space="preserve"> </w:t>
      </w:r>
      <w:r>
        <w:t xml:space="preserve">684</w:t>
      </w:r>
      <w:r>
        <w:t xml:space="preserve"> </w:t>
      </w:r>
      <w:r>
        <w:t xml:space="preserve">N.E.2d</w:t>
      </w:r>
      <w:r>
        <w:t xml:space="preserve"> </w:t>
      </w:r>
      <w:r>
        <w:t xml:space="preserve">343</w:t>
      </w:r>
      <w:r>
        <w:t xml:space="preserve"> </w:t>
      </w:r>
      <w:r>
        <w:t xml:space="preserve">(8th</w:t>
      </w:r>
      <w:r>
        <w:t xml:space="preserve"> </w:t>
      </w:r>
      <w:r>
        <w:t xml:space="preserve">Dist.1996)</w:t>
      </w:r>
      <w:r>
        <w:t xml:space="preserve">   </w:t>
      </w:r>
      <w:r>
        <w:tab/>
      </w:r>
      <w:r>
        <w:t xml:space="preserve">35</w:t>
      </w:r>
    </w:p>
    <w:p>
      <w:pPr>
        <w:keepLines/>
        <w:tabs>
          <w:tab w:val="right" w:leader="dot" w:pos="9360"/>
        </w:tabs>
        <w:spacing w:before="192" w:after="0" w:line="276" w:lineRule="exact"/>
        <w:ind w:left="360" w:right="720" w:hanging="360"/>
      </w:pPr>
      <w:r>
        <w:rPr>
          <w:i/>
          <w:iCs/>
        </w:rPr>
        <w:t xml:space="preserve">Cleveland</w:t>
      </w:r>
      <w:r>
        <w:rPr>
          <w:i/>
          <w:iCs/>
        </w:rPr>
        <w:t xml:space="preserve"> </w:t>
      </w:r>
      <w:r>
        <w:rPr>
          <w:i/>
          <w:iCs/>
        </w:rPr>
        <w:t xml:space="preserve">v.</w:t>
      </w:r>
      <w:r>
        <w:rPr>
          <w:i/>
          <w:iCs/>
        </w:rPr>
        <w:t xml:space="preserve"> </w:t>
      </w:r>
      <w:r>
        <w:rPr>
          <w:i/>
          <w:iCs/>
        </w:rPr>
        <w:t xml:space="preserve">State</w:t>
      </w:r>
      <w:r>
        <w:t xml:space="preserve">,</w:t>
      </w:r>
      <w:r>
        <w:t xml:space="preserve"> </w:t>
      </w:r>
      <w:r>
        <w:t xml:space="preserve">128</w:t>
      </w:r>
      <w:r>
        <w:t xml:space="preserve"> </w:t>
      </w:r>
      <w:r>
        <w:t xml:space="preserve">Ohio</w:t>
      </w:r>
      <w:r>
        <w:t xml:space="preserve"> </w:t>
      </w:r>
      <w:r>
        <w:t xml:space="preserve">St.3d</w:t>
      </w:r>
      <w:r>
        <w:t xml:space="preserve"> </w:t>
      </w:r>
      <w:r>
        <w:t xml:space="preserve">135,</w:t>
      </w:r>
      <w:r>
        <w:t xml:space="preserve"> </w:t>
      </w:r>
      <w:r>
        <w:t xml:space="preserve">2010-Ohio</w:t>
        <w:noBreakHyphen/>
        <w:t xml:space="preserve">6318,</w:t>
      </w:r>
      <w:r>
        <w:t xml:space="preserve"> </w:t>
      </w:r>
      <w:r>
        <w:t xml:space="preserve">942</w:t>
      </w:r>
      <w:r>
        <w:t xml:space="preserve"> </w:t>
      </w:r>
      <w:r>
        <w:t xml:space="preserve">N.E.2d</w:t>
      </w:r>
      <w:r>
        <w:t xml:space="preserve"> </w:t>
      </w:r>
      <w:r>
        <w:t xml:space="preserve">370</w:t>
      </w:r>
      <w:r>
        <w:t xml:space="preserve">   </w:t>
      </w:r>
      <w:r>
        <w:tab/>
      </w:r>
      <w:r>
        <w:t xml:space="preserve">33</w:t>
      </w:r>
    </w:p>
    <w:p>
      <w:pPr>
        <w:keepLines/>
        <w:tabs>
          <w:tab w:val="right" w:leader="dot" w:pos="9360"/>
        </w:tabs>
        <w:spacing w:before="192" w:after="0" w:line="276" w:lineRule="exact"/>
        <w:ind w:left="360" w:right="720" w:hanging="360"/>
      </w:pPr>
      <w:r>
        <w:rPr>
          <w:i/>
          <w:iCs/>
        </w:rPr>
        <w:t xml:space="preserve">Conley</w:t>
      </w:r>
      <w:r>
        <w:rPr>
          <w:i/>
          <w:iCs/>
        </w:rPr>
        <w:t xml:space="preserve"> </w:t>
      </w:r>
      <w:r>
        <w:rPr>
          <w:i/>
          <w:iCs/>
        </w:rPr>
        <w:t xml:space="preserve">v.</w:t>
      </w:r>
      <w:r>
        <w:rPr>
          <w:i/>
          <w:iCs/>
        </w:rPr>
        <w:t xml:space="preserve"> </w:t>
      </w:r>
      <w:r>
        <w:rPr>
          <w:i/>
          <w:iCs/>
        </w:rPr>
        <w:t xml:space="preserve">Shearer</w:t>
      </w:r>
      <w:r>
        <w:t xml:space="preserve">,</w:t>
      </w:r>
      <w:r>
        <w:t xml:space="preserve"> </w:t>
      </w:r>
      <w:r>
        <w:t xml:space="preserve">64</w:t>
      </w:r>
      <w:r>
        <w:t xml:space="preserve"> </w:t>
      </w:r>
      <w:r>
        <w:t xml:space="preserve">Ohio</w:t>
      </w:r>
      <w:r>
        <w:t xml:space="preserve"> </w:t>
      </w:r>
      <w:r>
        <w:t xml:space="preserve">St.3d</w:t>
      </w:r>
      <w:r>
        <w:t xml:space="preserve"> </w:t>
      </w:r>
      <w:r>
        <w:t xml:space="preserve">284,</w:t>
      </w:r>
      <w:r>
        <w:t xml:space="preserve"> </w:t>
      </w:r>
      <w:r>
        <w:t xml:space="preserve">595</w:t>
      </w:r>
      <w:r>
        <w:t xml:space="preserve"> </w:t>
      </w:r>
      <w:r>
        <w:t xml:space="preserve">N.E.2d</w:t>
      </w:r>
      <w:r>
        <w:t xml:space="preserve"> </w:t>
      </w:r>
      <w:r>
        <w:t xml:space="preserve">862</w:t>
      </w:r>
      <w:r>
        <w:t xml:space="preserve"> </w:t>
      </w:r>
      <w:r>
        <w:t xml:space="preserve">(1992)</w:t>
      </w:r>
      <w:r>
        <w:t xml:space="preserve">   </w:t>
      </w:r>
      <w:r>
        <w:tab/>
      </w:r>
      <w:r>
        <w:t xml:space="preserve">31</w:t>
      </w:r>
    </w:p>
    <w:p>
      <w:pPr>
        <w:keepLines/>
        <w:tabs>
          <w:tab w:val="right" w:leader="dot" w:pos="9360"/>
        </w:tabs>
        <w:spacing w:before="192" w:after="0" w:line="276" w:lineRule="exact"/>
        <w:ind w:left="360" w:right="720" w:hanging="360"/>
      </w:pPr>
      <w:r>
        <w:rPr>
          <w:i/>
          <w:iCs/>
        </w:rPr>
        <w:t xml:space="preserve">Davis</w:t>
      </w:r>
      <w:r>
        <w:rPr>
          <w:i/>
          <w:iCs/>
        </w:rPr>
        <w:t xml:space="preserve"> </w:t>
      </w:r>
      <w:r>
        <w:rPr>
          <w:i/>
          <w:iCs/>
        </w:rPr>
        <w:t xml:space="preserve">v.</w:t>
      </w:r>
      <w:r>
        <w:rPr>
          <w:i/>
          <w:iCs/>
        </w:rPr>
        <w:t xml:space="preserve"> </w:t>
      </w:r>
      <w:r>
        <w:rPr>
          <w:i/>
          <w:iCs/>
        </w:rPr>
        <w:t xml:space="preserve">Cowan</w:t>
      </w:r>
      <w:r>
        <w:rPr>
          <w:i/>
          <w:iCs/>
        </w:rPr>
        <w:t xml:space="preserve"> </w:t>
      </w:r>
      <w:r>
        <w:rPr>
          <w:i/>
          <w:iCs/>
        </w:rPr>
        <w:t xml:space="preserve">Sys.</w:t>
      </w:r>
      <w:r>
        <w:t xml:space="preserve">,</w:t>
      </w:r>
      <w:r>
        <w:t xml:space="preserve"> </w:t>
      </w:r>
      <w:r>
        <w:t xml:space="preserve">8th</w:t>
      </w:r>
      <w:r>
        <w:t xml:space="preserve"> </w:t>
      </w:r>
      <w:r>
        <w:t xml:space="preserve">Dist.</w:t>
      </w:r>
      <w:r>
        <w:t xml:space="preserve"> </w:t>
      </w:r>
      <w:r>
        <w:t xml:space="preserve">Cuyahoga</w:t>
      </w:r>
      <w:r>
        <w:t xml:space="preserve"> </w:t>
      </w:r>
      <w:r>
        <w:t xml:space="preserve">No</w:t>
      </w:r>
      <w:r>
        <w:t xml:space="preserve"> </w:t>
      </w:r>
      <w:r>
        <w:t xml:space="preserve">83155,</w:t>
      </w:r>
      <w:r>
        <w:t xml:space="preserve"> </w:t>
      </w:r>
      <w:r>
        <w:t xml:space="preserve">2004-Ohio</w:t>
      </w:r>
      <w:r>
        <w:t xml:space="preserve"> </w:t>
      </w:r>
      <w:r>
        <w:t xml:space="preserve">515</w:t>
      </w:r>
      <w:r>
        <w:t xml:space="preserve">   </w:t>
      </w:r>
      <w:r>
        <w:tab/>
      </w:r>
      <w:r>
        <w:t xml:space="preserve">18</w:t>
      </w:r>
    </w:p>
    <w:p>
      <w:pPr>
        <w:keepLines/>
        <w:tabs>
          <w:tab w:val="right" w:leader="dot" w:pos="9360"/>
        </w:tabs>
        <w:spacing w:before="192" w:after="0" w:line="276" w:lineRule="exact"/>
        <w:ind w:left="360" w:right="720" w:hanging="360"/>
      </w:pPr>
      <w:r>
        <w:rPr>
          <w:i/>
          <w:iCs/>
        </w:rPr>
        <w:t xml:space="preserve">Delaware</w:t>
      </w:r>
      <w:r>
        <w:rPr>
          <w:i/>
          <w:iCs/>
        </w:rPr>
        <w:t xml:space="preserve"> </w:t>
      </w:r>
      <w:r>
        <w:rPr>
          <w:i/>
          <w:iCs/>
        </w:rPr>
        <w:t xml:space="preserve">State</w:t>
      </w:r>
      <w:r>
        <w:rPr>
          <w:i/>
          <w:iCs/>
        </w:rPr>
        <w:t xml:space="preserve"> </w:t>
      </w:r>
      <w:r>
        <w:rPr>
          <w:i/>
          <w:iCs/>
        </w:rPr>
        <w:t xml:space="preserve">Sportsmen’s</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Delaware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Safety</w:t>
      </w:r>
      <w:r>
        <w:rPr>
          <w:i/>
          <w:iCs/>
        </w:rPr>
        <w:t xml:space="preserve"> </w:t>
      </w:r>
      <w:r>
        <w:rPr>
          <w:i/>
          <w:iCs/>
        </w:rPr>
        <w:t xml:space="preserve">&amp;</w:t>
      </w:r>
      <w:r>
        <w:rPr>
          <w:i/>
          <w:iCs/>
        </w:rPr>
        <w:t xml:space="preserve"> </w:t>
      </w:r>
      <w:r>
        <w:rPr>
          <w:i/>
          <w:iCs/>
        </w:rPr>
        <w:t xml:space="preserve">Homeland</w:t>
      </w:r>
      <w:r>
        <w:rPr>
          <w:i/>
          <w:iCs/>
        </w:rPr>
        <w:t xml:space="preserve"> </w:t>
      </w:r>
      <w:r>
        <w:rPr>
          <w:i/>
          <w:iCs/>
        </w:rPr>
        <w:t xml:space="preserve">Sec.</w:t>
      </w:r>
      <w:r>
        <w:t xml:space="preserve">,</w:t>
      </w:r>
      <w:r>
        <w:t xml:space="preserve"> </w:t>
      </w:r>
      <w:r>
        <w:t xml:space="preserve">D.Del.</w:t>
      </w:r>
      <w:r>
        <w:t xml:space="preserve"> </w:t>
      </w:r>
      <w:r>
        <w:t xml:space="preserve">No.</w:t>
      </w:r>
      <w:r>
        <w:t xml:space="preserve"> </w:t>
      </w:r>
      <w:r>
        <w:t xml:space="preserve">CV</w:t>
      </w:r>
      <w:r>
        <w:t xml:space="preserve"> </w:t>
      </w:r>
      <w:r>
        <w:t xml:space="preserve">22</w:t>
        <w:noBreakHyphen/>
        <w:t xml:space="preserve">951-RGA,</w:t>
      </w:r>
      <w:r>
        <w:t xml:space="preserve"> </w:t>
      </w:r>
      <w:r>
        <w:t xml:space="preserve">2023</w:t>
      </w:r>
      <w:r>
        <w:t xml:space="preserve"> </w:t>
      </w:r>
      <w:r>
        <w:t xml:space="preserve">WL</w:t>
      </w:r>
      <w:r>
        <w:t xml:space="preserve"> </w:t>
      </w:r>
      <w:r>
        <w:t xml:space="preserve">2655150</w:t>
      </w:r>
      <w:r>
        <w:t xml:space="preserve"> </w:t>
      </w:r>
      <w:r>
        <w:t xml:space="preserve">(Mar.</w:t>
      </w:r>
      <w:r>
        <w:t xml:space="preserve"> </w:t>
      </w:r>
      <w:r>
        <w:t xml:space="preserve">27,</w:t>
      </w:r>
      <w:r>
        <w:t xml:space="preserve"> </w:t>
      </w:r>
      <w:r>
        <w:t xml:space="preserve">2023)</w:t>
      </w:r>
      <w:r>
        <w:t xml:space="preserve">   </w:t>
      </w:r>
      <w:r>
        <w:tab/>
      </w:r>
      <w:r>
        <w:t xml:space="preserve">27</w:t>
      </w:r>
    </w:p>
    <w:p>
      <w:pPr>
        <w:keepLines/>
        <w:tabs>
          <w:tab w:val="right" w:leader="dot" w:pos="9360"/>
        </w:tabs>
        <w:spacing w:before="192" w:after="0" w:line="276" w:lineRule="exact"/>
        <w:ind w:left="360" w:right="720" w:hanging="360"/>
      </w:pP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v.</w:t>
      </w:r>
      <w:r>
        <w:rPr>
          <w:i/>
          <w:iCs/>
        </w:rPr>
        <w:t xml:space="preserve"> </w:t>
      </w:r>
      <w:r>
        <w:rPr>
          <w:i/>
          <w:iCs/>
        </w:rPr>
        <w:t xml:space="preserve">Heller</w:t>
      </w:r>
      <w:r>
        <w:t xml:space="preserve">,</w:t>
      </w:r>
      <w:r>
        <w:t xml:space="preserve"> </w:t>
      </w:r>
      <w:r>
        <w:t xml:space="preserve">554</w:t>
      </w:r>
      <w:r>
        <w:t xml:space="preserve"> </w:t>
      </w:r>
      <w:r>
        <w:t xml:space="preserve">U.S.</w:t>
      </w:r>
      <w:r>
        <w:t xml:space="preserve"> </w:t>
      </w:r>
      <w:r>
        <w:t xml:space="preserve">570</w:t>
      </w:r>
      <w:r>
        <w:t xml:space="preserve"> </w:t>
      </w:r>
      <w:r>
        <w:t xml:space="preserve">(2008)</w:t>
      </w:r>
      <w:r>
        <w:t xml:space="preserve">   </w:t>
      </w:r>
      <w:r>
        <w:tab/>
      </w:r>
      <w:r>
        <w:t xml:space="preserve">23</w:t>
      </w:r>
    </w:p>
    <w:p>
      <w:pPr>
        <w:keepLines/>
        <w:tabs>
          <w:tab w:val="right" w:leader="dot" w:pos="9360"/>
        </w:tabs>
        <w:spacing w:before="192" w:after="0" w:line="276" w:lineRule="exact"/>
        <w:ind w:left="360" w:right="720" w:hanging="360"/>
      </w:pPr>
      <w:r>
        <w:rPr>
          <w:i/>
          <w:iCs/>
        </w:rPr>
        <w:t xml:space="preserve">Doe</w:t>
      </w:r>
      <w:r>
        <w:rPr>
          <w:i/>
          <w:iCs/>
        </w:rPr>
        <w:t xml:space="preserve"> </w:t>
      </w:r>
      <w:r>
        <w:rPr>
          <w:i/>
          <w:iCs/>
        </w:rPr>
        <w:t xml:space="preserve">v.</w:t>
      </w:r>
      <w:r>
        <w:rPr>
          <w:i/>
          <w:iCs/>
        </w:rPr>
        <w:t xml:space="preserve"> </w:t>
      </w:r>
      <w:r>
        <w:rPr>
          <w:i/>
          <w:iCs/>
        </w:rPr>
        <w:t xml:space="preserve">Bruner</w:t>
      </w:r>
      <w:r>
        <w:t xml:space="preserve">,</w:t>
      </w:r>
      <w:r>
        <w:t xml:space="preserve"> </w:t>
      </w:r>
      <w:r>
        <w:t xml:space="preserve">12th</w:t>
      </w:r>
      <w:r>
        <w:t xml:space="preserve"> </w:t>
      </w:r>
      <w:r>
        <w:t xml:space="preserve">Dist.</w:t>
      </w:r>
      <w:r>
        <w:t xml:space="preserve"> </w:t>
      </w:r>
      <w:r>
        <w:t xml:space="preserve">Clinton</w:t>
      </w:r>
      <w:r>
        <w:t xml:space="preserve"> </w:t>
      </w:r>
      <w:r>
        <w:t xml:space="preserve">No.</w:t>
      </w:r>
      <w:r>
        <w:t xml:space="preserve"> </w:t>
      </w:r>
      <w:r>
        <w:t xml:space="preserve">CA2011–07–013,</w:t>
      </w:r>
      <w:r>
        <w:t xml:space="preserve"> </w:t>
      </w:r>
      <w:r>
        <w:t xml:space="preserve">2012-Ohio</w:t>
        <w:noBreakHyphen/>
        <w:t xml:space="preserve">761</w:t>
      </w:r>
      <w:r>
        <w:t xml:space="preserve">   </w:t>
      </w:r>
      <w:r>
        <w:tab/>
      </w:r>
      <w:r>
        <w:t xml:space="preserve">9, 15</w:t>
      </w:r>
    </w:p>
    <w:p>
      <w:pPr>
        <w:keepLines/>
        <w:tabs>
          <w:tab w:val="right" w:leader="dot" w:pos="9360"/>
        </w:tabs>
        <w:spacing w:before="192" w:after="0" w:line="276" w:lineRule="exact"/>
        <w:ind w:left="360" w:right="720" w:hanging="360"/>
      </w:pPr>
      <w:r>
        <w:rPr>
          <w:i/>
          <w:iCs/>
        </w:rPr>
        <w:t xml:space="preserve">Doe</w:t>
      </w:r>
      <w:r>
        <w:rPr>
          <w:i/>
          <w:iCs/>
        </w:rPr>
        <w:t xml:space="preserve"> </w:t>
      </w:r>
      <w:r>
        <w:rPr>
          <w:i/>
          <w:iCs/>
        </w:rPr>
        <w:t xml:space="preserve">v.</w:t>
      </w:r>
      <w:r>
        <w:rPr>
          <w:i/>
          <w:iCs/>
        </w:rPr>
        <w:t xml:space="preserve"> </w:t>
      </w:r>
      <w:r>
        <w:rPr>
          <w:i/>
          <w:iCs/>
        </w:rPr>
        <w:t xml:space="preserve">George</w:t>
      </w:r>
      <w:r>
        <w:t xml:space="preserve">,</w:t>
      </w:r>
      <w:r>
        <w:t xml:space="preserve"> </w:t>
      </w:r>
      <w:r>
        <w:t xml:space="preserve">12th</w:t>
      </w:r>
      <w:r>
        <w:t xml:space="preserve"> </w:t>
      </w:r>
      <w:r>
        <w:t xml:space="preserve">Dist.</w:t>
      </w:r>
      <w:r>
        <w:t xml:space="preserve"> </w:t>
      </w:r>
      <w:r>
        <w:t xml:space="preserve">Warren</w:t>
      </w:r>
      <w:r>
        <w:t xml:space="preserve"> </w:t>
      </w:r>
      <w:r>
        <w:t xml:space="preserve">No.</w:t>
      </w:r>
      <w:r>
        <w:t xml:space="preserve"> </w:t>
      </w:r>
      <w:r>
        <w:t xml:space="preserve">CA2011–03–022,</w:t>
      </w:r>
      <w:r>
        <w:t xml:space="preserve"> </w:t>
      </w:r>
      <w:r>
        <w:t xml:space="preserve">2011-Ohio</w:t>
        <w:noBreakHyphen/>
        <w:t xml:space="preserve">6795</w:t>
      </w:r>
      <w:r>
        <w:t xml:space="preserve">   </w:t>
      </w:r>
      <w:r>
        <w:tab/>
      </w:r>
      <w:r>
        <w:t xml:space="preserve">9</w:t>
      </w:r>
    </w:p>
    <w:p>
      <w:pPr>
        <w:keepLines/>
        <w:tabs>
          <w:tab w:val="right" w:leader="dot" w:pos="9360"/>
        </w:tabs>
        <w:spacing w:before="192" w:after="0" w:line="276" w:lineRule="exact"/>
        <w:ind w:left="360" w:right="720" w:hanging="360"/>
      </w:pPr>
      <w:r>
        <w:rPr>
          <w:i/>
          <w:iCs/>
        </w:rPr>
        <w:t xml:space="preserve">Doe</w:t>
      </w:r>
      <w:r>
        <w:rPr>
          <w:i/>
          <w:iCs/>
        </w:rPr>
        <w:t xml:space="preserve"> </w:t>
      </w:r>
      <w:r>
        <w:rPr>
          <w:i/>
          <w:iCs/>
        </w:rPr>
        <w:t xml:space="preserve">v.</w:t>
      </w:r>
      <w:r>
        <w:rPr>
          <w:i/>
          <w:iCs/>
        </w:rPr>
        <w:t xml:space="preserve"> </w:t>
      </w:r>
      <w:r>
        <w:rPr>
          <w:i/>
          <w:iCs/>
        </w:rPr>
        <w:t xml:space="preserve">Porter</w:t>
      </w:r>
      <w:r>
        <w:t xml:space="preserve">,</w:t>
      </w:r>
      <w:r>
        <w:t xml:space="preserve"> </w:t>
      </w:r>
      <w:r>
        <w:t xml:space="preserve">370</w:t>
      </w:r>
      <w:r>
        <w:t xml:space="preserve"> </w:t>
      </w:r>
      <w:r>
        <w:t xml:space="preserve">F.3d</w:t>
      </w:r>
      <w:r>
        <w:t xml:space="preserve"> </w:t>
      </w:r>
      <w:r>
        <w:t xml:space="preserve">558</w:t>
      </w:r>
      <w:r>
        <w:t xml:space="preserve"> </w:t>
      </w:r>
      <w:r>
        <w:t xml:space="preserve">(6th</w:t>
      </w:r>
      <w:r>
        <w:t xml:space="preserve"> </w:t>
      </w:r>
      <w:r>
        <w:t xml:space="preserve">Cir.2004)</w:t>
      </w:r>
      <w:r>
        <w:t xml:space="preserve">   </w:t>
      </w:r>
      <w:r>
        <w:tab/>
      </w:r>
      <w:r>
        <w:t xml:space="preserve">10, 14</w:t>
      </w:r>
    </w:p>
    <w:p>
      <w:pPr>
        <w:keepLines/>
        <w:tabs>
          <w:tab w:val="right" w:leader="dot" w:pos="9360"/>
        </w:tabs>
        <w:spacing w:before="192" w:after="0" w:line="276" w:lineRule="exact"/>
        <w:ind w:left="360" w:right="720" w:hanging="360"/>
      </w:pPr>
      <w:r>
        <w:rPr>
          <w:i/>
          <w:iCs/>
        </w:rPr>
        <w:t xml:space="preserve">Doe</w:t>
      </w:r>
      <w:r>
        <w:rPr>
          <w:i/>
          <w:iCs/>
        </w:rPr>
        <w:t xml:space="preserve"> </w:t>
      </w:r>
      <w:r>
        <w:rPr>
          <w:i/>
          <w:iCs/>
        </w:rPr>
        <w:t xml:space="preserve">v.</w:t>
      </w:r>
      <w:r>
        <w:rPr>
          <w:i/>
          <w:iCs/>
        </w:rPr>
        <w:t xml:space="preserve"> </w:t>
      </w:r>
      <w:r>
        <w:rPr>
          <w:i/>
          <w:iCs/>
        </w:rPr>
        <w:t xml:space="preserve">Shaffer</w:t>
      </w:r>
      <w:r>
        <w:t xml:space="preserve">,</w:t>
      </w:r>
      <w:r>
        <w:t xml:space="preserve"> </w:t>
      </w:r>
      <w:r>
        <w:t xml:space="preserve">90</w:t>
      </w:r>
      <w:r>
        <w:t xml:space="preserve"> </w:t>
      </w:r>
      <w:r>
        <w:t xml:space="preserve">Ohio</w:t>
      </w:r>
      <w:r>
        <w:t xml:space="preserve"> </w:t>
      </w:r>
      <w:r>
        <w:t xml:space="preserve">St.3d</w:t>
      </w:r>
      <w:r>
        <w:t xml:space="preserve"> </w:t>
      </w:r>
      <w:r>
        <w:t xml:space="preserve">388,</w:t>
      </w:r>
      <w:r>
        <w:t xml:space="preserve"> </w:t>
      </w:r>
      <w:r>
        <w:t xml:space="preserve">738</w:t>
      </w:r>
      <w:r>
        <w:t xml:space="preserve"> </w:t>
      </w:r>
      <w:r>
        <w:t xml:space="preserve">N.E.2d</w:t>
      </w:r>
      <w:r>
        <w:t xml:space="preserve"> </w:t>
      </w:r>
      <w:r>
        <w:t xml:space="preserve">1243</w:t>
      </w:r>
      <w:r>
        <w:t xml:space="preserve"> </w:t>
      </w:r>
      <w:r>
        <w:t xml:space="preserve">(2000)</w:t>
      </w:r>
      <w:r>
        <w:t xml:space="preserve">   </w:t>
      </w:r>
      <w:r>
        <w:tab/>
      </w:r>
      <w:r>
        <w:t xml:space="preserve">9</w:t>
      </w:r>
    </w:p>
    <w:p>
      <w:pPr>
        <w:keepLines/>
        <w:tabs>
          <w:tab w:val="right" w:leader="dot" w:pos="9360"/>
        </w:tabs>
        <w:spacing w:before="192" w:after="0" w:line="276" w:lineRule="exact"/>
        <w:ind w:left="360" w:right="720" w:hanging="360"/>
      </w:pPr>
      <w:r>
        <w:rPr>
          <w:i/>
          <w:iCs/>
        </w:rPr>
        <w:t xml:space="preserve">Does</w:t>
      </w:r>
      <w:r>
        <w:rPr>
          <w:i/>
          <w:iCs/>
        </w:rPr>
        <w:t xml:space="preserve"> </w:t>
      </w:r>
      <w:r>
        <w:rPr>
          <w:i/>
          <w:iCs/>
        </w:rPr>
        <w:t xml:space="preserve">I</w:t>
      </w:r>
      <w:r>
        <w:rPr>
          <w:i/>
          <w:iCs/>
        </w:rPr>
        <w:t xml:space="preserve"> </w:t>
      </w:r>
      <w:r>
        <w:rPr>
          <w:i/>
          <w:iCs/>
        </w:rPr>
        <w:t xml:space="preserve">thru</w:t>
      </w:r>
      <w:r>
        <w:rPr>
          <w:i/>
          <w:iCs/>
        </w:rPr>
        <w:t xml:space="preserve"> </w:t>
      </w:r>
      <w:r>
        <w:rPr>
          <w:i/>
          <w:iCs/>
        </w:rPr>
        <w:t xml:space="preserve">XXIII</w:t>
      </w:r>
      <w:r>
        <w:rPr>
          <w:i/>
          <w:iCs/>
        </w:rPr>
        <w:t xml:space="preserve"> </w:t>
      </w:r>
      <w:r>
        <w:rPr>
          <w:i/>
          <w:iCs/>
        </w:rPr>
        <w:t xml:space="preserve">v.</w:t>
      </w:r>
      <w:r>
        <w:rPr>
          <w:i/>
          <w:iCs/>
        </w:rPr>
        <w:t xml:space="preserve"> </w:t>
      </w:r>
      <w:r>
        <w:rPr>
          <w:i/>
          <w:iCs/>
        </w:rPr>
        <w:t xml:space="preserve">Advanced</w:t>
      </w:r>
      <w:r>
        <w:rPr>
          <w:i/>
          <w:iCs/>
        </w:rPr>
        <w:t xml:space="preserve"> </w:t>
      </w:r>
      <w:r>
        <w:rPr>
          <w:i/>
          <w:iCs/>
        </w:rPr>
        <w:t xml:space="preserve">Textile</w:t>
      </w:r>
      <w:r>
        <w:rPr>
          <w:i/>
          <w:iCs/>
        </w:rPr>
        <w:t xml:space="preserve"> </w:t>
      </w:r>
      <w:r>
        <w:rPr>
          <w:i/>
          <w:iCs/>
        </w:rPr>
        <w:t xml:space="preserve">Corp.</w:t>
      </w:r>
      <w:r>
        <w:t xml:space="preserve">,</w:t>
      </w:r>
      <w:r>
        <w:t xml:space="preserve"> </w:t>
      </w:r>
      <w:r>
        <w:t xml:space="preserve">214</w:t>
      </w:r>
      <w:r>
        <w:t xml:space="preserve"> </w:t>
      </w:r>
      <w:r>
        <w:t xml:space="preserve">F.3d</w:t>
      </w:r>
      <w:r>
        <w:t xml:space="preserve"> </w:t>
      </w:r>
      <w:r>
        <w:t xml:space="preserve">1058</w:t>
      </w:r>
      <w:r>
        <w:t xml:space="preserve"> </w:t>
      </w:r>
      <w:r>
        <w:t xml:space="preserve">(9th</w:t>
      </w:r>
      <w:r>
        <w:t xml:space="preserve"> </w:t>
      </w:r>
      <w:r>
        <w:t xml:space="preserve">Cir.2000)</w:t>
      </w:r>
      <w:r>
        <w:t xml:space="preserve">   </w:t>
      </w:r>
      <w:r>
        <w:tab/>
      </w:r>
      <w:r>
        <w:t xml:space="preserve">10</w:t>
      </w:r>
    </w:p>
    <w:p>
      <w:pPr>
        <w:keepLines/>
        <w:tabs>
          <w:tab w:val="right" w:leader="dot" w:pos="9360"/>
        </w:tabs>
        <w:spacing w:before="192" w:after="0" w:line="276" w:lineRule="exact"/>
        <w:ind w:left="360" w:right="720" w:hanging="360"/>
      </w:pPr>
      <w:r>
        <w:rPr>
          <w:i/>
          <w:iCs/>
        </w:rPr>
        <w:t xml:space="preserve">Duncan</w:t>
      </w:r>
      <w:r>
        <w:rPr>
          <w:i/>
          <w:iCs/>
        </w:rPr>
        <w:t xml:space="preserve"> </w:t>
      </w:r>
      <w:r>
        <w:rPr>
          <w:i/>
          <w:iCs/>
        </w:rPr>
        <w:t xml:space="preserve">v.</w:t>
      </w:r>
      <w:r>
        <w:rPr>
          <w:i/>
          <w:iCs/>
        </w:rPr>
        <w:t xml:space="preserve"> </w:t>
      </w:r>
      <w:r>
        <w:rPr>
          <w:i/>
          <w:iCs/>
        </w:rPr>
        <w:t xml:space="preserve">Bacerra</w:t>
      </w:r>
      <w:r>
        <w:t xml:space="preserve">,</w:t>
      </w:r>
      <w:r>
        <w:t xml:space="preserve"> </w:t>
      </w:r>
      <w:r>
        <w:t xml:space="preserve">970</w:t>
      </w:r>
      <w:r>
        <w:t xml:space="preserve"> </w:t>
      </w:r>
      <w:r>
        <w:t xml:space="preserve">F.3d</w:t>
      </w:r>
      <w:r>
        <w:t xml:space="preserve"> </w:t>
      </w:r>
      <w:r>
        <w:t xml:space="preserve">1133</w:t>
      </w:r>
      <w:r>
        <w:t xml:space="preserve"> </w:t>
      </w:r>
      <w:r>
        <w:t xml:space="preserve">(9th</w:t>
      </w:r>
      <w:r>
        <w:t xml:space="preserve"> </w:t>
      </w:r>
      <w:r>
        <w:t xml:space="preserve">Cir.</w:t>
      </w:r>
      <w:r>
        <w:t xml:space="preserve"> </w:t>
      </w:r>
      <w:r>
        <w:t xml:space="preserve">2020)</w:t>
      </w:r>
      <w:r>
        <w:t xml:space="preserve">   </w:t>
      </w:r>
      <w:r>
        <w:tab/>
      </w:r>
      <w:r>
        <w:t xml:space="preserve">26</w:t>
      </w:r>
    </w:p>
    <w:p>
      <w:pPr>
        <w:keepLines/>
        <w:tabs>
          <w:tab w:val="right" w:leader="dot" w:pos="9360"/>
        </w:tabs>
        <w:spacing w:before="192" w:after="0" w:line="276" w:lineRule="exact"/>
        <w:ind w:left="360" w:right="720" w:hanging="360"/>
      </w:pPr>
      <w:r>
        <w:rPr>
          <w:i/>
          <w:iCs/>
        </w:rPr>
        <w:t xml:space="preserve">Elrod</w:t>
      </w:r>
      <w:r>
        <w:rPr>
          <w:i/>
          <w:iCs/>
        </w:rPr>
        <w:t xml:space="preserve"> </w:t>
      </w:r>
      <w:r>
        <w:rPr>
          <w:i/>
          <w:iCs/>
        </w:rPr>
        <w:t xml:space="preserve">v.</w:t>
      </w:r>
      <w:r>
        <w:rPr>
          <w:i/>
          <w:iCs/>
        </w:rPr>
        <w:t xml:space="preserve"> </w:t>
      </w:r>
      <w:r>
        <w:rPr>
          <w:i/>
          <w:iCs/>
        </w:rPr>
        <w:t xml:space="preserve">Burns</w:t>
      </w:r>
      <w:r>
        <w:t xml:space="preserve">,</w:t>
      </w:r>
      <w:r>
        <w:t xml:space="preserve"> </w:t>
      </w:r>
      <w:r>
        <w:t xml:space="preserve">427</w:t>
      </w:r>
      <w:r>
        <w:t xml:space="preserve"> </w:t>
      </w:r>
      <w:r>
        <w:t xml:space="preserve">U.S.</w:t>
      </w:r>
      <w:r>
        <w:t xml:space="preserve"> </w:t>
      </w:r>
      <w:r>
        <w:t xml:space="preserve">347,</w:t>
      </w:r>
      <w:r>
        <w:t xml:space="preserve"> </w:t>
      </w:r>
      <w:r>
        <w:t xml:space="preserve">96</w:t>
      </w:r>
      <w:r>
        <w:t xml:space="preserve"> </w:t>
      </w:r>
      <w:r>
        <w:t xml:space="preserve">S.Ct.</w:t>
      </w:r>
      <w:r>
        <w:t xml:space="preserve"> </w:t>
      </w:r>
      <w:r>
        <w:t xml:space="preserve">2673,</w:t>
      </w:r>
      <w:r>
        <w:t xml:space="preserve"> </w:t>
      </w:r>
      <w:r>
        <w:t xml:space="preserve">49</w:t>
      </w:r>
      <w:r>
        <w:t xml:space="preserve"> </w:t>
      </w:r>
      <w:r>
        <w:t xml:space="preserve">L.Ed.2d</w:t>
      </w:r>
      <w:r>
        <w:t xml:space="preserve"> </w:t>
      </w:r>
      <w:r>
        <w:t xml:space="preserve">547</w:t>
      </w:r>
      <w:r>
        <w:t xml:space="preserve"> </w:t>
      </w:r>
      <w:r>
        <w:t xml:space="preserve">(1976)</w:t>
      </w:r>
      <w:r>
        <w:t xml:space="preserve">   </w:t>
      </w:r>
      <w:r>
        <w:tab/>
      </w:r>
      <w:r>
        <w:t xml:space="preserve">35</w:t>
      </w:r>
    </w:p>
    <w:p>
      <w:pPr>
        <w:keepLines/>
        <w:tabs>
          <w:tab w:val="right" w:leader="dot" w:pos="9360"/>
        </w:tabs>
        <w:spacing w:before="192" w:after="0" w:line="276" w:lineRule="exact"/>
        <w:ind w:left="360" w:right="720" w:hanging="360"/>
      </w:pPr>
      <w:r>
        <w:rPr>
          <w:i/>
          <w:iCs/>
        </w:rPr>
        <w:t xml:space="preserve">Gilcrest</w:t>
      </w:r>
      <w:r>
        <w:rPr>
          <w:i/>
          <w:iCs/>
        </w:rPr>
        <w:t xml:space="preserve"> </w:t>
      </w:r>
      <w:r>
        <w:rPr>
          <w:i/>
          <w:iCs/>
        </w:rPr>
        <w:t xml:space="preserve">v.</w:t>
      </w:r>
      <w:r>
        <w:rPr>
          <w:i/>
          <w:iCs/>
        </w:rPr>
        <w:t xml:space="preserve"> </w:t>
      </w:r>
      <w:r>
        <w:rPr>
          <w:i/>
          <w:iCs/>
        </w:rPr>
        <w:t xml:space="preserve">Gilcrest</w:t>
      </w:r>
      <w:r>
        <w:t xml:space="preserve">,</w:t>
      </w:r>
      <w:r>
        <w:t xml:space="preserve"> </w:t>
      </w:r>
      <w:r>
        <w:t xml:space="preserve">5th</w:t>
      </w:r>
      <w:r>
        <w:t xml:space="preserve"> </w:t>
      </w:r>
      <w:r>
        <w:t xml:space="preserve">Dist.</w:t>
      </w:r>
      <w:r>
        <w:t xml:space="preserve"> </w:t>
      </w:r>
      <w:r>
        <w:t xml:space="preserve">Delaware</w:t>
      </w:r>
      <w:r>
        <w:t xml:space="preserve"> </w:t>
      </w:r>
      <w:r>
        <w:t xml:space="preserve">No.</w:t>
      </w:r>
      <w:r>
        <w:t xml:space="preserve"> </w:t>
      </w:r>
      <w:r>
        <w:t xml:space="preserve">22</w:t>
      </w:r>
      <w:r>
        <w:t xml:space="preserve"> </w:t>
      </w:r>
      <w:r>
        <w:t xml:space="preserve">CAE</w:t>
      </w:r>
      <w:r>
        <w:t xml:space="preserve"> </w:t>
      </w:r>
      <w:r>
        <w:t xml:space="preserve">03</w:t>
      </w:r>
      <w:r>
        <w:t xml:space="preserve"> </w:t>
      </w:r>
      <w:r>
        <w:t xml:space="preserve">0019,</w:t>
      </w:r>
      <w:r>
        <w:t xml:space="preserve"> </w:t>
      </w:r>
      <w:r>
        <w:t xml:space="preserve">2022-Ohio</w:t>
        <w:noBreakHyphen/>
        <w:t xml:space="preserve">3640</w:t>
      </w:r>
      <w:r>
        <w:t xml:space="preserve">   </w:t>
      </w:r>
      <w:r>
        <w:tab/>
      </w:r>
      <w:r>
        <w:t xml:space="preserve">16</w:t>
      </w:r>
    </w:p>
    <w:p>
      <w:pPr>
        <w:keepLines/>
        <w:tabs>
          <w:tab w:val="right" w:leader="dot" w:pos="9360"/>
        </w:tabs>
        <w:spacing w:before="192" w:after="0" w:line="276" w:lineRule="exact"/>
        <w:ind w:left="360" w:right="720" w:hanging="360"/>
      </w:pPr>
      <w:r>
        <w:rPr>
          <w:i/>
          <w:iCs/>
        </w:rPr>
        <w:t xml:space="preserve">Hamilton</w:t>
      </w:r>
      <w:r>
        <w:rPr>
          <w:i/>
          <w:iCs/>
        </w:rPr>
        <w:t xml:space="preserve"> </w:t>
      </w:r>
      <w:r>
        <w:rPr>
          <w:i/>
          <w:iCs/>
        </w:rPr>
        <w:t xml:space="preserve">v.</w:t>
      </w:r>
      <w:r>
        <w:rPr>
          <w:i/>
          <w:iCs/>
        </w:rPr>
        <w:t xml:space="preserve"> </w:t>
      </w:r>
      <w:r>
        <w:rPr>
          <w:i/>
          <w:iCs/>
        </w:rPr>
        <w:t xml:space="preserve">Fairfield</w:t>
      </w:r>
      <w:r>
        <w:rPr>
          <w:i/>
          <w:iCs/>
        </w:rPr>
        <w:t xml:space="preserve"> </w:t>
      </w:r>
      <w:r>
        <w:rPr>
          <w:i/>
          <w:iCs/>
        </w:rPr>
        <w:t xml:space="preserve">Twp.</w:t>
      </w:r>
      <w:r>
        <w:t xml:space="preserve">,</w:t>
      </w:r>
      <w:r>
        <w:t xml:space="preserve"> </w:t>
      </w:r>
      <w:r>
        <w:t xml:space="preserve">112</w:t>
      </w:r>
      <w:r>
        <w:t xml:space="preserve"> </w:t>
      </w:r>
      <w:r>
        <w:t xml:space="preserve">Ohio</w:t>
      </w:r>
      <w:r>
        <w:t xml:space="preserve"> </w:t>
      </w:r>
      <w:r>
        <w:t xml:space="preserve">App.</w:t>
      </w:r>
      <w:r>
        <w:t xml:space="preserve"> </w:t>
      </w:r>
      <w:r>
        <w:t xml:space="preserve">3d</w:t>
      </w:r>
      <w:r>
        <w:t xml:space="preserve"> </w:t>
      </w:r>
      <w:r>
        <w:t xml:space="preserve">255,</w:t>
      </w:r>
      <w:r>
        <w:t xml:space="preserve"> </w:t>
      </w:r>
      <w:r>
        <w:t xml:space="preserve">678</w:t>
      </w:r>
      <w:r>
        <w:t xml:space="preserve"> </w:t>
      </w:r>
      <w:r>
        <w:t xml:space="preserve">N.E.2d</w:t>
      </w:r>
      <w:r>
        <w:t xml:space="preserve"> </w:t>
      </w:r>
      <w:r>
        <w:t xml:space="preserve">599</w:t>
      </w:r>
      <w:r>
        <w:t xml:space="preserve"> </w:t>
      </w:r>
      <w:r>
        <w:t xml:space="preserve">(12th</w:t>
      </w:r>
      <w:r>
        <w:t xml:space="preserve"> </w:t>
      </w:r>
      <w:r>
        <w:t xml:space="preserve">Dist.1996)</w:t>
      </w:r>
      <w:r>
        <w:t xml:space="preserve">   </w:t>
      </w:r>
      <w:r>
        <w:tab/>
      </w:r>
      <w:r>
        <w:t xml:space="preserve">21</w:t>
      </w:r>
    </w:p>
    <w:p>
      <w:pPr>
        <w:keepLines/>
        <w:tabs>
          <w:tab w:val="right" w:leader="dot" w:pos="9360"/>
        </w:tabs>
        <w:spacing w:before="192" w:after="0" w:line="276" w:lineRule="exact"/>
        <w:ind w:left="360" w:right="720" w:hanging="360"/>
      </w:pPr>
      <w:r>
        <w:rPr>
          <w:i/>
          <w:iCs/>
        </w:rPr>
        <w:t xml:space="preserve">Hanson</w:t>
      </w:r>
      <w:r>
        <w:rPr>
          <w:i/>
          <w:iCs/>
        </w:rPr>
        <w:t xml:space="preserve"> </w:t>
      </w:r>
      <w:r>
        <w:rPr>
          <w:i/>
          <w:iCs/>
        </w:rPr>
        <w:t xml:space="preserve">v.</w:t>
      </w:r>
      <w:r>
        <w:rPr>
          <w:i/>
          <w:iCs/>
        </w:rPr>
        <w:t xml:space="preserve"> </w:t>
      </w:r>
      <w:r>
        <w:rPr>
          <w:i/>
          <w:iCs/>
        </w:rPr>
        <w:t xml:space="preserve">D.C.</w:t>
      </w:r>
      <w:r>
        <w:t xml:space="preserve">,</w:t>
      </w:r>
      <w:r>
        <w:t xml:space="preserve"> </w:t>
      </w:r>
      <w:r>
        <w:t xml:space="preserve">No.</w:t>
      </w:r>
      <w:r>
        <w:t xml:space="preserve"> </w:t>
      </w:r>
      <w:r>
        <w:t xml:space="preserve">22</w:t>
        <w:noBreakHyphen/>
        <w:t xml:space="preserve">2256,</w:t>
      </w:r>
      <w:r>
        <w:t xml:space="preserve"> </w:t>
      </w:r>
      <w:r>
        <w:t xml:space="preserve">2023</w:t>
      </w:r>
      <w:r>
        <w:t xml:space="preserve"> </w:t>
      </w:r>
      <w:r>
        <w:t xml:space="preserve">WL</w:t>
      </w:r>
      <w:r>
        <w:t xml:space="preserve"> </w:t>
      </w:r>
      <w:r>
        <w:t xml:space="preserve">3019777</w:t>
      </w:r>
      <w:r>
        <w:t xml:space="preserve"> </w:t>
      </w:r>
      <w:r>
        <w:t xml:space="preserve">(Apr.</w:t>
      </w:r>
      <w:r>
        <w:t xml:space="preserve"> </w:t>
      </w:r>
      <w:r>
        <w:t xml:space="preserve">20,</w:t>
      </w:r>
      <w:r>
        <w:t xml:space="preserve"> </w:t>
      </w:r>
      <w:r>
        <w:t xml:space="preserve">2023)</w:t>
      </w:r>
      <w:r>
        <w:t xml:space="preserve">   </w:t>
      </w:r>
      <w:r>
        <w:tab/>
      </w:r>
      <w:r>
        <w:t xml:space="preserve">27</w:t>
      </w:r>
    </w:p>
    <w:p>
      <w:pPr>
        <w:keepLines/>
        <w:tabs>
          <w:tab w:val="right" w:leader="dot" w:pos="9360"/>
        </w:tabs>
        <w:spacing w:before="192" w:after="0" w:line="276" w:lineRule="exact"/>
        <w:ind w:left="360" w:right="720" w:hanging="360"/>
      </w:pPr>
      <w:r>
        <w:rPr>
          <w:i/>
          <w:iCs/>
        </w:rPr>
        <w:t xml:space="preserve">Heller</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(Heller</w:t>
      </w:r>
      <w:r>
        <w:rPr>
          <w:i/>
          <w:iCs/>
        </w:rPr>
        <w:t xml:space="preserve"> </w:t>
      </w:r>
      <w:r>
        <w:rPr>
          <w:i/>
          <w:iCs/>
        </w:rPr>
        <w:t xml:space="preserve">II)</w:t>
      </w:r>
      <w:r>
        <w:t xml:space="preserve">,</w:t>
      </w:r>
      <w:r>
        <w:t xml:space="preserve"> </w:t>
      </w:r>
      <w:r>
        <w:t xml:space="preserve">670</w:t>
      </w:r>
      <w:r>
        <w:t xml:space="preserve"> </w:t>
      </w:r>
      <w:r>
        <w:t xml:space="preserve">F.3d</w:t>
      </w:r>
      <w:r>
        <w:t xml:space="preserve"> </w:t>
      </w:r>
      <w:r>
        <w:t xml:space="preserve">1244,</w:t>
      </w:r>
      <w:r>
        <w:t xml:space="preserve"> </w:t>
      </w:r>
      <w:r>
        <w:t xml:space="preserve">1264</w:t>
      </w:r>
      <w:r>
        <w:t xml:space="preserve"> </w:t>
      </w:r>
      <w:r>
        <w:t xml:space="preserve">(D.C.</w:t>
      </w:r>
      <w:r>
        <w:t xml:space="preserve"> </w:t>
      </w:r>
      <w:r>
        <w:t xml:space="preserve">Cir.2011)</w:t>
      </w:r>
      <w:r>
        <w:t xml:space="preserve">   </w:t>
      </w:r>
      <w:r>
        <w:tab/>
      </w:r>
      <w:r>
        <w:t xml:space="preserve">25, 29</w:t>
      </w:r>
    </w:p>
    <w:p>
      <w:pPr>
        <w:keepLines/>
        <w:tabs>
          <w:tab w:val="right" w:leader="dot" w:pos="9360"/>
        </w:tabs>
        <w:spacing w:before="192" w:after="0" w:line="276" w:lineRule="exact"/>
        <w:ind w:left="360" w:right="720" w:hanging="360"/>
      </w:pPr>
      <w:r>
        <w:rPr>
          <w:i/>
          <w:iCs/>
        </w:rPr>
        <w:t xml:space="preserve">Herrera</w:t>
      </w:r>
      <w:r>
        <w:rPr>
          <w:i/>
          <w:iCs/>
        </w:rPr>
        <w:t xml:space="preserve"> </w:t>
      </w:r>
      <w:r>
        <w:rPr>
          <w:i/>
          <w:iCs/>
        </w:rPr>
        <w:t xml:space="preserve">v.</w:t>
      </w:r>
      <w:r>
        <w:rPr>
          <w:i/>
          <w:iCs/>
        </w:rPr>
        <w:t xml:space="preserve"> </w:t>
      </w:r>
      <w:r>
        <w:rPr>
          <w:i/>
          <w:iCs/>
        </w:rPr>
        <w:t xml:space="preserve">Raoul</w:t>
      </w:r>
      <w:r>
        <w:t xml:space="preserve">,</w:t>
      </w:r>
      <w:r>
        <w:t xml:space="preserve"> </w:t>
      </w:r>
      <w:r>
        <w:t xml:space="preserve">N.D.</w:t>
      </w:r>
      <w:r>
        <w:t xml:space="preserve"> </w:t>
      </w:r>
      <w:r>
        <w:t xml:space="preserve">Ill.</w:t>
      </w:r>
      <w:r>
        <w:t xml:space="preserve"> </w:t>
      </w:r>
      <w:r>
        <w:t xml:space="preserve">No.</w:t>
      </w:r>
      <w:r>
        <w:t xml:space="preserve"> </w:t>
      </w:r>
      <w:r>
        <w:t xml:space="preserve">23</w:t>
      </w:r>
      <w:r>
        <w:t xml:space="preserve"> </w:t>
      </w:r>
      <w:r>
        <w:t xml:space="preserve">CV</w:t>
      </w:r>
      <w:r>
        <w:t xml:space="preserve"> </w:t>
      </w:r>
      <w:r>
        <w:t xml:space="preserve">532,</w:t>
      </w:r>
      <w:r>
        <w:t xml:space="preserve"> </w:t>
      </w:r>
      <w:r>
        <w:t xml:space="preserve">2023</w:t>
      </w:r>
      <w:r>
        <w:t xml:space="preserve"> </w:t>
      </w:r>
      <w:r>
        <w:t xml:space="preserve">WL</w:t>
      </w:r>
      <w:r>
        <w:t xml:space="preserve"> </w:t>
      </w:r>
      <w:r>
        <w:t xml:space="preserve">3074799</w:t>
      </w:r>
      <w:r>
        <w:t xml:space="preserve"> </w:t>
      </w:r>
      <w:r>
        <w:t xml:space="preserve">(Apr.</w:t>
      </w:r>
      <w:r>
        <w:t xml:space="preserve"> </w:t>
      </w:r>
      <w:r>
        <w:t xml:space="preserve">25,</w:t>
      </w:r>
      <w:r>
        <w:t xml:space="preserve"> </w:t>
      </w:r>
      <w:r>
        <w:t xml:space="preserve">2023)</w:t>
      </w:r>
      <w:r>
        <w:t xml:space="preserve">   </w:t>
      </w:r>
      <w:r>
        <w:tab/>
      </w:r>
      <w:r>
        <w:t xml:space="preserve">28</w:t>
      </w:r>
    </w:p>
    <w:p>
      <w:pPr>
        <w:keepLines/>
        <w:tabs>
          <w:tab w:val="right" w:leader="dot" w:pos="9360"/>
        </w:tabs>
        <w:spacing w:before="192" w:after="0" w:line="276" w:lineRule="exact"/>
        <w:ind w:left="360" w:right="720" w:hanging="360"/>
      </w:pPr>
      <w:r>
        <w:rPr>
          <w:i/>
          <w:iCs/>
        </w:rPr>
        <w:t xml:space="preserve">Holeton</w:t>
      </w:r>
      <w:r>
        <w:rPr>
          <w:i/>
          <w:iCs/>
        </w:rPr>
        <w:t xml:space="preserve"> </w:t>
      </w:r>
      <w:r>
        <w:rPr>
          <w:i/>
          <w:iCs/>
        </w:rPr>
        <w:t xml:space="preserve">v.</w:t>
      </w:r>
      <w:r>
        <w:rPr>
          <w:i/>
          <w:iCs/>
        </w:rPr>
        <w:t xml:space="preserve"> </w:t>
      </w:r>
      <w:r>
        <w:rPr>
          <w:i/>
          <w:iCs/>
        </w:rPr>
        <w:t xml:space="preserve">Crouse</w:t>
      </w:r>
      <w:r>
        <w:rPr>
          <w:i/>
          <w:iCs/>
        </w:rPr>
        <w:t xml:space="preserve"> </w:t>
      </w:r>
      <w:r>
        <w:rPr>
          <w:i/>
          <w:iCs/>
        </w:rPr>
        <w:t xml:space="preserve">Cartage</w:t>
      </w:r>
      <w:r>
        <w:rPr>
          <w:i/>
          <w:iCs/>
        </w:rPr>
        <w:t xml:space="preserve"> </w:t>
      </w:r>
      <w:r>
        <w:rPr>
          <w:i/>
          <w:iCs/>
        </w:rPr>
        <w:t xml:space="preserve">Co.</w:t>
      </w:r>
      <w:r>
        <w:t xml:space="preserve">,</w:t>
      </w:r>
      <w:r>
        <w:t xml:space="preserve"> </w:t>
      </w:r>
      <w:r>
        <w:t xml:space="preserve">92</w:t>
      </w:r>
      <w:r>
        <w:t xml:space="preserve"> </w:t>
      </w:r>
      <w:r>
        <w:t xml:space="preserve">Ohio</w:t>
      </w:r>
      <w:r>
        <w:t xml:space="preserve"> </w:t>
      </w:r>
      <w:r>
        <w:t xml:space="preserve">St.3d</w:t>
      </w:r>
      <w:r>
        <w:t xml:space="preserve"> </w:t>
      </w:r>
      <w:r>
        <w:t xml:space="preserve">115,</w:t>
      </w:r>
      <w:r>
        <w:t xml:space="preserve"> </w:t>
      </w:r>
      <w:r>
        <w:t xml:space="preserve">748</w:t>
      </w:r>
      <w:r>
        <w:t xml:space="preserve"> </w:t>
      </w:r>
      <w:r>
        <w:t xml:space="preserve">N.E.2d</w:t>
      </w:r>
      <w:r>
        <w:t xml:space="preserve"> </w:t>
      </w:r>
      <w:r>
        <w:t xml:space="preserve">1111</w:t>
      </w:r>
      <w:r>
        <w:t xml:space="preserve"> </w:t>
      </w:r>
      <w:r>
        <w:t xml:space="preserve">(2001)</w:t>
      </w:r>
      <w:r>
        <w:t xml:space="preserve">   </w:t>
      </w:r>
      <w:r>
        <w:tab/>
      </w:r>
      <w:r>
        <w:t xml:space="preserve">31</w:t>
      </w:r>
    </w:p>
    <w:p>
      <w:pPr>
        <w:keepLines/>
        <w:tabs>
          <w:tab w:val="right" w:leader="dot" w:pos="9360"/>
        </w:tabs>
        <w:spacing w:before="192" w:after="0" w:line="276" w:lineRule="exact"/>
        <w:ind w:left="360" w:right="720" w:hanging="360"/>
      </w:pPr>
      <w:r>
        <w:rPr>
          <w:i/>
          <w:iCs/>
        </w:rPr>
        <w:t xml:space="preserve">John</w:t>
      </w:r>
      <w:r>
        <w:rPr>
          <w:i/>
          <w:iCs/>
        </w:rPr>
        <w:t xml:space="preserve"> </w:t>
      </w:r>
      <w:r>
        <w:rPr>
          <w:i/>
          <w:iCs/>
        </w:rPr>
        <w:t xml:space="preserve">Weenink</w:t>
      </w:r>
      <w:r>
        <w:rPr>
          <w:i/>
          <w:iCs/>
        </w:rPr>
        <w:t xml:space="preserve"> </w:t>
      </w:r>
      <w:r>
        <w:rPr>
          <w:i/>
          <w:iCs/>
        </w:rPr>
        <w:t xml:space="preserve">&amp;</w:t>
      </w:r>
      <w:r>
        <w:rPr>
          <w:i/>
          <w:iCs/>
        </w:rPr>
        <w:t xml:space="preserve"> </w:t>
      </w:r>
      <w:r>
        <w:rPr>
          <w:i/>
          <w:iCs/>
        </w:rPr>
        <w:t xml:space="preserve">Sons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Common</w:t>
      </w:r>
      <w:r>
        <w:rPr>
          <w:i/>
          <w:iCs/>
        </w:rPr>
        <w:t xml:space="preserve"> </w:t>
      </w:r>
      <w:r>
        <w:rPr>
          <w:i/>
          <w:iCs/>
        </w:rPr>
        <w:t xml:space="preserve">Pleas</w:t>
      </w:r>
      <w:r>
        <w:rPr>
          <w:i/>
          <w:iCs/>
        </w:rPr>
        <w:t xml:space="preserve"> </w:t>
      </w:r>
      <w:r>
        <w:rPr>
          <w:i/>
          <w:iCs/>
        </w:rPr>
        <w:t xml:space="preserve">of</w:t>
      </w:r>
      <w:r>
        <w:rPr>
          <w:i/>
          <w:iCs/>
        </w:rPr>
        <w:t xml:space="preserve"> </w:t>
      </w:r>
      <w:r>
        <w:rPr>
          <w:i/>
          <w:iCs/>
        </w:rPr>
        <w:t xml:space="preserve">Cuyahoga</w:t>
      </w:r>
      <w:r>
        <w:rPr>
          <w:i/>
          <w:iCs/>
        </w:rPr>
        <w:t xml:space="preserve"> </w:t>
      </w:r>
      <w:r>
        <w:rPr>
          <w:i/>
          <w:iCs/>
        </w:rPr>
        <w:t xml:space="preserve">Cnty.</w:t>
      </w:r>
      <w:r>
        <w:t xml:space="preserve">,</w:t>
      </w:r>
      <w:r>
        <w:t xml:space="preserve"> </w:t>
      </w:r>
      <w:r>
        <w:t xml:space="preserve">150</w:t>
      </w:r>
      <w:r>
        <w:t xml:space="preserve"> </w:t>
      </w:r>
      <w:r>
        <w:t xml:space="preserve">Ohio</w:t>
      </w:r>
      <w:r>
        <w:t xml:space="preserve"> </w:t>
      </w:r>
      <w:r>
        <w:t xml:space="preserve">St.</w:t>
      </w:r>
      <w:r>
        <w:t xml:space="preserve"> </w:t>
      </w:r>
      <w:r>
        <w:t xml:space="preserve">349,</w:t>
      </w:r>
      <w:r>
        <w:t xml:space="preserve"> </w:t>
      </w:r>
      <w:r>
        <w:t xml:space="preserve">82</w:t>
      </w:r>
      <w:r>
        <w:t xml:space="preserve"> </w:t>
      </w:r>
      <w:r>
        <w:t xml:space="preserve">N.E.2d</w:t>
      </w:r>
      <w:r>
        <w:t xml:space="preserve"> </w:t>
      </w:r>
      <w:r>
        <w:t xml:space="preserve">730</w:t>
      </w:r>
      <w:r>
        <w:t xml:space="preserve"> </w:t>
      </w:r>
      <w:r>
        <w:t xml:space="preserve">(1948)</w:t>
      </w:r>
      <w:r>
        <w:t xml:space="preserve">   </w:t>
      </w:r>
      <w:r>
        <w:tab/>
      </w:r>
      <w:r>
        <w:t xml:space="preserve">19</w:t>
      </w:r>
    </w:p>
    <w:p>
      <w:pPr>
        <w:keepLines/>
        <w:tabs>
          <w:tab w:val="right" w:leader="dot" w:pos="9360"/>
        </w:tabs>
        <w:spacing w:before="192" w:after="0" w:line="276" w:lineRule="exact"/>
        <w:ind w:left="360" w:right="1320" w:hanging="360"/>
      </w:pPr>
      <w:r>
        <w:rPr>
          <w:i/>
          <w:iCs/>
        </w:rPr>
        <w:t xml:space="preserve">Klein</w:t>
      </w:r>
      <w:r>
        <w:rPr>
          <w:i/>
          <w:iCs/>
        </w:rPr>
        <w:t xml:space="preserve"> </w:t>
      </w:r>
      <w:r>
        <w:rPr>
          <w:i/>
          <w:iCs/>
        </w:rPr>
        <w:t xml:space="preserve">v.</w:t>
      </w:r>
      <w:r>
        <w:rPr>
          <w:i/>
          <w:iCs/>
        </w:rPr>
        <w:t xml:space="preserve"> </w:t>
      </w:r>
      <w:r>
        <w:rPr>
          <w:i/>
          <w:iCs/>
        </w:rPr>
        <w:t xml:space="preserve">Leis</w:t>
      </w:r>
      <w:r>
        <w:t xml:space="preserve">,</w:t>
      </w:r>
      <w:r>
        <w:t xml:space="preserve"> </w:t>
      </w:r>
      <w:r>
        <w:t xml:space="preserve">99</w:t>
      </w:r>
      <w:r>
        <w:t xml:space="preserve"> </w:t>
      </w:r>
      <w:r>
        <w:t xml:space="preserve">Ohio</w:t>
      </w:r>
      <w:r>
        <w:t xml:space="preserve"> </w:t>
      </w:r>
      <w:r>
        <w:t xml:space="preserve">St.3d</w:t>
      </w:r>
      <w:r>
        <w:t xml:space="preserve"> </w:t>
      </w:r>
      <w:r>
        <w:t xml:space="preserve">537,</w:t>
      </w:r>
      <w:r>
        <w:t xml:space="preserve"> </w:t>
      </w:r>
      <w:r>
        <w:t xml:space="preserve">2003-Ohio</w:t>
        <w:noBreakHyphen/>
        <w:t xml:space="preserve">4779</w:t>
      </w:r>
      <w:r>
        <w:t xml:space="preserve">   </w:t>
      </w:r>
      <w:r>
        <w:tab/>
      </w:r>
      <w:r>
        <w:t xml:space="preserve">10, 29, 31, 32</w:t>
      </w:r>
    </w:p>
    <w:p>
      <w:pPr>
        <w:keepLines/>
        <w:tabs>
          <w:tab w:val="right" w:leader="dot" w:pos="9360"/>
        </w:tabs>
        <w:spacing w:before="192" w:after="0" w:line="276" w:lineRule="exact"/>
        <w:ind w:left="360" w:right="720" w:hanging="360"/>
      </w:pPr>
      <w:r>
        <w:rPr>
          <w:i/>
          <w:iCs/>
        </w:rPr>
        <w:t xml:space="preserve">Magda</w:t>
      </w:r>
      <w:r>
        <w:rPr>
          <w:i/>
          <w:iCs/>
        </w:rPr>
        <w:t xml:space="preserve"> </w:t>
      </w:r>
      <w:r>
        <w:rPr>
          <w:i/>
          <w:iCs/>
        </w:rPr>
        <w:t xml:space="preserve">v.</w:t>
      </w:r>
      <w:r>
        <w:rPr>
          <w:i/>
          <w:iCs/>
        </w:rPr>
        <w:t xml:space="preserve"> </w:t>
      </w:r>
      <w:r>
        <w:rPr>
          <w:i/>
          <w:iCs/>
        </w:rPr>
        <w:t xml:space="preserve">Ohio</w:t>
      </w:r>
      <w:r>
        <w:rPr>
          <w:i/>
          <w:iCs/>
        </w:rPr>
        <w:t xml:space="preserve"> </w:t>
      </w:r>
      <w:r>
        <w:rPr>
          <w:i/>
          <w:iCs/>
        </w:rPr>
        <w:t xml:space="preserve">Elections</w:t>
      </w:r>
      <w:r>
        <w:rPr>
          <w:i/>
          <w:iCs/>
        </w:rPr>
        <w:t xml:space="preserve"> </w:t>
      </w:r>
      <w:r>
        <w:rPr>
          <w:i/>
          <w:iCs/>
        </w:rPr>
        <w:t xml:space="preserve">Comm.</w:t>
      </w:r>
      <w:r>
        <w:t xml:space="preserve">,</w:t>
      </w:r>
      <w:r>
        <w:t xml:space="preserve"> </w:t>
      </w:r>
      <w:r>
        <w:t xml:space="preserve">2016-Ohio</w:t>
        <w:noBreakHyphen/>
        <w:t xml:space="preserve">5043,</w:t>
      </w:r>
      <w:r>
        <w:t xml:space="preserve"> </w:t>
      </w:r>
      <w:r>
        <w:t xml:space="preserve">58</w:t>
      </w:r>
      <w:r>
        <w:t xml:space="preserve"> </w:t>
      </w:r>
      <w:r>
        <w:t xml:space="preserve">N.E.3d</w:t>
      </w:r>
      <w:r>
        <w:t xml:space="preserve"> </w:t>
      </w:r>
      <w:r>
        <w:t xml:space="preserve">1188</w:t>
      </w:r>
      <w:r>
        <w:t xml:space="preserve"> </w:t>
      </w:r>
      <w:r>
        <w:t xml:space="preserve">(10th</w:t>
      </w:r>
      <w:r>
        <w:t xml:space="preserve"> </w:t>
      </w:r>
      <w:r>
        <w:t xml:space="preserve">Dist.)</w:t>
      </w:r>
      <w:r>
        <w:t xml:space="preserve">   </w:t>
      </w:r>
      <w:r>
        <w:tab/>
      </w:r>
      <w:r>
        <w:t xml:space="preserve">35</w:t>
      </w:r>
    </w:p>
    <w:p>
      <w:pPr>
        <w:keepLines/>
        <w:tabs>
          <w:tab w:val="right" w:leader="dot" w:pos="9360"/>
        </w:tabs>
        <w:spacing w:before="192" w:after="0" w:line="276" w:lineRule="exact"/>
        <w:ind w:left="360" w:right="720" w:hanging="360"/>
      </w:pPr>
      <w:r>
        <w:rPr>
          <w:i/>
          <w:iCs/>
        </w:rPr>
        <w:t xml:space="preserve">Mathews</w:t>
      </w:r>
      <w:r>
        <w:rPr>
          <w:i/>
          <w:iCs/>
        </w:rPr>
        <w:t xml:space="preserve"> </w:t>
      </w:r>
      <w:r>
        <w:rPr>
          <w:i/>
          <w:iCs/>
        </w:rPr>
        <w:t xml:space="preserve">v.</w:t>
      </w:r>
      <w:r>
        <w:rPr>
          <w:i/>
          <w:iCs/>
        </w:rPr>
        <w:t xml:space="preserve"> </w:t>
      </w:r>
      <w:r>
        <w:rPr>
          <w:i/>
          <w:iCs/>
        </w:rPr>
        <w:t xml:space="preserve">Lucas</w:t>
      </w:r>
      <w:r>
        <w:t xml:space="preserve">,</w:t>
      </w:r>
      <w:r>
        <w:t xml:space="preserve"> </w:t>
      </w:r>
      <w:r>
        <w:t xml:space="preserve">427</w:t>
      </w:r>
      <w:r>
        <w:t xml:space="preserve"> </w:t>
      </w:r>
      <w:r>
        <w:t xml:space="preserve">U.S.</w:t>
      </w:r>
      <w:r>
        <w:t xml:space="preserve"> </w:t>
      </w:r>
      <w:r>
        <w:t xml:space="preserve">495,</w:t>
      </w:r>
      <w:r>
        <w:t xml:space="preserve"> </w:t>
      </w:r>
      <w:r>
        <w:t xml:space="preserve">96</w:t>
      </w:r>
      <w:r>
        <w:t xml:space="preserve"> </w:t>
      </w:r>
      <w:r>
        <w:t xml:space="preserve">S.Ct.</w:t>
      </w:r>
      <w:r>
        <w:t xml:space="preserve"> </w:t>
      </w:r>
      <w:r>
        <w:t xml:space="preserve">2755,</w:t>
      </w:r>
      <w:r>
        <w:t xml:space="preserve"> </w:t>
      </w:r>
      <w:r>
        <w:t xml:space="preserve">49</w:t>
      </w:r>
      <w:r>
        <w:t xml:space="preserve"> </w:t>
      </w:r>
      <w:r>
        <w:t xml:space="preserve">L.Ed.2d</w:t>
      </w:r>
      <w:r>
        <w:t xml:space="preserve"> </w:t>
      </w:r>
      <w:r>
        <w:t xml:space="preserve">651</w:t>
      </w:r>
      <w:r>
        <w:t xml:space="preserve"> </w:t>
      </w:r>
      <w:r>
        <w:t xml:space="preserve">(1976)</w:t>
      </w:r>
      <w:r>
        <w:t xml:space="preserve">   </w:t>
      </w:r>
      <w:r>
        <w:tab/>
      </w:r>
      <w:r>
        <w:t xml:space="preserve">31</w:t>
      </w:r>
    </w:p>
    <w:p>
      <w:pPr>
        <w:keepLines/>
        <w:tabs>
          <w:tab w:val="right" w:leader="dot" w:pos="9360"/>
        </w:tabs>
        <w:spacing w:before="192" w:after="0" w:line="276" w:lineRule="exact"/>
        <w:ind w:left="360" w:right="720" w:hanging="360"/>
      </w:pPr>
      <w:r>
        <w:rPr>
          <w:i/>
          <w:iCs/>
        </w:rPr>
        <w:t xml:space="preserve">McDonald</w:t>
      </w:r>
      <w:r>
        <w:rPr>
          <w:i/>
          <w:iCs/>
        </w:rPr>
        <w:t xml:space="preserve"> </w:t>
      </w:r>
      <w:r>
        <w:rPr>
          <w:i/>
          <w:iCs/>
        </w:rPr>
        <w:t xml:space="preserve">v.</w:t>
      </w:r>
      <w:r>
        <w:rPr>
          <w:i/>
          <w:iCs/>
        </w:rPr>
        <w:t xml:space="preserve"> </w:t>
      </w:r>
      <w:r>
        <w:rPr>
          <w:i/>
          <w:iCs/>
        </w:rPr>
        <w:t xml:space="preserve">Chicago</w:t>
      </w:r>
      <w:r>
        <w:t xml:space="preserve">,</w:t>
      </w:r>
      <w:r>
        <w:t xml:space="preserve"> </w:t>
      </w:r>
      <w:r>
        <w:t xml:space="preserve">561</w:t>
      </w:r>
      <w:r>
        <w:t xml:space="preserve"> </w:t>
      </w:r>
      <w:r>
        <w:t xml:space="preserve">U.S.</w:t>
      </w:r>
      <w:r>
        <w:t xml:space="preserve"> </w:t>
      </w:r>
      <w:r>
        <w:t xml:space="preserve">742,</w:t>
      </w:r>
      <w:r>
        <w:t xml:space="preserve"> </w:t>
      </w:r>
      <w:r>
        <w:t xml:space="preserve">130</w:t>
      </w:r>
      <w:r>
        <w:t xml:space="preserve"> </w:t>
      </w:r>
      <w:r>
        <w:t xml:space="preserve">S.Ct.</w:t>
      </w:r>
      <w:r>
        <w:t xml:space="preserve"> </w:t>
      </w:r>
      <w:r>
        <w:t xml:space="preserve">3020,</w:t>
      </w:r>
      <w:r>
        <w:t xml:space="preserve"> </w:t>
      </w:r>
      <w:r>
        <w:t xml:space="preserve">177</w:t>
      </w:r>
      <w:r>
        <w:t xml:space="preserve"> </w:t>
      </w:r>
      <w:r>
        <w:t xml:space="preserve">L.Ed.2d</w:t>
      </w:r>
      <w:r>
        <w:t xml:space="preserve"> </w:t>
      </w:r>
      <w:r>
        <w:t xml:space="preserve">894</w:t>
      </w:r>
      <w:r>
        <w:t xml:space="preserve"> </w:t>
      </w:r>
      <w:r>
        <w:t xml:space="preserve">(2010)</w:t>
      </w:r>
      <w:r>
        <w:t xml:space="preserve">   </w:t>
      </w:r>
      <w:r>
        <w:tab/>
      </w:r>
      <w:r>
        <w:t xml:space="preserve">23</w:t>
      </w:r>
    </w:p>
    <w:p>
      <w:pPr>
        <w:keepLines/>
        <w:tabs>
          <w:tab w:val="right" w:leader="dot" w:pos="9360"/>
        </w:tabs>
        <w:spacing w:before="192" w:after="0" w:line="276" w:lineRule="exact"/>
        <w:ind w:left="360" w:right="720" w:hanging="360"/>
      </w:pPr>
      <w:r>
        <w:rPr>
          <w:i/>
          <w:iCs/>
        </w:rPr>
        <w:t xml:space="preserve">Moore</w:t>
      </w:r>
      <w:r>
        <w:rPr>
          <w:i/>
          <w:iCs/>
        </w:rPr>
        <w:t xml:space="preserve"> </w:t>
      </w:r>
      <w:r>
        <w:rPr>
          <w:i/>
          <w:iCs/>
        </w:rPr>
        <w:t xml:space="preserve">v.</w:t>
      </w:r>
      <w:r>
        <w:rPr>
          <w:i/>
          <w:iCs/>
        </w:rPr>
        <w:t xml:space="preserve"> </w:t>
      </w:r>
      <w:r>
        <w:rPr>
          <w:i/>
          <w:iCs/>
        </w:rPr>
        <w:t xml:space="preserve">Mt.</w:t>
      </w:r>
      <w:r>
        <w:rPr>
          <w:i/>
          <w:iCs/>
        </w:rPr>
        <w:t xml:space="preserve"> </w:t>
      </w:r>
      <w:r>
        <w:rPr>
          <w:i/>
          <w:iCs/>
        </w:rPr>
        <w:t xml:space="preserve">Carmel</w:t>
      </w:r>
      <w:r>
        <w:rPr>
          <w:i/>
          <w:iCs/>
        </w:rPr>
        <w:t xml:space="preserve"> </w:t>
      </w:r>
      <w:r>
        <w:rPr>
          <w:i/>
          <w:iCs/>
        </w:rPr>
        <w:t xml:space="preserve">Health</w:t>
      </w:r>
      <w:r>
        <w:rPr>
          <w:i/>
          <w:iCs/>
        </w:rPr>
        <w:t xml:space="preserve"> </w:t>
      </w:r>
      <w:r>
        <w:rPr>
          <w:i/>
          <w:iCs/>
        </w:rPr>
        <w:t xml:space="preserve">Sys.</w:t>
      </w:r>
      <w:r>
        <w:t xml:space="preserve">,</w:t>
      </w:r>
      <w:r>
        <w:t xml:space="preserve"> </w:t>
      </w:r>
      <w:r>
        <w:t xml:space="preserve">162</w:t>
      </w:r>
      <w:r>
        <w:t xml:space="preserve"> </w:t>
      </w:r>
      <w:r>
        <w:t xml:space="preserve">Ohio</w:t>
      </w:r>
      <w:r>
        <w:t xml:space="preserve"> </w:t>
      </w:r>
      <w:r>
        <w:t xml:space="preserve">St.3d</w:t>
      </w:r>
      <w:r>
        <w:t xml:space="preserve"> </w:t>
      </w:r>
      <w:r>
        <w:t xml:space="preserve">106,</w:t>
      </w:r>
      <w:r>
        <w:t xml:space="preserve"> </w:t>
      </w:r>
      <w:r>
        <w:t xml:space="preserve">2020-Ohio</w:t>
        <w:noBreakHyphen/>
        <w:t xml:space="preserve">4113,</w:t>
      </w:r>
      <w:r>
        <w:t xml:space="preserve"> </w:t>
      </w:r>
      <w:r>
        <w:t xml:space="preserve">164</w:t>
      </w:r>
      <w:r>
        <w:t xml:space="preserve"> </w:t>
      </w:r>
      <w:r>
        <w:t xml:space="preserve">N.E.3d</w:t>
      </w:r>
      <w:r>
        <w:t xml:space="preserve"> </w:t>
      </w:r>
      <w:r>
        <w:t xml:space="preserve">376</w:t>
      </w:r>
      <w:r>
        <w:t xml:space="preserve">   </w:t>
      </w:r>
      <w:r>
        <w:tab/>
      </w:r>
      <w:r>
        <w:t xml:space="preserve">15</w:t>
      </w:r>
    </w:p>
    <w:p>
      <w:pPr>
        <w:keepLines/>
        <w:tabs>
          <w:tab w:val="right" w:leader="dot" w:pos="9360"/>
        </w:tabs>
        <w:spacing w:before="192" w:after="0" w:line="276" w:lineRule="exact"/>
        <w:ind w:left="360" w:right="720" w:hanging="360"/>
      </w:pPr>
      <w:r>
        <w:rPr>
          <w:i/>
          <w:iCs/>
        </w:rPr>
        <w:t xml:space="preserve">Mosher</w:t>
      </w:r>
      <w:r>
        <w:rPr>
          <w:i/>
          <w:iCs/>
        </w:rPr>
        <w:t xml:space="preserve"> </w:t>
      </w:r>
      <w:r>
        <w:rPr>
          <w:i/>
          <w:iCs/>
        </w:rPr>
        <w:t xml:space="preserve">v.</w:t>
      </w:r>
      <w:r>
        <w:rPr>
          <w:i/>
          <w:iCs/>
        </w:rPr>
        <w:t xml:space="preserve"> </w:t>
      </w:r>
      <w:r>
        <w:rPr>
          <w:i/>
          <w:iCs/>
        </w:rPr>
        <w:t xml:space="preserve">Dayton</w:t>
      </w:r>
      <w:r>
        <w:t xml:space="preserve">,</w:t>
      </w:r>
      <w:r>
        <w:t xml:space="preserve"> </w:t>
      </w:r>
      <w:r>
        <w:t xml:space="preserve">48</w:t>
      </w:r>
      <w:r>
        <w:t xml:space="preserve"> </w:t>
      </w:r>
      <w:r>
        <w:t xml:space="preserve">Ohio</w:t>
      </w:r>
      <w:r>
        <w:t xml:space="preserve"> </w:t>
      </w:r>
      <w:r>
        <w:t xml:space="preserve">St.2d</w:t>
      </w:r>
      <w:r>
        <w:t xml:space="preserve"> </w:t>
      </w:r>
      <w:r>
        <w:t xml:space="preserve">243,</w:t>
      </w:r>
      <w:r>
        <w:t xml:space="preserve"> </w:t>
      </w:r>
      <w:r>
        <w:t xml:space="preserve">358</w:t>
      </w:r>
      <w:r>
        <w:t xml:space="preserve"> </w:t>
      </w:r>
      <w:r>
        <w:t xml:space="preserve">N.E.2d</w:t>
      </w:r>
      <w:r>
        <w:t xml:space="preserve"> </w:t>
      </w:r>
      <w:r>
        <w:t xml:space="preserve">540</w:t>
      </w:r>
      <w:r>
        <w:t xml:space="preserve"> </w:t>
      </w:r>
      <w:r>
        <w:t xml:space="preserve">(1976)</w:t>
      </w:r>
      <w:r>
        <w:t xml:space="preserve">   </w:t>
      </w:r>
      <w:r>
        <w:tab/>
      </w:r>
      <w:r>
        <w:t xml:space="preserve">31</w:t>
      </w:r>
    </w:p>
    <w:p>
      <w:pPr>
        <w:keepLines/>
        <w:tabs>
          <w:tab w:val="right" w:leader="dot" w:pos="9360"/>
        </w:tabs>
        <w:spacing w:before="192" w:after="0" w:line="276" w:lineRule="exact"/>
        <w:ind w:left="360" w:right="720" w:hanging="360"/>
      </w:pPr>
      <w:r>
        <w:rPr>
          <w:i/>
          <w:iCs/>
        </w:rPr>
        <w:t xml:space="preserve">Natl.</w:t>
      </w:r>
      <w:r>
        <w:rPr>
          <w:i/>
          <w:iCs/>
        </w:rPr>
        <w:t xml:space="preserve"> </w:t>
      </w:r>
      <w:r>
        <w:rPr>
          <w:i/>
          <w:iCs/>
        </w:rPr>
        <w:t xml:space="preserve">City</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Cleveland</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City</w:t>
      </w:r>
      <w:r>
        <w:rPr>
          <w:i/>
          <w:iCs/>
        </w:rPr>
        <w:t xml:space="preserve"> </w:t>
      </w:r>
      <w:r>
        <w:rPr>
          <w:i/>
          <w:iCs/>
        </w:rPr>
        <w:t xml:space="preserve">Window</w:t>
      </w:r>
      <w:r>
        <w:rPr>
          <w:i/>
          <w:iCs/>
        </w:rPr>
        <w:t xml:space="preserve"> </w:t>
      </w:r>
      <w:r>
        <w:rPr>
          <w:i/>
          <w:iCs/>
        </w:rPr>
        <w:t xml:space="preserve">Cleaning</w:t>
      </w:r>
      <w:r>
        <w:rPr>
          <w:i/>
          <w:iCs/>
        </w:rPr>
        <w:t xml:space="preserve"> </w:t>
      </w:r>
      <w:r>
        <w:rPr>
          <w:i/>
          <w:iCs/>
        </w:rPr>
        <w:t xml:space="preserve">Co.</w:t>
      </w:r>
      <w:r>
        <w:t xml:space="preserve">,</w:t>
      </w:r>
      <w:r>
        <w:t xml:space="preserve"> </w:t>
      </w:r>
      <w:r>
        <w:t xml:space="preserve">174</w:t>
      </w:r>
      <w:r>
        <w:t xml:space="preserve"> </w:t>
      </w:r>
      <w:r>
        <w:t xml:space="preserve">Ohio</w:t>
      </w:r>
      <w:r>
        <w:t xml:space="preserve"> </w:t>
      </w:r>
      <w:r>
        <w:t xml:space="preserve">St.</w:t>
      </w:r>
      <w:r>
        <w:t xml:space="preserve"> </w:t>
      </w:r>
      <w:r>
        <w:t xml:space="preserve">510,</w:t>
      </w:r>
      <w:r>
        <w:t xml:space="preserve"> </w:t>
      </w:r>
      <w:r>
        <w:t xml:space="preserve">190</w:t>
      </w:r>
      <w:r>
        <w:t xml:space="preserve"> </w:t>
      </w:r>
      <w:r>
        <w:t xml:space="preserve">N.E.2d</w:t>
      </w:r>
      <w:r>
        <w:t xml:space="preserve"> </w:t>
      </w:r>
      <w:r>
        <w:t xml:space="preserve">437</w:t>
      </w:r>
      <w:r>
        <w:t xml:space="preserve"> </w:t>
      </w:r>
      <w:r>
        <w:t xml:space="preserve">(1963)</w:t>
      </w:r>
      <w:r>
        <w:t xml:space="preserve">   </w:t>
      </w:r>
      <w:r>
        <w:tab/>
      </w:r>
      <w:r>
        <w:t xml:space="preserve">22</w:t>
      </w:r>
    </w:p>
    <w:p>
      <w:pPr>
        <w:keepLines/>
        <w:tabs>
          <w:tab w:val="right" w:leader="dot" w:pos="9360"/>
        </w:tabs>
        <w:spacing w:before="192" w:after="0" w:line="276" w:lineRule="exact"/>
        <w:ind w:left="360" w:right="720" w:hanging="360"/>
      </w:pPr>
      <w:r>
        <w:rPr>
          <w:i/>
          <w:iCs/>
        </w:rPr>
        <w:t xml:space="preserve">Natl.</w:t>
      </w:r>
      <w:r>
        <w:rPr>
          <w:i/>
          <w:iCs/>
        </w:rPr>
        <w:t xml:space="preserve"> </w:t>
      </w:r>
      <w:r>
        <w:rPr>
          <w:i/>
          <w:iCs/>
        </w:rPr>
        <w:t xml:space="preserve">Wildlife</w:t>
      </w:r>
      <w:r>
        <w:rPr>
          <w:i/>
          <w:iCs/>
        </w:rPr>
        <w:t xml:space="preserve"> </w:t>
      </w:r>
      <w:r>
        <w:rPr>
          <w:i/>
          <w:iCs/>
        </w:rPr>
        <w:t xml:space="preserve">Fedn.</w:t>
      </w:r>
      <w:r>
        <w:rPr>
          <w:i/>
          <w:iCs/>
        </w:rPr>
        <w:t xml:space="preserve"> </w:t>
      </w:r>
      <w:r>
        <w:rPr>
          <w:i/>
          <w:iCs/>
        </w:rPr>
        <w:t xml:space="preserve">v.</w:t>
      </w:r>
      <w:r>
        <w:rPr>
          <w:i/>
          <w:iCs/>
        </w:rPr>
        <w:t xml:space="preserve"> </w:t>
      </w:r>
      <w:r>
        <w:rPr>
          <w:i/>
          <w:iCs/>
        </w:rPr>
        <w:t xml:space="preserve">Agricultural</w:t>
      </w:r>
      <w:r>
        <w:rPr>
          <w:i/>
          <w:iCs/>
        </w:rPr>
        <w:t xml:space="preserve"> </w:t>
      </w:r>
      <w:r>
        <w:rPr>
          <w:i/>
          <w:iCs/>
        </w:rPr>
        <w:t xml:space="preserve">Stabilization</w:t>
      </w:r>
      <w:r>
        <w:rPr>
          <w:i/>
          <w:iCs/>
        </w:rPr>
        <w:t xml:space="preserve"> </w:t>
      </w:r>
      <w:r>
        <w:rPr>
          <w:i/>
          <w:iCs/>
        </w:rPr>
        <w:t xml:space="preserve">&amp;</w:t>
      </w:r>
      <w:r>
        <w:rPr>
          <w:i/>
          <w:iCs/>
        </w:rPr>
        <w:t xml:space="preserve"> </w:t>
      </w:r>
      <w:r>
        <w:rPr>
          <w:i/>
          <w:iCs/>
        </w:rPr>
        <w:t xml:space="preserve">Conservation</w:t>
      </w:r>
      <w:r>
        <w:rPr>
          <w:i/>
          <w:iCs/>
        </w:rPr>
        <w:t xml:space="preserve"> </w:t>
      </w:r>
      <w:r>
        <w:rPr>
          <w:i/>
          <w:iCs/>
        </w:rPr>
        <w:t xml:space="preserve">Serv.</w:t>
      </w:r>
      <w:r>
        <w:t xml:space="preserve">,</w:t>
      </w:r>
      <w:r>
        <w:t xml:space="preserve"> </w:t>
      </w:r>
      <w:r>
        <w:t xml:space="preserve">955</w:t>
      </w:r>
      <w:r>
        <w:t xml:space="preserve"> </w:t>
      </w:r>
      <w:r>
        <w:t xml:space="preserve">F.2d</w:t>
      </w:r>
      <w:r>
        <w:t xml:space="preserve"> </w:t>
      </w:r>
      <w:r>
        <w:t xml:space="preserve">1199</w:t>
      </w:r>
      <w:r>
        <w:t xml:space="preserve"> </w:t>
      </w:r>
      <w:r>
        <w:t xml:space="preserve">(8th</w:t>
      </w:r>
      <w:r>
        <w:t xml:space="preserve"> </w:t>
      </w:r>
      <w:r>
        <w:t xml:space="preserve">Cir.1992)</w:t>
      </w:r>
      <w:r>
        <w:t xml:space="preserve">   </w:t>
      </w:r>
      <w:r>
        <w:tab/>
      </w:r>
      <w:r>
        <w:t xml:space="preserve">20</w:t>
      </w:r>
    </w:p>
    <w:p>
      <w:pPr>
        <w:keepLines/>
        <w:tabs>
          <w:tab w:val="right" w:leader="dot" w:pos="9360"/>
        </w:tabs>
        <w:spacing w:before="192" w:after="0" w:line="276" w:lineRule="exact"/>
        <w:ind w:left="360" w:right="2760" w:hanging="360"/>
      </w:pPr>
      <w:r>
        <w:rPr>
          <w:i/>
          <w:iCs/>
        </w:rPr>
        <w:t xml:space="preserve">New</w:t>
      </w:r>
      <w:r>
        <w:rPr>
          <w:i/>
          <w:iCs/>
        </w:rPr>
        <w:t xml:space="preserve"> </w:t>
      </w:r>
      <w:r>
        <w:rPr>
          <w:i/>
          <w:iCs/>
        </w:rPr>
        <w:t xml:space="preserve">York</w:t>
      </w:r>
      <w:r>
        <w:rPr>
          <w:i/>
          <w:iCs/>
        </w:rPr>
        <w:t xml:space="preserve"> </w:t>
      </w:r>
      <w:r>
        <w:rPr>
          <w:i/>
          <w:iCs/>
        </w:rPr>
        <w:t xml:space="preserve">State</w:t>
      </w:r>
      <w:r>
        <w:rPr>
          <w:i/>
          <w:iCs/>
        </w:rPr>
        <w:t xml:space="preserve"> </w:t>
      </w:r>
      <w:r>
        <w:rPr>
          <w:i/>
          <w:iCs/>
        </w:rPr>
        <w:t xml:space="preserve">Rifle</w:t>
      </w:r>
      <w:r>
        <w:rPr>
          <w:i/>
          <w:iCs/>
        </w:rPr>
        <w:t xml:space="preserve"> </w:t>
      </w:r>
      <w:r>
        <w:rPr>
          <w:i/>
          <w:iCs/>
        </w:rPr>
        <w:t xml:space="preserve">&amp;</w:t>
      </w:r>
      <w:r>
        <w:rPr>
          <w:i/>
          <w:iCs/>
        </w:rPr>
        <w:t xml:space="preserve"> </w:t>
      </w:r>
      <w:r>
        <w:rPr>
          <w:i/>
          <w:iCs/>
        </w:rPr>
        <w:t xml:space="preserve">Pistol</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Bruen</w:t>
      </w:r>
      <w:r>
        <w:t xml:space="preserve">,</w:t>
      </w:r>
      <w:r>
        <w:t xml:space="preserve"> </w:t>
      </w:r>
      <w:r>
        <w:t xml:space="preserve">213</w:t>
      </w:r>
      <w:r>
        <w:t xml:space="preserve"> </w:t>
      </w:r>
      <w:r>
        <w:t xml:space="preserve">L.Ed.2d</w:t>
      </w:r>
      <w:r>
        <w:t xml:space="preserve"> </w:t>
      </w:r>
      <w:r>
        <w:t xml:space="preserve">387,</w:t>
      </w:r>
      <w:r>
        <w:t xml:space="preserve"> </w:t>
      </w:r>
      <w:r>
        <w:t xml:space="preserve">142</w:t>
      </w:r>
      <w:r>
        <w:t xml:space="preserve"> </w:t>
      </w:r>
      <w:r>
        <w:t xml:space="preserve">S.Ct.</w:t>
      </w:r>
      <w:r>
        <w:t xml:space="preserve"> </w:t>
      </w:r>
      <w:r>
        <w:t xml:space="preserve">2111</w:t>
      </w:r>
      <w:r>
        <w:t xml:space="preserve"> </w:t>
      </w:r>
      <w:r>
        <w:t xml:space="preserve">(2022)</w:t>
      </w:r>
      <w:r>
        <w:t xml:space="preserve">   </w:t>
      </w:r>
      <w:r>
        <w:tab/>
      </w:r>
      <w:r>
        <w:t xml:space="preserve">23, 24, 25, 26, 27, 28, 29, 31</w:t>
      </w:r>
    </w:p>
    <w:p>
      <w:pPr>
        <w:keepLines/>
        <w:tabs>
          <w:tab w:val="right" w:leader="dot" w:pos="9360"/>
        </w:tabs>
        <w:spacing w:before="192" w:after="0" w:line="276" w:lineRule="exact"/>
        <w:ind w:left="360" w:right="720" w:hanging="360"/>
      </w:pPr>
      <w:r>
        <w:rPr>
          <w:i/>
          <w:iCs/>
        </w:rPr>
        <w:t xml:space="preserve">Ocean</w:t>
      </w:r>
      <w:r>
        <w:rPr>
          <w:i/>
          <w:iCs/>
        </w:rPr>
        <w:t xml:space="preserve"> </w:t>
      </w:r>
      <w:r>
        <w:rPr>
          <w:i/>
          <w:iCs/>
        </w:rPr>
        <w:t xml:space="preserve">State</w:t>
      </w:r>
      <w:r>
        <w:rPr>
          <w:i/>
          <w:iCs/>
        </w:rPr>
        <w:t xml:space="preserve"> </w:t>
      </w:r>
      <w:r>
        <w:rPr>
          <w:i/>
          <w:iCs/>
        </w:rPr>
        <w:t xml:space="preserve">Tactical,</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Rhode</w:t>
      </w:r>
      <w:r>
        <w:rPr>
          <w:i/>
          <w:iCs/>
        </w:rPr>
        <w:t xml:space="preserve"> </w:t>
      </w:r>
      <w:r>
        <w:rPr>
          <w:i/>
          <w:iCs/>
        </w:rPr>
        <w:t xml:space="preserve">Island</w:t>
      </w:r>
      <w:r>
        <w:t xml:space="preserve">,</w:t>
      </w:r>
      <w:r>
        <w:t xml:space="preserve"> </w:t>
      </w:r>
      <w:r>
        <w:t xml:space="preserve">D.R.I.</w:t>
      </w:r>
      <w:r>
        <w:t xml:space="preserve"> </w:t>
      </w:r>
      <w:r>
        <w:t xml:space="preserve">No.</w:t>
      </w:r>
      <w:r>
        <w:t xml:space="preserve"> </w:t>
      </w:r>
      <w:r>
        <w:t xml:space="preserve">22-CV</w:t>
        <w:noBreakHyphen/>
        <w:t xml:space="preserve">246,</w:t>
      </w:r>
      <w:r>
        <w:t xml:space="preserve"> </w:t>
      </w:r>
      <w:r>
        <w:t xml:space="preserve">2022</w:t>
      </w:r>
      <w:r>
        <w:t xml:space="preserve"> </w:t>
      </w:r>
      <w:r>
        <w:t xml:space="preserve">WL</w:t>
      </w:r>
      <w:r>
        <w:t xml:space="preserve"> </w:t>
      </w:r>
      <w:r>
        <w:t xml:space="preserve">17721175</w:t>
      </w:r>
      <w:r>
        <w:t xml:space="preserve"> </w:t>
      </w:r>
      <w:r>
        <w:t xml:space="preserve">(Dec.</w:t>
      </w:r>
      <w:r>
        <w:t xml:space="preserve"> </w:t>
      </w:r>
      <w:r>
        <w:t xml:space="preserve">14,</w:t>
      </w:r>
      <w:r>
        <w:t xml:space="preserve"> </w:t>
      </w:r>
      <w:r>
        <w:t xml:space="preserve">2022)</w:t>
      </w:r>
      <w:r>
        <w:t xml:space="preserve">   </w:t>
      </w:r>
      <w:r>
        <w:tab/>
      </w:r>
      <w:r>
        <w:t xml:space="preserve">28</w:t>
      </w:r>
    </w:p>
    <w:p>
      <w:pPr>
        <w:keepLines/>
        <w:tabs>
          <w:tab w:val="right" w:leader="dot" w:pos="9360"/>
        </w:tabs>
        <w:spacing w:before="192" w:after="0" w:line="276" w:lineRule="exact"/>
        <w:ind w:left="360" w:right="720" w:hanging="360"/>
      </w:pPr>
      <w:r>
        <w:rPr>
          <w:i/>
          <w:iCs/>
        </w:rPr>
        <w:t xml:space="preserve">Ohioans</w:t>
      </w:r>
      <w:r>
        <w:rPr>
          <w:i/>
          <w:iCs/>
        </w:rPr>
        <w:t xml:space="preserve"> </w:t>
      </w:r>
      <w:r>
        <w:rPr>
          <w:i/>
          <w:iCs/>
        </w:rPr>
        <w:t xml:space="preserve">for</w:t>
      </w:r>
      <w:r>
        <w:rPr>
          <w:i/>
          <w:iCs/>
        </w:rPr>
        <w:t xml:space="preserve"> </w:t>
      </w:r>
      <w:r>
        <w:rPr>
          <w:i/>
          <w:iCs/>
        </w:rPr>
        <w:t xml:space="preserve">Concealed</w:t>
      </w:r>
      <w:r>
        <w:rPr>
          <w:i/>
          <w:iCs/>
        </w:rPr>
        <w:t xml:space="preserve"> </w:t>
      </w:r>
      <w:r>
        <w:rPr>
          <w:i/>
          <w:iCs/>
        </w:rPr>
        <w:t xml:space="preserve">Carry,</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Clyde</w:t>
      </w:r>
      <w:r>
        <w:t xml:space="preserve">,</w:t>
      </w:r>
      <w:r>
        <w:t xml:space="preserve"> </w:t>
      </w:r>
      <w:r>
        <w:t xml:space="preserve">120</w:t>
      </w:r>
      <w:r>
        <w:t xml:space="preserve"> </w:t>
      </w:r>
      <w:r>
        <w:t xml:space="preserve">Ohio</w:t>
      </w:r>
      <w:r>
        <w:t xml:space="preserve"> </w:t>
      </w:r>
      <w:r>
        <w:t xml:space="preserve">St.3d</w:t>
      </w:r>
      <w:r>
        <w:t xml:space="preserve"> </w:t>
      </w:r>
      <w:r>
        <w:t xml:space="preserve">96,</w:t>
      </w:r>
      <w:r>
        <w:t xml:space="preserve"> </w:t>
      </w:r>
      <w:r>
        <w:t xml:space="preserve">2008-Ohio</w:t>
        <w:noBreakHyphen/>
        <w:t xml:space="preserve">4605,</w:t>
      </w:r>
      <w:r>
        <w:t xml:space="preserve"> </w:t>
      </w:r>
      <w:r>
        <w:t xml:space="preserve">896</w:t>
      </w:r>
      <w:r>
        <w:t xml:space="preserve"> </w:t>
      </w:r>
      <w:r>
        <w:t xml:space="preserve">N.E.2d</w:t>
      </w:r>
      <w:r>
        <w:t xml:space="preserve"> </w:t>
      </w:r>
      <w:r>
        <w:t xml:space="preserve">967</w:t>
      </w:r>
      <w:r>
        <w:t xml:space="preserve">   </w:t>
      </w:r>
      <w:r>
        <w:tab/>
      </w:r>
      <w:r>
        <w:t xml:space="preserve">33</w:t>
      </w:r>
    </w:p>
    <w:p>
      <w:pPr>
        <w:keepLines/>
        <w:tabs>
          <w:tab w:val="right" w:leader="dot" w:pos="9360"/>
        </w:tabs>
        <w:spacing w:before="192" w:after="0" w:line="276" w:lineRule="exact"/>
        <w:ind w:left="360" w:right="720" w:hanging="360"/>
      </w:pPr>
      <w:r>
        <w:rPr>
          <w:i/>
          <w:iCs/>
        </w:rPr>
        <w:t xml:space="preserve">Oregon</w:t>
      </w:r>
      <w:r>
        <w:rPr>
          <w:i/>
          <w:iCs/>
        </w:rPr>
        <w:t xml:space="preserve"> </w:t>
      </w:r>
      <w:r>
        <w:rPr>
          <w:i/>
          <w:iCs/>
        </w:rPr>
        <w:t xml:space="preserve">Firearms</w:t>
      </w:r>
      <w:r>
        <w:rPr>
          <w:i/>
          <w:iCs/>
        </w:rPr>
        <w:t xml:space="preserve"> </w:t>
      </w:r>
      <w:r>
        <w:rPr>
          <w:i/>
          <w:iCs/>
        </w:rPr>
        <w:t xml:space="preserve">Fedn.</w:t>
      </w:r>
      <w:r>
        <w:rPr>
          <w:i/>
          <w:iCs/>
        </w:rPr>
        <w:t xml:space="preserve"> </w:t>
      </w:r>
      <w:r>
        <w:rPr>
          <w:i/>
          <w:iCs/>
        </w:rPr>
        <w:t xml:space="preserve">v.</w:t>
      </w:r>
      <w:r>
        <w:rPr>
          <w:i/>
          <w:iCs/>
        </w:rPr>
        <w:t xml:space="preserve"> </w:t>
      </w:r>
      <w:r>
        <w:rPr>
          <w:i/>
          <w:iCs/>
        </w:rPr>
        <w:t xml:space="preserve">Kotek</w:t>
      </w:r>
      <w:r>
        <w:t xml:space="preserve">,</w:t>
      </w:r>
      <w:r>
        <w:t xml:space="preserve"> </w:t>
      </w:r>
      <w:r>
        <w:t xml:space="preserve">D.Or.</w:t>
      </w:r>
      <w:r>
        <w:t xml:space="preserve"> </w:t>
      </w:r>
      <w:r>
        <w:t xml:space="preserve">No.</w:t>
      </w:r>
      <w:r>
        <w:t xml:space="preserve"> </w:t>
      </w:r>
      <w:r>
        <w:t xml:space="preserve">2:22-cv</w:t>
        <w:noBreakHyphen/>
        <w:t xml:space="preserve">01815-IM,</w:t>
      </w:r>
      <w:r>
        <w:t xml:space="preserve"> </w:t>
      </w:r>
      <w:r>
        <w:t xml:space="preserve">2023</w:t>
      </w:r>
      <w:r>
        <w:t xml:space="preserve"> </w:t>
      </w:r>
      <w:r>
        <w:t xml:space="preserve">WL</w:t>
      </w:r>
      <w:r>
        <w:t xml:space="preserve"> </w:t>
      </w:r>
      <w:r>
        <w:t xml:space="preserve">3380663</w:t>
      </w:r>
      <w:r>
        <w:t xml:space="preserve"> </w:t>
      </w:r>
      <w:r>
        <w:t xml:space="preserve">(May</w:t>
      </w:r>
      <w:r>
        <w:t xml:space="preserve"> </w:t>
      </w:r>
      <w:r>
        <w:t xml:space="preserve">11,</w:t>
      </w:r>
      <w:r>
        <w:t xml:space="preserve"> </w:t>
      </w:r>
      <w:r>
        <w:t xml:space="preserve">2023)</w:t>
      </w:r>
      <w:r>
        <w:t xml:space="preserve">   </w:t>
      </w:r>
      <w:r>
        <w:tab/>
      </w:r>
      <w:r>
        <w:t xml:space="preserve">27, 29</w:t>
      </w:r>
    </w:p>
    <w:p>
      <w:pPr>
        <w:keepLines/>
        <w:tabs>
          <w:tab w:val="right" w:leader="dot" w:pos="9360"/>
        </w:tabs>
        <w:spacing w:before="192" w:after="0" w:line="276" w:lineRule="exact"/>
        <w:ind w:left="360" w:right="720" w:hanging="360"/>
      </w:pPr>
      <w:r>
        <w:rPr>
          <w:i/>
          <w:iCs/>
        </w:rPr>
        <w:t xml:space="preserve">Pivonka</w:t>
      </w:r>
      <w:r>
        <w:rPr>
          <w:i/>
          <w:iCs/>
        </w:rPr>
        <w:t xml:space="preserve"> </w:t>
      </w:r>
      <w:r>
        <w:rPr>
          <w:i/>
          <w:iCs/>
        </w:rPr>
        <w:t xml:space="preserve">v.</w:t>
      </w:r>
      <w:r>
        <w:rPr>
          <w:i/>
          <w:iCs/>
        </w:rPr>
        <w:t xml:space="preserve"> </w:t>
      </w:r>
      <w:r>
        <w:rPr>
          <w:i/>
          <w:iCs/>
        </w:rPr>
        <w:t xml:space="preserve">Corcoran</w:t>
      </w:r>
      <w:r>
        <w:t xml:space="preserve">,</w:t>
      </w:r>
      <w:r>
        <w:t xml:space="preserve"> </w:t>
      </w:r>
      <w:r>
        <w:t xml:space="preserve">162</w:t>
      </w:r>
      <w:r>
        <w:t xml:space="preserve"> </w:t>
      </w:r>
      <w:r>
        <w:t xml:space="preserve">Ohio</w:t>
      </w:r>
      <w:r>
        <w:t xml:space="preserve"> </w:t>
      </w:r>
      <w:r>
        <w:t xml:space="preserve">St.3d</w:t>
      </w:r>
      <w:r>
        <w:t xml:space="preserve"> </w:t>
      </w:r>
      <w:r>
        <w:t xml:space="preserve">326,</w:t>
      </w:r>
      <w:r>
        <w:t xml:space="preserve"> </w:t>
      </w:r>
      <w:r>
        <w:t xml:space="preserve">2020-Ohio</w:t>
        <w:noBreakHyphen/>
        <w:t xml:space="preserve">3476,</w:t>
      </w:r>
      <w:r>
        <w:t xml:space="preserve"> </w:t>
      </w:r>
      <w:r>
        <w:t xml:space="preserve">165</w:t>
      </w:r>
      <w:r>
        <w:t xml:space="preserve"> </w:t>
      </w:r>
      <w:r>
        <w:t xml:space="preserve">N.E.3d</w:t>
      </w:r>
      <w:r>
        <w:t xml:space="preserve"> </w:t>
      </w:r>
      <w:r>
        <w:t xml:space="preserve">1098</w:t>
      </w:r>
      <w:r>
        <w:t xml:space="preserve">   </w:t>
      </w:r>
      <w:r>
        <w:tab/>
      </w:r>
      <w:r>
        <w:t xml:space="preserve">13</w:t>
      </w:r>
    </w:p>
    <w:p>
      <w:pPr>
        <w:keepLines/>
        <w:tabs>
          <w:tab w:val="right" w:leader="dot" w:pos="9360"/>
        </w:tabs>
        <w:spacing w:before="192" w:after="0" w:line="276" w:lineRule="exact"/>
        <w:ind w:left="360" w:right="720" w:hanging="360"/>
      </w:pPr>
      <w:r>
        <w:rPr>
          <w:i/>
          <w:iCs/>
        </w:rPr>
        <w:t xml:space="preserve">RDSOR</w:t>
      </w:r>
      <w:r>
        <w:rPr>
          <w:i/>
          <w:iCs/>
        </w:rPr>
        <w:t xml:space="preserve"> </w:t>
      </w:r>
      <w:r>
        <w:rPr>
          <w:i/>
          <w:iCs/>
        </w:rPr>
        <w:t xml:space="preserve">v.</w:t>
      </w:r>
      <w:r>
        <w:rPr>
          <w:i/>
          <w:iCs/>
        </w:rPr>
        <w:t xml:space="preserve"> </w:t>
      </w:r>
      <w:r>
        <w:rPr>
          <w:i/>
          <w:iCs/>
        </w:rPr>
        <w:t xml:space="preserve">Knox</w:t>
      </w:r>
      <w:r>
        <w:rPr>
          <w:i/>
          <w:iCs/>
        </w:rPr>
        <w:t xml:space="preserve"> </w:t>
      </w:r>
      <w:r>
        <w:rPr>
          <w:i/>
          <w:iCs/>
        </w:rPr>
        <w:t xml:space="preserve">Cty.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Revision</w:t>
      </w:r>
      <w:r>
        <w:t xml:space="preserve">,</w:t>
      </w:r>
      <w:r>
        <w:t xml:space="preserve"> </w:t>
      </w:r>
      <w:r>
        <w:t xml:space="preserve">5th</w:t>
      </w:r>
      <w:r>
        <w:t xml:space="preserve"> </w:t>
      </w:r>
      <w:r>
        <w:t xml:space="preserve">Dist.</w:t>
      </w:r>
      <w:r>
        <w:t xml:space="preserve"> </w:t>
      </w:r>
      <w:r>
        <w:t xml:space="preserve">Knox</w:t>
      </w:r>
      <w:r>
        <w:t xml:space="preserve"> </w:t>
      </w:r>
      <w:r>
        <w:t xml:space="preserve">No.</w:t>
      </w:r>
      <w:r>
        <w:t xml:space="preserve"> </w:t>
      </w:r>
      <w:r>
        <w:t xml:space="preserve">07-CA</w:t>
        <w:noBreakHyphen/>
        <w:t xml:space="preserve">12,</w:t>
      </w:r>
      <w:r>
        <w:t xml:space="preserve"> </w:t>
      </w:r>
      <w:r>
        <w:t xml:space="preserve">2008-Ohio</w:t>
        <w:noBreakHyphen/>
        <w:t xml:space="preserve">897</w:t>
      </w:r>
      <w:r>
        <w:t xml:space="preserve">   </w:t>
      </w:r>
      <w:r>
        <w:tab/>
      </w:r>
      <w:r>
        <w:t xml:space="preserve">22</w:t>
      </w:r>
    </w:p>
    <w:p>
      <w:pPr>
        <w:keepLines/>
        <w:tabs>
          <w:tab w:val="right" w:leader="dot" w:pos="9360"/>
        </w:tabs>
        <w:spacing w:before="192" w:after="0" w:line="276" w:lineRule="exact"/>
        <w:ind w:left="360" w:right="720" w:hanging="360"/>
      </w:pPr>
      <w:r>
        <w:rPr>
          <w:i/>
          <w:iCs/>
        </w:rPr>
        <w:t xml:space="preserve">Roe</w:t>
      </w:r>
      <w:r>
        <w:rPr>
          <w:i/>
          <w:iCs/>
        </w:rPr>
        <w:t xml:space="preserve"> </w:t>
      </w:r>
      <w:r>
        <w:rPr>
          <w:i/>
          <w:iCs/>
        </w:rPr>
        <w:t xml:space="preserve">v.</w:t>
      </w:r>
      <w:r>
        <w:rPr>
          <w:i/>
          <w:iCs/>
        </w:rPr>
        <w:t xml:space="preserve"> </w:t>
      </w:r>
      <w:r>
        <w:rPr>
          <w:i/>
          <w:iCs/>
        </w:rPr>
        <w:t xml:space="preserve">Wade</w:t>
      </w:r>
      <w:r>
        <w:t xml:space="preserve">,</w:t>
      </w:r>
      <w:r>
        <w:t xml:space="preserve"> </w:t>
      </w:r>
      <w:r>
        <w:t xml:space="preserve">410</w:t>
      </w:r>
      <w:r>
        <w:t xml:space="preserve"> </w:t>
      </w:r>
      <w:r>
        <w:t xml:space="preserve">U.S.</w:t>
      </w:r>
      <w:r>
        <w:t xml:space="preserve"> </w:t>
      </w:r>
      <w:r>
        <w:t xml:space="preserve">113</w:t>
      </w:r>
      <w:r>
        <w:t xml:space="preserve"> </w:t>
      </w:r>
      <w:r>
        <w:t xml:space="preserve">(1973)</w:t>
      </w:r>
      <w:r>
        <w:t xml:space="preserve">   </w:t>
      </w:r>
      <w:r>
        <w:tab/>
      </w:r>
      <w:r>
        <w:t xml:space="preserve">11</w:t>
      </w:r>
    </w:p>
    <w:p>
      <w:pPr>
        <w:keepLines/>
        <w:tabs>
          <w:tab w:val="right" w:leader="dot" w:pos="9360"/>
        </w:tabs>
        <w:spacing w:before="192" w:after="0" w:line="276" w:lineRule="exact"/>
        <w:ind w:left="360" w:right="720" w:hanging="360"/>
      </w:pPr>
      <w:r>
        <w:rPr>
          <w:i/>
          <w:iCs/>
        </w:rPr>
        <w:t xml:space="preserve">Sealed</w:t>
      </w:r>
      <w:r>
        <w:rPr>
          <w:i/>
          <w:iCs/>
        </w:rPr>
        <w:t xml:space="preserve"> </w:t>
      </w:r>
      <w:r>
        <w:rPr>
          <w:i/>
          <w:iCs/>
        </w:rPr>
        <w:t xml:space="preserve">Plaintiff</w:t>
      </w:r>
      <w:r>
        <w:rPr>
          <w:i/>
          <w:iCs/>
        </w:rPr>
        <w:t xml:space="preserve"> </w:t>
      </w:r>
      <w:r>
        <w:rPr>
          <w:i/>
          <w:iCs/>
        </w:rPr>
        <w:t xml:space="preserve">v.</w:t>
      </w:r>
      <w:r>
        <w:rPr>
          <w:i/>
          <w:iCs/>
        </w:rPr>
        <w:t xml:space="preserve"> </w:t>
      </w:r>
      <w:r>
        <w:rPr>
          <w:i/>
          <w:iCs/>
        </w:rPr>
        <w:t xml:space="preserve">Sealed</w:t>
      </w:r>
      <w:r>
        <w:rPr>
          <w:i/>
          <w:iCs/>
        </w:rPr>
        <w:t xml:space="preserve"> </w:t>
      </w:r>
      <w:r>
        <w:rPr>
          <w:i/>
          <w:iCs/>
        </w:rPr>
        <w:t xml:space="preserve">Defendant</w:t>
      </w:r>
      <w:r>
        <w:t xml:space="preserve">,</w:t>
      </w:r>
      <w:r>
        <w:t xml:space="preserve"> </w:t>
      </w:r>
      <w:r>
        <w:t xml:space="preserve">537</w:t>
      </w:r>
      <w:r>
        <w:t xml:space="preserve"> </w:t>
      </w:r>
      <w:r>
        <w:t xml:space="preserve">F.3d</w:t>
      </w:r>
      <w:r>
        <w:t xml:space="preserve"> </w:t>
      </w:r>
      <w:r>
        <w:t xml:space="preserve">185</w:t>
      </w:r>
      <w:r>
        <w:t xml:space="preserve"> </w:t>
      </w:r>
      <w:r>
        <w:t xml:space="preserve">(2nd</w:t>
      </w:r>
      <w:r>
        <w:t xml:space="preserve"> </w:t>
      </w:r>
      <w:r>
        <w:t xml:space="preserve">Cir.2008)</w:t>
      </w:r>
      <w:r>
        <w:t xml:space="preserve">   </w:t>
      </w:r>
      <w:r>
        <w:tab/>
      </w:r>
      <w:r>
        <w:t xml:space="preserve">11, 12</w:t>
      </w:r>
    </w:p>
    <w:p>
      <w:pPr>
        <w:keepLines/>
        <w:tabs>
          <w:tab w:val="right" w:leader="dot" w:pos="9360"/>
        </w:tabs>
        <w:spacing w:before="192" w:after="0" w:line="276" w:lineRule="exact"/>
        <w:ind w:left="360" w:right="720" w:hanging="360"/>
      </w:pPr>
      <w:r>
        <w:rPr>
          <w:i/>
          <w:iCs/>
        </w:rPr>
        <w:t xml:space="preserve">Stolz</w:t>
      </w:r>
      <w:r>
        <w:rPr>
          <w:i/>
          <w:iCs/>
        </w:rPr>
        <w:t xml:space="preserve"> </w:t>
      </w:r>
      <w:r>
        <w:rPr>
          <w:i/>
          <w:iCs/>
        </w:rPr>
        <w:t xml:space="preserve">v.</w:t>
      </w:r>
      <w:r>
        <w:rPr>
          <w:i/>
          <w:iCs/>
        </w:rPr>
        <w:t xml:space="preserve"> </w:t>
      </w:r>
      <w:r>
        <w:rPr>
          <w:i/>
          <w:iCs/>
        </w:rPr>
        <w:t xml:space="preserve">J</w:t>
      </w:r>
      <w:r>
        <w:rPr>
          <w:i/>
          <w:iCs/>
        </w:rPr>
        <w:t xml:space="preserve"> </w:t>
      </w:r>
      <w:r>
        <w:rPr>
          <w:i/>
          <w:iCs/>
        </w:rPr>
        <w:t xml:space="preserve">&amp;</w:t>
      </w:r>
      <w:r>
        <w:rPr>
          <w:i/>
          <w:iCs/>
        </w:rPr>
        <w:t xml:space="preserve"> </w:t>
      </w:r>
      <w:r>
        <w:rPr>
          <w:i/>
          <w:iCs/>
        </w:rPr>
        <w:t xml:space="preserve">B</w:t>
      </w:r>
      <w:r>
        <w:rPr>
          <w:i/>
          <w:iCs/>
        </w:rPr>
        <w:t xml:space="preserve"> </w:t>
      </w:r>
      <w:r>
        <w:rPr>
          <w:i/>
          <w:iCs/>
        </w:rPr>
        <w:t xml:space="preserve">Steel</w:t>
      </w:r>
      <w:r>
        <w:rPr>
          <w:i/>
          <w:iCs/>
        </w:rPr>
        <w:t xml:space="preserve"> </w:t>
      </w:r>
      <w:r>
        <w:rPr>
          <w:i/>
          <w:iCs/>
        </w:rPr>
        <w:t xml:space="preserve">Erectors,</w:t>
      </w:r>
      <w:r>
        <w:rPr>
          <w:i/>
          <w:iCs/>
        </w:rPr>
        <w:t xml:space="preserve"> </w:t>
      </w:r>
      <w:r>
        <w:rPr>
          <w:i/>
          <w:iCs/>
        </w:rPr>
        <w:t xml:space="preserve">Inc.</w:t>
      </w:r>
      <w:r>
        <w:t xml:space="preserve">,</w:t>
      </w:r>
      <w:r>
        <w:t xml:space="preserve"> </w:t>
      </w:r>
      <w:r>
        <w:t xml:space="preserve">155</w:t>
      </w:r>
      <w:r>
        <w:t xml:space="preserve"> </w:t>
      </w:r>
      <w:r>
        <w:t xml:space="preserve">Ohio</w:t>
      </w:r>
      <w:r>
        <w:t xml:space="preserve"> </w:t>
      </w:r>
      <w:r>
        <w:t xml:space="preserve">St.3d</w:t>
      </w:r>
      <w:r>
        <w:t xml:space="preserve"> </w:t>
      </w:r>
      <w:r>
        <w:t xml:space="preserve">567,</w:t>
      </w:r>
      <w:r>
        <w:t xml:space="preserve"> </w:t>
      </w:r>
      <w:r>
        <w:t xml:space="preserve">2018-Ohio</w:t>
        <w:noBreakHyphen/>
        <w:t xml:space="preserve">5088,</w:t>
      </w:r>
      <w:r>
        <w:t xml:space="preserve"> </w:t>
      </w:r>
      <w:r>
        <w:t xml:space="preserve">122</w:t>
      </w:r>
      <w:r>
        <w:t xml:space="preserve"> </w:t>
      </w:r>
      <w:r>
        <w:t xml:space="preserve">N.E.3d</w:t>
      </w:r>
      <w:r>
        <w:t xml:space="preserve"> </w:t>
      </w:r>
      <w:r>
        <w:t xml:space="preserve">1228</w:t>
      </w:r>
      <w:r>
        <w:t xml:space="preserve">   </w:t>
      </w:r>
      <w:r>
        <w:tab/>
      </w:r>
      <w:r>
        <w:t xml:space="preserve">22</w:t>
      </w:r>
    </w:p>
    <w:p>
      <w:pPr>
        <w:keepLines/>
        <w:tabs>
          <w:tab w:val="right" w:leader="dot" w:pos="9360"/>
        </w:tabs>
        <w:spacing w:before="192" w:after="0" w:line="276" w:lineRule="exact"/>
        <w:ind w:left="360" w:right="19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Cincinnati</w:t>
      </w:r>
      <w:r>
        <w:rPr>
          <w:i/>
          <w:iCs/>
        </w:rPr>
        <w:t xml:space="preserve"> </w:t>
      </w:r>
      <w:r>
        <w:rPr>
          <w:i/>
          <w:iCs/>
        </w:rPr>
        <w:t xml:space="preserve">Enquirer</w:t>
      </w:r>
      <w:r>
        <w:rPr>
          <w:i/>
          <w:iCs/>
        </w:rPr>
        <w:t xml:space="preserve"> </w:t>
      </w:r>
      <w:r>
        <w:rPr>
          <w:i/>
          <w:iCs/>
        </w:rPr>
        <w:t xml:space="preserve">v.</w:t>
      </w:r>
      <w:r>
        <w:rPr>
          <w:i/>
          <w:iCs/>
        </w:rPr>
        <w:t xml:space="preserve"> </w:t>
      </w:r>
      <w:r>
        <w:rPr>
          <w:i/>
          <w:iCs/>
        </w:rPr>
        <w:t xml:space="preserve">Shanahan</w:t>
      </w:r>
      <w:r>
        <w:t xml:space="preserve">,</w:t>
      </w:r>
      <w:r>
        <w:t xml:space="preserve"> </w:t>
      </w:r>
      <w:r>
        <w:t xml:space="preserve">166</w:t>
      </w:r>
      <w:r>
        <w:t xml:space="preserve"> </w:t>
      </w:r>
      <w:r>
        <w:t xml:space="preserve">Ohio</w:t>
      </w:r>
      <w:r>
        <w:t xml:space="preserve"> </w:t>
      </w:r>
      <w:r>
        <w:t xml:space="preserve">St.3d</w:t>
      </w:r>
      <w:r>
        <w:t xml:space="preserve"> </w:t>
      </w:r>
      <w:r>
        <w:t xml:space="preserve">382,</w:t>
      </w:r>
      <w:r>
        <w:t xml:space="preserve"> </w:t>
      </w:r>
      <w:r>
        <w:t xml:space="preserve">2022-Ohio</w:t>
        <w:noBreakHyphen/>
        <w:t xml:space="preserve">448,</w:t>
      </w:r>
      <w:r>
        <w:t xml:space="preserve"> </w:t>
      </w:r>
      <w:r>
        <w:t xml:space="preserve">185</w:t>
      </w:r>
      <w:r>
        <w:t xml:space="preserve"> </w:t>
      </w:r>
      <w:r>
        <w:t xml:space="preserve">N.E.3d</w:t>
      </w:r>
      <w:r>
        <w:t xml:space="preserve"> </w:t>
      </w:r>
      <w:r>
        <w:t xml:space="preserve">1089</w:t>
      </w:r>
      <w:r>
        <w:t xml:space="preserve">   </w:t>
      </w:r>
      <w:r>
        <w:tab/>
      </w:r>
      <w:r>
        <w:t xml:space="preserve">9, 10, 11, 13, 14, 15</w:t>
      </w:r>
    </w:p>
    <w:p>
      <w:pPr>
        <w:keepLines/>
        <w:tabs>
          <w:tab w:val="right" w:leader="dot" w:pos="9360"/>
        </w:tabs>
        <w:spacing w:before="192" w:after="0" w:line="276" w:lineRule="exact"/>
        <w:ind w:left="360" w:right="7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Dunlap</w:t>
      </w:r>
      <w:r>
        <w:rPr>
          <w:i/>
          <w:iCs/>
        </w:rPr>
        <w:t xml:space="preserve"> </w:t>
      </w:r>
      <w:r>
        <w:rPr>
          <w:i/>
          <w:iCs/>
        </w:rPr>
        <w:t xml:space="preserve">v.</w:t>
      </w:r>
      <w:r>
        <w:rPr>
          <w:i/>
          <w:iCs/>
        </w:rPr>
        <w:t xml:space="preserve"> </w:t>
      </w:r>
      <w:r>
        <w:rPr>
          <w:i/>
          <w:iCs/>
        </w:rPr>
        <w:t xml:space="preserve">Sarko</w:t>
      </w:r>
      <w:r>
        <w:t xml:space="preserve">,</w:t>
      </w:r>
      <w:r>
        <w:t xml:space="preserve"> </w:t>
      </w:r>
      <w:r>
        <w:t xml:space="preserve">135</w:t>
      </w:r>
      <w:r>
        <w:t xml:space="preserve"> </w:t>
      </w:r>
      <w:r>
        <w:t xml:space="preserve">Ohio</w:t>
      </w:r>
      <w:r>
        <w:t xml:space="preserve"> </w:t>
      </w:r>
      <w:r>
        <w:t xml:space="preserve">St.3d</w:t>
      </w:r>
      <w:r>
        <w:t xml:space="preserve"> </w:t>
      </w:r>
      <w:r>
        <w:t xml:space="preserve">171,</w:t>
      </w:r>
      <w:r>
        <w:t xml:space="preserve"> </w:t>
      </w:r>
      <w:r>
        <w:t xml:space="preserve">2013-Ohio</w:t>
        <w:noBreakHyphen/>
        <w:t xml:space="preserve">67,</w:t>
      </w:r>
      <w:r>
        <w:t xml:space="preserve"> </w:t>
      </w:r>
      <w:r>
        <w:t xml:space="preserve">985</w:t>
      </w:r>
      <w:r>
        <w:t xml:space="preserve"> </w:t>
      </w:r>
      <w:r>
        <w:t xml:space="preserve">N.E.2d</w:t>
      </w:r>
      <w:r>
        <w:t xml:space="preserve"> </w:t>
      </w:r>
      <w:r>
        <w:t xml:space="preserve">450</w:t>
      </w:r>
      <w:r>
        <w:t xml:space="preserve">   </w:t>
      </w:r>
      <w:r>
        <w:tab/>
      </w:r>
      <w:r>
        <w:t xml:space="preserve">16</w:t>
      </w:r>
    </w:p>
    <w:p>
      <w:pPr>
        <w:keepLines/>
        <w:tabs>
          <w:tab w:val="right" w:leader="dot" w:pos="9360"/>
        </w:tabs>
        <w:spacing w:before="192" w:after="0" w:line="276" w:lineRule="exact"/>
        <w:ind w:left="360" w:right="7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Judson</w:t>
      </w:r>
      <w:r>
        <w:rPr>
          <w:i/>
          <w:iCs/>
        </w:rPr>
        <w:t xml:space="preserve"> </w:t>
      </w:r>
      <w:r>
        <w:rPr>
          <w:i/>
          <w:iCs/>
        </w:rPr>
        <w:t xml:space="preserve">v.</w:t>
      </w:r>
      <w:r>
        <w:rPr>
          <w:i/>
          <w:iCs/>
        </w:rPr>
        <w:t xml:space="preserve"> </w:t>
      </w:r>
      <w:r>
        <w:rPr>
          <w:i/>
          <w:iCs/>
        </w:rPr>
        <w:t xml:space="preserve">Spahr</w:t>
      </w:r>
      <w:r>
        <w:t xml:space="preserve">,</w:t>
      </w:r>
      <w:r>
        <w:t xml:space="preserve"> </w:t>
      </w:r>
      <w:r>
        <w:t xml:space="preserve">33</w:t>
      </w:r>
      <w:r>
        <w:t xml:space="preserve"> </w:t>
      </w:r>
      <w:r>
        <w:t xml:space="preserve">Ohio</w:t>
      </w:r>
      <w:r>
        <w:t xml:space="preserve"> </w:t>
      </w:r>
      <w:r>
        <w:t xml:space="preserve">St.3d</w:t>
      </w:r>
      <w:r>
        <w:t xml:space="preserve"> </w:t>
      </w:r>
      <w:r>
        <w:t xml:space="preserve">111,</w:t>
      </w:r>
      <w:r>
        <w:t xml:space="preserve"> </w:t>
      </w:r>
      <w:r>
        <w:t xml:space="preserve">113,</w:t>
      </w:r>
      <w:r>
        <w:t xml:space="preserve"> </w:t>
      </w:r>
      <w:r>
        <w:t xml:space="preserve">515</w:t>
      </w:r>
      <w:r>
        <w:t xml:space="preserve"> </w:t>
      </w:r>
      <w:r>
        <w:t xml:space="preserve">N.E.2d</w:t>
      </w:r>
      <w:r>
        <w:t xml:space="preserve"> </w:t>
      </w:r>
      <w:r>
        <w:t xml:space="preserve">911</w:t>
      </w:r>
      <w:r>
        <w:t xml:space="preserve"> </w:t>
      </w:r>
      <w:r>
        <w:t xml:space="preserve">(1987)</w:t>
      </w:r>
      <w:r>
        <w:t xml:space="preserve">   </w:t>
      </w:r>
      <w:r>
        <w:tab/>
      </w:r>
      <w:r>
        <w:t xml:space="preserve">16</w:t>
      </w:r>
    </w:p>
    <w:p>
      <w:pPr>
        <w:keepLines/>
        <w:tabs>
          <w:tab w:val="right" w:leader="dot" w:pos="9360"/>
        </w:tabs>
        <w:spacing w:before="192" w:after="0" w:line="276" w:lineRule="exact"/>
        <w:ind w:left="360" w:right="7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Ohio</w:t>
      </w:r>
      <w:r>
        <w:rPr>
          <w:i/>
          <w:iCs/>
        </w:rPr>
        <w:t xml:space="preserve"> </w:t>
      </w:r>
      <w:r>
        <w:rPr>
          <w:i/>
          <w:iCs/>
        </w:rPr>
        <w:t xml:space="preserve">Academy</w:t>
      </w:r>
      <w:r>
        <w:rPr>
          <w:i/>
          <w:iCs/>
        </w:rPr>
        <w:t xml:space="preserve"> </w:t>
      </w:r>
      <w:r>
        <w:rPr>
          <w:i/>
          <w:iCs/>
        </w:rPr>
        <w:t xml:space="preserve">of</w:t>
      </w:r>
      <w:r>
        <w:rPr>
          <w:i/>
          <w:iCs/>
        </w:rPr>
        <w:t xml:space="preserve"> </w:t>
      </w:r>
      <w:r>
        <w:rPr>
          <w:i/>
          <w:iCs/>
        </w:rPr>
        <w:t xml:space="preserve">Trial</w:t>
      </w:r>
      <w:r>
        <w:rPr>
          <w:i/>
          <w:iCs/>
        </w:rPr>
        <w:t xml:space="preserve"> </w:t>
      </w:r>
      <w:r>
        <w:rPr>
          <w:i/>
          <w:iCs/>
        </w:rPr>
        <w:t xml:space="preserve">Lawyers</w:t>
      </w:r>
      <w:r>
        <w:rPr>
          <w:i/>
          <w:iCs/>
        </w:rPr>
        <w:t xml:space="preserve"> </w:t>
      </w:r>
      <w:r>
        <w:rPr>
          <w:i/>
          <w:iCs/>
        </w:rPr>
        <w:t xml:space="preserve">v.</w:t>
      </w:r>
      <w:r>
        <w:rPr>
          <w:i/>
          <w:iCs/>
        </w:rPr>
        <w:t xml:space="preserve"> </w:t>
      </w:r>
      <w:r>
        <w:rPr>
          <w:i/>
          <w:iCs/>
        </w:rPr>
        <w:t xml:space="preserve">Sheward</w:t>
      </w:r>
      <w:r>
        <w:t xml:space="preserve">,</w:t>
      </w:r>
      <w:r>
        <w:t xml:space="preserve"> </w:t>
      </w:r>
      <w:r>
        <w:t xml:space="preserve">86</w:t>
      </w:r>
      <w:r>
        <w:t xml:space="preserve"> </w:t>
      </w:r>
      <w:r>
        <w:t xml:space="preserve">Ohio</w:t>
      </w:r>
      <w:r>
        <w:t xml:space="preserve"> </w:t>
      </w:r>
      <w:r>
        <w:t xml:space="preserve">St.3d</w:t>
      </w:r>
      <w:r>
        <w:t xml:space="preserve"> </w:t>
      </w:r>
      <w:r>
        <w:t xml:space="preserve">451,</w:t>
      </w:r>
      <w:r>
        <w:t xml:space="preserve"> </w:t>
      </w:r>
      <w:r>
        <w:t xml:space="preserve">715</w:t>
      </w:r>
      <w:r>
        <w:t xml:space="preserve"> </w:t>
      </w:r>
      <w:r>
        <w:t xml:space="preserve">N.E.2d</w:t>
      </w:r>
      <w:r>
        <w:t xml:space="preserve"> </w:t>
      </w:r>
      <w:r>
        <w:t xml:space="preserve">1062</w:t>
      </w:r>
      <w:r>
        <w:t xml:space="preserve"> </w:t>
      </w:r>
      <w:r>
        <w:t xml:space="preserve">(1999)</w:t>
      </w:r>
      <w:r>
        <w:t xml:space="preserve">   </w:t>
      </w:r>
      <w:r>
        <w:tab/>
      </w:r>
      <w:r>
        <w:t xml:space="preserve">20</w:t>
      </w:r>
    </w:p>
    <w:p>
      <w:pPr>
        <w:keepLines/>
        <w:tabs>
          <w:tab w:val="right" w:leader="dot" w:pos="9360"/>
        </w:tabs>
        <w:spacing w:before="192" w:after="0" w:line="276" w:lineRule="exact"/>
        <w:ind w:left="360" w:right="7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Racing</w:t>
      </w:r>
      <w:r>
        <w:rPr>
          <w:i/>
          <w:iCs/>
        </w:rPr>
        <w:t xml:space="preserve"> </w:t>
      </w:r>
      <w:r>
        <w:rPr>
          <w:i/>
          <w:iCs/>
        </w:rPr>
        <w:t xml:space="preserve">Guild,</w:t>
      </w:r>
      <w:r>
        <w:rPr>
          <w:i/>
          <w:iCs/>
        </w:rPr>
        <w:t xml:space="preserve"> </w:t>
      </w:r>
      <w:r>
        <w:rPr>
          <w:i/>
          <w:iCs/>
        </w:rPr>
        <w:t xml:space="preserve">Local</w:t>
      </w:r>
      <w:r>
        <w:rPr>
          <w:i/>
          <w:iCs/>
        </w:rPr>
        <w:t xml:space="preserve"> </w:t>
      </w:r>
      <w:r>
        <w:rPr>
          <w:i/>
          <w:iCs/>
        </w:rPr>
        <w:t xml:space="preserve">304</w:t>
      </w:r>
      <w:r>
        <w:rPr>
          <w:i/>
          <w:iCs/>
        </w:rPr>
        <w:t xml:space="preserve"> </w:t>
      </w:r>
      <w:r>
        <w:rPr>
          <w:i/>
          <w:iCs/>
        </w:rPr>
        <w:t xml:space="preserve">v.</w:t>
      </w:r>
      <w:r>
        <w:rPr>
          <w:i/>
          <w:iCs/>
        </w:rPr>
        <w:t xml:space="preserve"> </w:t>
      </w:r>
      <w:r>
        <w:rPr>
          <w:i/>
          <w:iCs/>
        </w:rPr>
        <w:t xml:space="preserve">Morgan</w:t>
      </w:r>
      <w:r>
        <w:t xml:space="preserve">,</w:t>
      </w:r>
      <w:r>
        <w:t xml:space="preserve"> </w:t>
      </w:r>
      <w:r>
        <w:t xml:space="preserve">17</w:t>
      </w:r>
      <w:r>
        <w:t xml:space="preserve"> </w:t>
      </w:r>
      <w:r>
        <w:t xml:space="preserve">Ohio</w:t>
      </w:r>
      <w:r>
        <w:t xml:space="preserve"> </w:t>
      </w:r>
      <w:r>
        <w:t xml:space="preserve">St.3d</w:t>
      </w:r>
      <w:r>
        <w:t xml:space="preserve"> </w:t>
      </w:r>
      <w:r>
        <w:t xml:space="preserve">54,</w:t>
      </w:r>
      <w:r>
        <w:t xml:space="preserve"> </w:t>
      </w:r>
      <w:r>
        <w:t xml:space="preserve">476</w:t>
      </w:r>
      <w:r>
        <w:t xml:space="preserve"> </w:t>
      </w:r>
      <w:r>
        <w:t xml:space="preserve">N.E.2d</w:t>
      </w:r>
      <w:r>
        <w:t xml:space="preserve"> </w:t>
      </w:r>
      <w:r>
        <w:t xml:space="preserve">1060</w:t>
      </w:r>
      <w:r>
        <w:t xml:space="preserve"> </w:t>
      </w:r>
      <w:r>
        <w:t xml:space="preserve">(1985)</w:t>
      </w:r>
      <w:r>
        <w:t xml:space="preserve">   </w:t>
      </w:r>
      <w:r>
        <w:tab/>
      </w:r>
      <w:r>
        <w:t xml:space="preserve">18, 19</w:t>
      </w:r>
    </w:p>
    <w:p>
      <w:pPr>
        <w:keepLines/>
        <w:tabs>
          <w:tab w:val="right" w:leader="dot" w:pos="9360"/>
        </w:tabs>
        <w:spacing w:before="192" w:after="0" w:line="276" w:lineRule="exact"/>
        <w:ind w:left="360" w:right="720" w:hanging="360"/>
      </w:pPr>
      <w:r>
        <w:rPr>
          <w:i/>
          <w:iCs/>
        </w:rPr>
        <w:t xml:space="preserve">State</w:t>
      </w:r>
      <w:r>
        <w:rPr>
          <w:i/>
          <w:iCs/>
        </w:rPr>
        <w:t xml:space="preserve"> </w:t>
      </w:r>
      <w:r>
        <w:rPr>
          <w:i/>
          <w:iCs/>
        </w:rPr>
        <w:t xml:space="preserve">v.</w:t>
      </w:r>
      <w:r>
        <w:rPr>
          <w:i/>
          <w:iCs/>
        </w:rPr>
        <w:t xml:space="preserve"> </w:t>
      </w:r>
      <w:r>
        <w:rPr>
          <w:i/>
          <w:iCs/>
        </w:rPr>
        <w:t xml:space="preserve">Columbus</w:t>
      </w:r>
      <w:r>
        <w:t xml:space="preserve">,</w:t>
      </w:r>
      <w:r>
        <w:t xml:space="preserve"> </w:t>
      </w:r>
      <w:r>
        <w:t xml:space="preserve">No.</w:t>
      </w:r>
      <w:r>
        <w:t xml:space="preserve"> </w:t>
      </w:r>
      <w:r>
        <w:t xml:space="preserve">23CA00005</w:t>
      </w:r>
      <w:r>
        <w:t xml:space="preserve"> </w:t>
      </w:r>
      <w:r>
        <w:t xml:space="preserve">(5th</w:t>
      </w:r>
      <w:r>
        <w:t xml:space="preserve"> </w:t>
      </w:r>
      <w:r>
        <w:t xml:space="preserve">Dist.</w:t>
      </w:r>
      <w:r>
        <w:t xml:space="preserve"> </w:t>
      </w:r>
      <w:r>
        <w:t xml:space="preserve">Jul.</w:t>
      </w:r>
      <w:r>
        <w:t xml:space="preserve"> </w:t>
      </w:r>
      <w:r>
        <w:t xml:space="preserve">31,</w:t>
      </w:r>
      <w:r>
        <w:t xml:space="preserve"> </w:t>
      </w:r>
      <w:r>
        <w:t xml:space="preserve">2023)</w:t>
      </w:r>
      <w:r>
        <w:t xml:space="preserve">   </w:t>
      </w:r>
      <w:r>
        <w:tab/>
      </w:r>
      <w:r>
        <w:t xml:space="preserve">17</w:t>
      </w:r>
    </w:p>
    <w:p>
      <w:pPr>
        <w:keepLines/>
        <w:tabs>
          <w:tab w:val="right" w:leader="dot" w:pos="9360"/>
        </w:tabs>
        <w:spacing w:before="192" w:after="0" w:line="276" w:lineRule="exact"/>
        <w:ind w:left="360" w:right="720" w:hanging="360"/>
      </w:pPr>
      <w:r>
        <w:rPr>
          <w:i/>
          <w:iCs/>
        </w:rPr>
        <w:t xml:space="preserve">State</w:t>
      </w:r>
      <w:r>
        <w:rPr>
          <w:i/>
          <w:iCs/>
        </w:rPr>
        <w:t xml:space="preserve"> </w:t>
      </w:r>
      <w:r>
        <w:rPr>
          <w:i/>
          <w:iCs/>
        </w:rPr>
        <w:t xml:space="preserve">v.</w:t>
      </w:r>
      <w:r>
        <w:rPr>
          <w:i/>
          <w:iCs/>
        </w:rPr>
        <w:t xml:space="preserve"> </w:t>
      </w:r>
      <w:r>
        <w:rPr>
          <w:i/>
          <w:iCs/>
        </w:rPr>
        <w:t xml:space="preserve">Mole</w:t>
      </w:r>
      <w:r>
        <w:t xml:space="preserve">,</w:t>
      </w:r>
      <w:r>
        <w:t xml:space="preserve"> </w:t>
      </w:r>
      <w:r>
        <w:t xml:space="preserve">149</w:t>
      </w:r>
      <w:r>
        <w:t xml:space="preserve"> </w:t>
      </w:r>
      <w:r>
        <w:t xml:space="preserve">Ohio</w:t>
      </w:r>
      <w:r>
        <w:t xml:space="preserve"> </w:t>
      </w:r>
      <w:r>
        <w:t xml:space="preserve">St.3d</w:t>
      </w:r>
      <w:r>
        <w:t xml:space="preserve"> </w:t>
      </w:r>
      <w:r>
        <w:t xml:space="preserve">215,</w:t>
      </w:r>
      <w:r>
        <w:t xml:space="preserve"> </w:t>
      </w:r>
      <w:r>
        <w:t xml:space="preserve">2016-Ohio</w:t>
        <w:noBreakHyphen/>
        <w:t xml:space="preserve">5124,</w:t>
      </w:r>
      <w:r>
        <w:t xml:space="preserve"> </w:t>
      </w:r>
      <w:r>
        <w:t xml:space="preserve">74</w:t>
      </w:r>
      <w:r>
        <w:t xml:space="preserve"> </w:t>
      </w:r>
      <w:r>
        <w:t xml:space="preserve">N.E.3d</w:t>
      </w:r>
      <w:r>
        <w:t xml:space="preserve"> </w:t>
      </w:r>
      <w:r>
        <w:t xml:space="preserve">368</w:t>
      </w:r>
      <w:r>
        <w:t xml:space="preserve">   </w:t>
      </w:r>
      <w:r>
        <w:tab/>
      </w:r>
      <w:r>
        <w:t xml:space="preserve">31</w:t>
      </w:r>
    </w:p>
    <w:p>
      <w:pPr>
        <w:keepLines/>
        <w:tabs>
          <w:tab w:val="right" w:leader="dot" w:pos="9360"/>
        </w:tabs>
        <w:spacing w:before="192" w:after="0" w:line="276" w:lineRule="exact"/>
        <w:ind w:left="360" w:right="720" w:hanging="360"/>
      </w:pPr>
      <w:r>
        <w:rPr>
          <w:i/>
          <w:iCs/>
        </w:rPr>
        <w:t xml:space="preserve">State</w:t>
      </w:r>
      <w:r>
        <w:rPr>
          <w:i/>
          <w:iCs/>
        </w:rPr>
        <w:t xml:space="preserve"> </w:t>
      </w:r>
      <w:r>
        <w:rPr>
          <w:i/>
          <w:iCs/>
        </w:rPr>
        <w:t xml:space="preserve">v.</w:t>
      </w:r>
      <w:r>
        <w:rPr>
          <w:i/>
          <w:iCs/>
        </w:rPr>
        <w:t xml:space="preserve"> </w:t>
      </w:r>
      <w:r>
        <w:rPr>
          <w:i/>
          <w:iCs/>
        </w:rPr>
        <w:t xml:space="preserve">Nieto</w:t>
      </w:r>
      <w:r>
        <w:t xml:space="preserve">,</w:t>
      </w:r>
      <w:r>
        <w:t xml:space="preserve"> </w:t>
      </w:r>
      <w:r>
        <w:t xml:space="preserve">101</w:t>
      </w:r>
      <w:r>
        <w:t xml:space="preserve"> </w:t>
      </w:r>
      <w:r>
        <w:t xml:space="preserve">ohio</w:t>
      </w:r>
      <w:r>
        <w:t xml:space="preserve"> </w:t>
      </w:r>
      <w:r>
        <w:t xml:space="preserve">St.</w:t>
      </w:r>
      <w:r>
        <w:t xml:space="preserve"> </w:t>
      </w:r>
      <w:r>
        <w:t xml:space="preserve">409,</w:t>
      </w:r>
      <w:r>
        <w:t xml:space="preserve"> </w:t>
      </w:r>
      <w:r>
        <w:t xml:space="preserve">130</w:t>
      </w:r>
      <w:r>
        <w:t xml:space="preserve"> </w:t>
      </w:r>
      <w:r>
        <w:t xml:space="preserve">N.E.</w:t>
      </w:r>
      <w:r>
        <w:t xml:space="preserve"> </w:t>
      </w:r>
      <w:r>
        <w:t xml:space="preserve">663</w:t>
      </w:r>
      <w:r>
        <w:t xml:space="preserve"> </w:t>
      </w:r>
      <w:r>
        <w:t xml:space="preserve">(1920)</w:t>
      </w:r>
      <w:r>
        <w:t xml:space="preserve">   </w:t>
      </w:r>
      <w:r>
        <w:tab/>
      </w:r>
      <w:r>
        <w:t xml:space="preserve">31</w:t>
      </w:r>
    </w:p>
    <w:p>
      <w:pPr>
        <w:keepLines/>
        <w:tabs>
          <w:tab w:val="right" w:leader="dot" w:pos="9360"/>
        </w:tabs>
        <w:spacing w:before="192" w:after="0" w:line="276" w:lineRule="exact"/>
        <w:ind w:left="360" w:right="960" w:hanging="360"/>
      </w:pPr>
      <w:r>
        <w:rPr>
          <w:i/>
          <w:iCs/>
        </w:rPr>
        <w:t xml:space="preserve">State</w:t>
      </w:r>
      <w:r>
        <w:rPr>
          <w:i/>
          <w:iCs/>
        </w:rPr>
        <w:t xml:space="preserve"> </w:t>
      </w:r>
      <w:r>
        <w:rPr>
          <w:i/>
          <w:iCs/>
        </w:rPr>
        <w:t xml:space="preserve">v.</w:t>
      </w:r>
      <w:r>
        <w:rPr>
          <w:i/>
          <w:iCs/>
        </w:rPr>
        <w:t xml:space="preserve"> </w:t>
      </w:r>
      <w:r>
        <w:rPr>
          <w:i/>
          <w:iCs/>
        </w:rPr>
        <w:t xml:space="preserve">O’Malley</w:t>
      </w:r>
      <w:r>
        <w:t xml:space="preserve">,</w:t>
      </w:r>
      <w:r>
        <w:t xml:space="preserve"> </w:t>
      </w:r>
      <w:r>
        <w:t xml:space="preserve">169</w:t>
      </w:r>
      <w:r>
        <w:t xml:space="preserve"> </w:t>
      </w:r>
      <w:r>
        <w:t xml:space="preserve">Ohio</w:t>
      </w:r>
      <w:r>
        <w:t xml:space="preserve"> </w:t>
      </w:r>
      <w:r>
        <w:t xml:space="preserve">St.3d</w:t>
      </w:r>
      <w:r>
        <w:t xml:space="preserve"> </w:t>
      </w:r>
      <w:r>
        <w:t xml:space="preserve">479,</w:t>
      </w:r>
      <w:r>
        <w:t xml:space="preserve"> </w:t>
      </w:r>
      <w:r>
        <w:t xml:space="preserve">2022-Ohio</w:t>
        <w:noBreakHyphen/>
        <w:t xml:space="preserve">3207,</w:t>
      </w:r>
      <w:r>
        <w:t xml:space="preserve"> </w:t>
      </w:r>
      <w:r>
        <w:t xml:space="preserve">206</w:t>
      </w:r>
      <w:r>
        <w:t xml:space="preserve"> </w:t>
      </w:r>
      <w:r>
        <w:t xml:space="preserve">N.E.3d</w:t>
      </w:r>
      <w:r>
        <w:t xml:space="preserve"> </w:t>
      </w:r>
      <w:r>
        <w:t xml:space="preserve">662</w:t>
      </w:r>
      <w:r>
        <w:t xml:space="preserve">   </w:t>
      </w:r>
      <w:r>
        <w:tab/>
      </w:r>
      <w:r>
        <w:t xml:space="preserve">29, 30, 31</w:t>
      </w:r>
    </w:p>
    <w:p>
      <w:pPr>
        <w:keepLines/>
        <w:tabs>
          <w:tab w:val="right" w:leader="dot" w:pos="9360"/>
        </w:tabs>
        <w:spacing w:before="192" w:after="0" w:line="276" w:lineRule="exact"/>
        <w:ind w:left="360" w:right="960" w:hanging="360"/>
      </w:pPr>
      <w:r>
        <w:rPr>
          <w:i/>
          <w:iCs/>
        </w:rPr>
        <w:t xml:space="preserve">State</w:t>
      </w:r>
      <w:r>
        <w:rPr>
          <w:i/>
          <w:iCs/>
        </w:rPr>
        <w:t xml:space="preserve"> </w:t>
      </w:r>
      <w:r>
        <w:rPr>
          <w:i/>
          <w:iCs/>
        </w:rPr>
        <w:t xml:space="preserve">v.</w:t>
      </w:r>
      <w:r>
        <w:rPr>
          <w:i/>
          <w:iCs/>
        </w:rPr>
        <w:t xml:space="preserve"> </w:t>
      </w:r>
      <w:r>
        <w:rPr>
          <w:i/>
          <w:iCs/>
        </w:rPr>
        <w:t xml:space="preserve">Weber</w:t>
      </w:r>
      <w:r>
        <w:t xml:space="preserve">,</w:t>
      </w:r>
      <w:r>
        <w:t xml:space="preserve"> </w:t>
      </w:r>
      <w:r>
        <w:t xml:space="preserve">163</w:t>
      </w:r>
      <w:r>
        <w:t xml:space="preserve"> </w:t>
      </w:r>
      <w:r>
        <w:t xml:space="preserve">Ohio</w:t>
      </w:r>
      <w:r>
        <w:t xml:space="preserve"> </w:t>
      </w:r>
      <w:r>
        <w:t xml:space="preserve">St.</w:t>
      </w:r>
      <w:r>
        <w:t xml:space="preserve"> </w:t>
      </w:r>
      <w:r>
        <w:t xml:space="preserve">3d</w:t>
      </w:r>
      <w:r>
        <w:t xml:space="preserve"> </w:t>
      </w:r>
      <w:r>
        <w:t xml:space="preserve">125,</w:t>
      </w:r>
      <w:r>
        <w:t xml:space="preserve"> </w:t>
      </w:r>
      <w:r>
        <w:t xml:space="preserve">2020-Ohio</w:t>
        <w:noBreakHyphen/>
        <w:t xml:space="preserve">6832,</w:t>
      </w:r>
      <w:r>
        <w:t xml:space="preserve"> </w:t>
      </w:r>
      <w:r>
        <w:t xml:space="preserve">168</w:t>
      </w:r>
      <w:r>
        <w:t xml:space="preserve"> </w:t>
      </w:r>
      <w:r>
        <w:t xml:space="preserve">N.E.3d</w:t>
      </w:r>
      <w:r>
        <w:t xml:space="preserve"> </w:t>
      </w:r>
      <w:r>
        <w:t xml:space="preserve">468</w:t>
      </w:r>
      <w:r>
        <w:t xml:space="preserve">   </w:t>
      </w:r>
      <w:r>
        <w:tab/>
      </w:r>
      <w:r>
        <w:t xml:space="preserve">24, 30, 31</w:t>
      </w:r>
    </w:p>
    <w:p>
      <w:pPr>
        <w:keepLines/>
        <w:tabs>
          <w:tab w:val="right" w:leader="dot" w:pos="9360"/>
        </w:tabs>
        <w:spacing w:before="192" w:after="0" w:line="276" w:lineRule="exact"/>
        <w:ind w:left="360" w:right="7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Phillips</w:t>
      </w:r>
      <w:r>
        <w:rPr>
          <w:i/>
          <w:iCs/>
        </w:rPr>
        <w:t xml:space="preserve"> </w:t>
      </w:r>
      <w:r>
        <w:rPr>
          <w:i/>
          <w:iCs/>
        </w:rPr>
        <w:t xml:space="preserve">v.</w:t>
      </w:r>
      <w:r>
        <w:rPr>
          <w:i/>
          <w:iCs/>
        </w:rPr>
        <w:t xml:space="preserve"> </w:t>
      </w:r>
      <w:r>
        <w:rPr>
          <w:i/>
          <w:iCs/>
        </w:rPr>
        <w:t xml:space="preserve">Polcar</w:t>
      </w:r>
      <w:r>
        <w:t xml:space="preserve">,</w:t>
      </w:r>
      <w:r>
        <w:t xml:space="preserve"> </w:t>
      </w:r>
      <w:r>
        <w:t xml:space="preserve">50</w:t>
      </w:r>
      <w:r>
        <w:t xml:space="preserve"> </w:t>
      </w:r>
      <w:r>
        <w:t xml:space="preserve">Ohio</w:t>
      </w:r>
      <w:r>
        <w:t xml:space="preserve"> </w:t>
      </w:r>
      <w:r>
        <w:t xml:space="preserve">St.2d</w:t>
      </w:r>
      <w:r>
        <w:t xml:space="preserve"> </w:t>
      </w:r>
      <w:r>
        <w:t xml:space="preserve">279,</w:t>
      </w:r>
      <w:r>
        <w:t xml:space="preserve"> </w:t>
      </w:r>
      <w:r>
        <w:t xml:space="preserve">364</w:t>
      </w:r>
      <w:r>
        <w:t xml:space="preserve"> </w:t>
      </w:r>
      <w:r>
        <w:t xml:space="preserve">N.E.2d</w:t>
      </w:r>
      <w:r>
        <w:t xml:space="preserve"> </w:t>
      </w:r>
      <w:r>
        <w:t xml:space="preserve">33</w:t>
      </w:r>
      <w:r>
        <w:t xml:space="preserve"> </w:t>
      </w:r>
      <w:r>
        <w:t xml:space="preserve">(1977)</w:t>
      </w:r>
      <w:r>
        <w:t xml:space="preserve">   </w:t>
      </w:r>
      <w:r>
        <w:tab/>
      </w:r>
      <w:r>
        <w:t xml:space="preserve">16</w:t>
      </w:r>
    </w:p>
    <w:p>
      <w:pPr>
        <w:keepLines/>
        <w:tabs>
          <w:tab w:val="right" w:leader="dot" w:pos="9360"/>
        </w:tabs>
        <w:spacing w:before="192" w:after="0" w:line="276" w:lineRule="exact"/>
        <w:ind w:left="360" w:right="720" w:hanging="360"/>
      </w:pPr>
      <w:r>
        <w:rPr>
          <w:i/>
          <w:iCs/>
        </w:rPr>
        <w:t xml:space="preserve">Susan</w:t>
      </w:r>
      <w:r>
        <w:rPr>
          <w:i/>
          <w:iCs/>
        </w:rPr>
        <w:t xml:space="preserve"> </w:t>
      </w:r>
      <w:r>
        <w:rPr>
          <w:i/>
          <w:iCs/>
        </w:rPr>
        <w:t xml:space="preserve">B.</w:t>
      </w:r>
      <w:r>
        <w:rPr>
          <w:i/>
          <w:iCs/>
        </w:rPr>
        <w:t xml:space="preserve"> </w:t>
      </w:r>
      <w:r>
        <w:rPr>
          <w:i/>
          <w:iCs/>
        </w:rPr>
        <w:t xml:space="preserve">Anthony</w:t>
      </w:r>
      <w:r>
        <w:rPr>
          <w:i/>
          <w:iCs/>
        </w:rPr>
        <w:t xml:space="preserve"> </w:t>
      </w:r>
      <w:r>
        <w:rPr>
          <w:i/>
          <w:iCs/>
        </w:rPr>
        <w:t xml:space="preserve">List</w:t>
      </w:r>
      <w:r>
        <w:rPr>
          <w:i/>
          <w:iCs/>
        </w:rPr>
        <w:t xml:space="preserve"> </w:t>
      </w:r>
      <w:r>
        <w:rPr>
          <w:i/>
          <w:iCs/>
        </w:rPr>
        <w:t xml:space="preserve">v.</w:t>
      </w:r>
      <w:r>
        <w:rPr>
          <w:i/>
          <w:iCs/>
        </w:rPr>
        <w:t xml:space="preserve"> </w:t>
      </w:r>
      <w:r>
        <w:rPr>
          <w:i/>
          <w:iCs/>
        </w:rPr>
        <w:t xml:space="preserve">Driehaus</w:t>
      </w:r>
      <w:r>
        <w:t xml:space="preserve">,</w:t>
      </w:r>
      <w:r>
        <w:t xml:space="preserve"> </w:t>
      </w:r>
      <w:r>
        <w:t xml:space="preserve">573</w:t>
      </w:r>
      <w:r>
        <w:t xml:space="preserve"> </w:t>
      </w:r>
      <w:r>
        <w:t xml:space="preserve">U.S.</w:t>
      </w:r>
      <w:r>
        <w:t xml:space="preserve"> </w:t>
      </w:r>
      <w:r>
        <w:t xml:space="preserve">149,</w:t>
      </w:r>
      <w:r>
        <w:t xml:space="preserve"> </w:t>
      </w:r>
      <w:r>
        <w:t xml:space="preserve">134</w:t>
      </w:r>
      <w:r>
        <w:t xml:space="preserve"> </w:t>
      </w:r>
      <w:r>
        <w:t xml:space="preserve">S.Ct.</w:t>
      </w:r>
      <w:r>
        <w:t xml:space="preserve"> </w:t>
      </w:r>
      <w:r>
        <w:t xml:space="preserve">2334,</w:t>
      </w:r>
      <w:r>
        <w:t xml:space="preserve"> </w:t>
      </w:r>
      <w:r>
        <w:t xml:space="preserve">189</w:t>
      </w:r>
      <w:r>
        <w:t xml:space="preserve"> </w:t>
      </w:r>
      <w:r>
        <w:t xml:space="preserve">L.Ed.2d</w:t>
      </w:r>
      <w:r>
        <w:t xml:space="preserve"> </w:t>
      </w:r>
      <w:r>
        <w:t xml:space="preserve">246</w:t>
      </w:r>
      <w:r>
        <w:t xml:space="preserve"> </w:t>
      </w:r>
      <w:r>
        <w:t xml:space="preserve">(2014)</w:t>
      </w:r>
      <w:r>
        <w:t xml:space="preserve">   </w:t>
      </w:r>
      <w:r>
        <w:tab/>
      </w:r>
      <w:r>
        <w:t xml:space="preserve">12</w:t>
      </w:r>
    </w:p>
    <w:p>
      <w:pPr>
        <w:keepLines/>
        <w:tabs>
          <w:tab w:val="right" w:leader="dot" w:pos="9360"/>
        </w:tabs>
        <w:spacing w:before="192" w:after="0" w:line="276" w:lineRule="exact"/>
        <w:ind w:left="360" w:right="720" w:hanging="360"/>
      </w:pPr>
      <w:r>
        <w:rPr>
          <w:i/>
          <w:iCs/>
        </w:rPr>
        <w:t xml:space="preserve">W.N.J.</w:t>
      </w:r>
      <w:r>
        <w:rPr>
          <w:i/>
          <w:iCs/>
        </w:rPr>
        <w:t xml:space="preserve"> </w:t>
      </w:r>
      <w:r>
        <w:rPr>
          <w:i/>
          <w:iCs/>
        </w:rPr>
        <w:t xml:space="preserve">v.</w:t>
      </w:r>
      <w:r>
        <w:rPr>
          <w:i/>
          <w:iCs/>
        </w:rPr>
        <w:t xml:space="preserve"> </w:t>
      </w:r>
      <w:r>
        <w:rPr>
          <w:i/>
          <w:iCs/>
        </w:rPr>
        <w:t xml:space="preserve">Yocom</w:t>
      </w:r>
      <w:r>
        <w:t xml:space="preserve">,</w:t>
      </w:r>
      <w:r>
        <w:t xml:space="preserve"> </w:t>
      </w:r>
      <w:r>
        <w:t xml:space="preserve">257</w:t>
      </w:r>
      <w:r>
        <w:t xml:space="preserve"> </w:t>
      </w:r>
      <w:r>
        <w:t xml:space="preserve">F.3d</w:t>
      </w:r>
      <w:r>
        <w:t xml:space="preserve"> </w:t>
      </w:r>
      <w:r>
        <w:t xml:space="preserve">1171</w:t>
      </w:r>
      <w:r>
        <w:t xml:space="preserve"> </w:t>
      </w:r>
      <w:r>
        <w:t xml:space="preserve">(10th</w:t>
      </w:r>
      <w:r>
        <w:t xml:space="preserve"> </w:t>
      </w:r>
      <w:r>
        <w:t xml:space="preserve">Cir.</w:t>
      </w:r>
      <w:r>
        <w:t xml:space="preserve"> </w:t>
      </w:r>
      <w:r>
        <w:t xml:space="preserve">2001)</w:t>
      </w:r>
      <w:r>
        <w:t xml:space="preserve">   </w:t>
      </w:r>
      <w:r>
        <w:tab/>
      </w:r>
      <w:r>
        <w:t xml:space="preserve">14, 15</w:t>
      </w:r>
    </w:p>
    <w:p>
      <w:pPr>
        <w:keepLines/>
        <w:tabs>
          <w:tab w:val="right" w:leader="dot" w:pos="9360"/>
        </w:tabs>
        <w:spacing w:before="192" w:after="0" w:line="276" w:lineRule="exact"/>
        <w:ind w:left="360" w:right="720" w:hanging="360"/>
      </w:pPr>
      <w:r>
        <w:rPr>
          <w:i/>
          <w:iCs/>
        </w:rPr>
        <w:t xml:space="preserve">Wilson</w:t>
      </w:r>
      <w:r>
        <w:rPr>
          <w:i/>
          <w:iCs/>
        </w:rPr>
        <w:t xml:space="preserve"> </w:t>
      </w:r>
      <w:r>
        <w:rPr>
          <w:i/>
          <w:iCs/>
        </w:rPr>
        <w:t xml:space="preserve">v.</w:t>
      </w:r>
      <w:r>
        <w:rPr>
          <w:i/>
          <w:iCs/>
        </w:rPr>
        <w:t xml:space="preserve"> </w:t>
      </w:r>
      <w:r>
        <w:rPr>
          <w:i/>
          <w:iCs/>
        </w:rPr>
        <w:t xml:space="preserve">AC&amp;S,</w:t>
      </w:r>
      <w:r>
        <w:rPr>
          <w:i/>
          <w:iCs/>
        </w:rPr>
        <w:t xml:space="preserve"> </w:t>
      </w:r>
      <w:r>
        <w:rPr>
          <w:i/>
          <w:iCs/>
        </w:rPr>
        <w:t xml:space="preserve">Inc.</w:t>
      </w:r>
      <w:r>
        <w:t xml:space="preserve">,</w:t>
      </w:r>
      <w:r>
        <w:t xml:space="preserve"> </w:t>
      </w:r>
      <w:r>
        <w:t xml:space="preserve">169</w:t>
      </w:r>
      <w:r>
        <w:t xml:space="preserve"> </w:t>
      </w:r>
      <w:r>
        <w:t xml:space="preserve">Ohio</w:t>
      </w:r>
      <w:r>
        <w:t xml:space="preserve"> </w:t>
      </w:r>
      <w:r>
        <w:t xml:space="preserve">App.3d</w:t>
      </w:r>
      <w:r>
        <w:t xml:space="preserve"> </w:t>
      </w:r>
      <w:r>
        <w:t xml:space="preserve">720,</w:t>
      </w:r>
      <w:r>
        <w:t xml:space="preserve"> </w:t>
      </w:r>
      <w:r>
        <w:t xml:space="preserve">2006-Ohio</w:t>
        <w:noBreakHyphen/>
        <w:t xml:space="preserve">6704,</w:t>
      </w:r>
      <w:r>
        <w:t xml:space="preserve"> </w:t>
      </w:r>
      <w:r>
        <w:t xml:space="preserve">864</w:t>
      </w:r>
      <w:r>
        <w:t xml:space="preserve"> </w:t>
      </w:r>
      <w:r>
        <w:t xml:space="preserve">N.E.2d</w:t>
      </w:r>
      <w:r>
        <w:t xml:space="preserve"> </w:t>
      </w:r>
      <w:r>
        <w:t xml:space="preserve">682</w:t>
      </w:r>
      <w:r>
        <w:t xml:space="preserve"> </w:t>
      </w:r>
      <w:r>
        <w:t xml:space="preserve">(12th</w:t>
      </w:r>
      <w:r>
        <w:t xml:space="preserve"> </w:t>
      </w:r>
      <w:r>
        <w:t xml:space="preserve">Dist.)</w:t>
      </w:r>
      <w:r>
        <w:t xml:space="preserve">   </w:t>
      </w:r>
      <w:r>
        <w:tab/>
      </w:r>
      <w:r>
        <w:t xml:space="preserve">8</w:t>
      </w:r>
    </w:p>
    <w:p>
      <w:pPr>
        <w:keepNext/>
        <w:keepLines/>
        <w:spacing w:before="288" w:after="48" w:line="276" w:lineRule="exact"/>
        <w:ind w:left="0" w:firstLine="0"/>
        <w:jc w:val="left"/>
      </w:pPr>
      <w:r>
        <w:rPr>
          <w:b/>
          <w:bCs/>
        </w:rPr>
        <w:t xml:space="preserve">Statutes</w:t>
      </w:r>
    </w:p>
    <w:p>
      <w:pPr>
        <w:keepLines/>
        <w:tabs>
          <w:tab w:val="right" w:leader="dot" w:pos="9360"/>
        </w:tabs>
        <w:spacing w:before="192" w:after="0" w:line="276" w:lineRule="exact"/>
        <w:ind w:left="360" w:right="720" w:hanging="360"/>
      </w:pPr>
      <w:r>
        <w:t xml:space="preserve">R.C.</w:t>
      </w:r>
      <w:r>
        <w:t xml:space="preserve"> </w:t>
      </w:r>
      <w:r>
        <w:t xml:space="preserve">147.032</w:t>
      </w:r>
      <w:r>
        <w:t xml:space="preserve">   </w:t>
      </w:r>
      <w:r>
        <w:tab/>
      </w:r>
      <w:r>
        <w:t xml:space="preserve">13</w:t>
      </w:r>
    </w:p>
    <w:p>
      <w:pPr>
        <w:keepLines/>
        <w:tabs>
          <w:tab w:val="right" w:leader="dot" w:pos="9360"/>
        </w:tabs>
        <w:spacing w:before="192" w:after="0" w:line="276" w:lineRule="exact"/>
        <w:ind w:left="360" w:right="720" w:hanging="360"/>
      </w:pPr>
      <w:r>
        <w:t xml:space="preserve">R.C.</w:t>
      </w:r>
      <w:r>
        <w:t xml:space="preserve"> </w:t>
      </w:r>
      <w:r>
        <w:t xml:space="preserve">147.99</w:t>
      </w:r>
      <w:r>
        <w:t xml:space="preserve">   </w:t>
      </w:r>
      <w:r>
        <w:tab/>
      </w:r>
      <w:r>
        <w:t xml:space="preserve">13</w:t>
      </w:r>
    </w:p>
    <w:p>
      <w:pPr>
        <w:keepLines/>
        <w:tabs>
          <w:tab w:val="right" w:leader="dot" w:pos="9360"/>
        </w:tabs>
        <w:spacing w:before="192" w:after="0" w:line="276" w:lineRule="exact"/>
        <w:ind w:left="360" w:right="720" w:hanging="360"/>
      </w:pPr>
      <w:r>
        <w:t xml:space="preserve">R.C.</w:t>
      </w:r>
      <w:r>
        <w:t xml:space="preserve"> </w:t>
      </w:r>
      <w:r>
        <w:t xml:space="preserve">2319.03</w:t>
      </w:r>
      <w:r>
        <w:t xml:space="preserve">   </w:t>
      </w:r>
      <w:r>
        <w:tab/>
      </w:r>
      <w:r>
        <w:t xml:space="preserve">22</w:t>
      </w:r>
    </w:p>
    <w:p>
      <w:pPr>
        <w:keepLines/>
        <w:tabs>
          <w:tab w:val="right" w:leader="dot" w:pos="9360"/>
        </w:tabs>
        <w:spacing w:before="192" w:after="0" w:line="276" w:lineRule="exact"/>
        <w:ind w:left="360" w:right="720" w:hanging="360"/>
      </w:pPr>
      <w:r>
        <w:t xml:space="preserve">R.C.</w:t>
      </w:r>
      <w:r>
        <w:t xml:space="preserve"> </w:t>
      </w:r>
      <w:r>
        <w:t xml:space="preserve">2919.22</w:t>
      </w:r>
      <w:r>
        <w:t xml:space="preserve">   </w:t>
      </w:r>
      <w:r>
        <w:tab/>
      </w:r>
      <w:r>
        <w:t xml:space="preserve">36</w:t>
      </w:r>
    </w:p>
    <w:p>
      <w:pPr>
        <w:keepLines/>
        <w:tabs>
          <w:tab w:val="right" w:leader="dot" w:pos="9360"/>
        </w:tabs>
        <w:spacing w:before="192" w:after="0" w:line="276" w:lineRule="exact"/>
        <w:ind w:left="360" w:right="720" w:hanging="360"/>
      </w:pPr>
      <w:r>
        <w:t xml:space="preserve">R.C.</w:t>
      </w:r>
      <w:r>
        <w:t xml:space="preserve"> </w:t>
      </w:r>
      <w:r>
        <w:t xml:space="preserve">2923.11(E)</w:t>
      </w:r>
      <w:r>
        <w:t xml:space="preserve">   </w:t>
      </w:r>
      <w:r>
        <w:tab/>
      </w:r>
      <w:r>
        <w:t xml:space="preserve">25</w:t>
      </w:r>
    </w:p>
    <w:p>
      <w:pPr>
        <w:keepLines/>
        <w:tabs>
          <w:tab w:val="right" w:leader="dot" w:pos="9360"/>
        </w:tabs>
        <w:spacing w:before="192" w:after="0" w:line="276" w:lineRule="exact"/>
        <w:ind w:left="360" w:right="720" w:hanging="360"/>
      </w:pPr>
      <w:r>
        <w:t xml:space="preserve">R.C.</w:t>
      </w:r>
      <w:r>
        <w:t xml:space="preserve"> </w:t>
      </w:r>
      <w:r>
        <w:t xml:space="preserve">2923.17(C)⁠(7)</w:t>
      </w:r>
      <w:r>
        <w:t xml:space="preserve">   </w:t>
      </w:r>
      <w:r>
        <w:tab/>
      </w:r>
      <w:r>
        <w:t xml:space="preserve">25</w:t>
      </w:r>
    </w:p>
    <w:p>
      <w:pPr>
        <w:keepLines/>
        <w:tabs>
          <w:tab w:val="right" w:leader="dot" w:pos="9360"/>
        </w:tabs>
        <w:spacing w:before="192" w:after="0" w:line="276" w:lineRule="exact"/>
        <w:ind w:left="360" w:right="2040" w:hanging="360"/>
      </w:pPr>
      <w:r>
        <w:t xml:space="preserve">R.C.</w:t>
      </w:r>
      <w:r>
        <w:t xml:space="preserve"> </w:t>
      </w:r>
      <w:r>
        <w:t xml:space="preserve">9.68</w:t>
      </w:r>
      <w:r>
        <w:t xml:space="preserve">   </w:t>
      </w:r>
      <w:r>
        <w:tab/>
      </w:r>
      <w:r>
        <w:t xml:space="preserve">12, 17, 32, 33, 34, 35</w:t>
      </w:r>
    </w:p>
    <w:p>
      <w:pPr>
        <w:keepNext/>
        <w:keepLines/>
        <w:spacing w:before="288" w:after="48" w:line="276" w:lineRule="exact"/>
        <w:ind w:left="0" w:firstLine="0"/>
        <w:jc w:val="left"/>
      </w:pPr>
      <w:r>
        <w:rPr>
          <w:b/>
          <w:bCs/>
        </w:rPr>
        <w:t xml:space="preserve">City</w:t>
      </w:r>
      <w:r>
        <w:rPr>
          <w:b/>
          <w:bCs/>
        </w:rPr>
        <w:t xml:space="preserve"> </w:t>
      </w:r>
      <w:r>
        <w:rPr>
          <w:b/>
          <w:bCs/>
        </w:rPr>
        <w:t xml:space="preserve">Codes</w:t>
      </w:r>
    </w:p>
    <w:p>
      <w:pPr>
        <w:keepLines/>
        <w:tabs>
          <w:tab w:val="right" w:leader="dot" w:pos="9360"/>
        </w:tabs>
        <w:spacing w:before="192" w:after="0" w:line="276" w:lineRule="exact"/>
        <w:ind w:left="360" w:right="720" w:hanging="360"/>
      </w:pPr>
      <w:r>
        <w:t xml:space="preserve">Columbus</w:t>
      </w:r>
      <w:r>
        <w:t xml:space="preserve"> </w:t>
      </w:r>
      <w:r>
        <w:t xml:space="preserve">City</w:t>
      </w:r>
      <w:r>
        <w:t xml:space="preserve"> </w:t>
      </w:r>
      <w:r>
        <w:t xml:space="preserve">Code</w:t>
      </w:r>
      <w:r>
        <w:t xml:space="preserve"> </w:t>
      </w:r>
      <w:r>
        <w:t xml:space="preserve">2323.32</w:t>
      </w:r>
      <w:r>
        <w:t xml:space="preserve">   </w:t>
      </w:r>
      <w:r>
        <w:tab/>
      </w:r>
      <w:r>
        <w:t xml:space="preserve">10, 21</w:t>
      </w:r>
    </w:p>
    <w:p>
      <w:pPr>
        <w:keepNext/>
        <w:keepLines/>
        <w:spacing w:before="288" w:after="48"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92" w:after="0" w:line="276" w:lineRule="exact"/>
        <w:ind w:left="360" w:right="720" w:hanging="360"/>
      </w:pPr>
      <w:r>
        <w:t xml:space="preserve">Ohio</w:t>
      </w:r>
      <w:r>
        <w:t xml:space="preserve"> </w:t>
      </w:r>
      <w:r>
        <w:t xml:space="preserve">Const.,</w:t>
      </w:r>
      <w:r>
        <w:t xml:space="preserve"> </w:t>
      </w:r>
      <w:r>
        <w:t xml:space="preserve">Sec.</w:t>
      </w:r>
      <w:r>
        <w:t xml:space="preserve"> </w:t>
      </w:r>
      <w:r>
        <w:t xml:space="preserve">3,</w:t>
      </w:r>
      <w:r>
        <w:t xml:space="preserve"> </w:t>
      </w:r>
      <w:r>
        <w:t xml:space="preserve">Art.</w:t>
      </w:r>
      <w:r>
        <w:t xml:space="preserve"> </w:t>
      </w:r>
      <w:r>
        <w:t xml:space="preserve">XVIII</w:t>
      </w:r>
      <w:r>
        <w:t xml:space="preserve">   </w:t>
      </w:r>
      <w:r>
        <w:tab/>
      </w:r>
      <w:r>
        <w:t xml:space="preserve">34</w:t>
      </w:r>
    </w:p>
    <w:p>
      <w:pPr>
        <w:keepNext/>
        <w:keepLines/>
        <w:spacing w:before="288" w:after="48" w:line="276" w:lineRule="exact"/>
        <w:ind w:left="0" w:firstLine="0"/>
        <w:jc w:val="left"/>
      </w:pPr>
      <w:r>
        <w:rPr>
          <w:b/>
          <w:bCs/>
        </w:rPr>
        <w:t xml:space="preserve">Rules</w:t>
      </w:r>
    </w:p>
    <w:p>
      <w:pPr>
        <w:keepLines/>
        <w:tabs>
          <w:tab w:val="right" w:leader="dot" w:pos="9360"/>
        </w:tabs>
        <w:spacing w:before="192" w:after="0" w:line="276" w:lineRule="exact"/>
        <w:ind w:left="360" w:right="720" w:hanging="360"/>
      </w:pPr>
      <w:r>
        <w:t xml:space="preserve">Civ.</w:t>
      </w:r>
      <w:r>
        <w:t xml:space="preserve"> </w:t>
      </w:r>
      <w:r>
        <w:t xml:space="preserve">R.</w:t>
      </w:r>
      <w:r>
        <w:t xml:space="preserve"> </w:t>
      </w:r>
      <w:r>
        <w:t xml:space="preserve">12(B)⁠(1)</w:t>
      </w:r>
      <w:r>
        <w:t xml:space="preserve">   </w:t>
      </w:r>
      <w:r>
        <w:tab/>
      </w:r>
      <w:r>
        <w:t xml:space="preserve">15</w:t>
      </w:r>
    </w:p>
    <w:p>
      <w:pPr>
        <w:keepLines/>
        <w:tabs>
          <w:tab w:val="right" w:leader="dot" w:pos="9360"/>
        </w:tabs>
        <w:spacing w:before="192" w:after="0" w:line="276" w:lineRule="exact"/>
        <w:ind w:left="360" w:right="720" w:hanging="360"/>
      </w:pPr>
      <w:r>
        <w:t xml:space="preserve">Civ.</w:t>
      </w:r>
      <w:r>
        <w:t xml:space="preserve"> </w:t>
      </w:r>
      <w:r>
        <w:t xml:space="preserve">R.</w:t>
      </w:r>
      <w:r>
        <w:t xml:space="preserve"> </w:t>
      </w:r>
      <w:r>
        <w:t xml:space="preserve">12(B)⁠(2)</w:t>
      </w:r>
      <w:r>
        <w:t xml:space="preserve">   </w:t>
      </w:r>
      <w:r>
        <w:tab/>
      </w:r>
      <w:r>
        <w:t xml:space="preserve">15</w:t>
      </w:r>
    </w:p>
    <w:p>
      <w:pPr>
        <w:keepLines/>
        <w:tabs>
          <w:tab w:val="right" w:leader="dot" w:pos="9360"/>
        </w:tabs>
        <w:spacing w:before="192" w:after="0" w:line="276" w:lineRule="exact"/>
        <w:ind w:left="360" w:right="720" w:hanging="360"/>
      </w:pPr>
      <w:r>
        <w:t xml:space="preserve">Civ.R.</w:t>
      </w:r>
      <w:r>
        <w:t xml:space="preserve"> </w:t>
      </w:r>
      <w:r>
        <w:t xml:space="preserve">12(H)</w:t>
      </w:r>
      <w:r>
        <w:t xml:space="preserve">   </w:t>
      </w:r>
      <w:r>
        <w:tab/>
      </w:r>
      <w:r>
        <w:t xml:space="preserve">15</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92" w:after="0" w:line="276" w:lineRule="exact"/>
        <w:ind w:left="360" w:right="720" w:hanging="360"/>
      </w:pPr>
      <w:r>
        <w:t xml:space="preserve">Ferenchik</w:t>
      </w:r>
      <w:r>
        <w:t xml:space="preserve"> </w:t>
      </w:r>
      <w:r>
        <w:t xml:space="preserve">and</w:t>
      </w:r>
      <w:r>
        <w:t xml:space="preserve"> </w:t>
      </w:r>
      <w:r>
        <w:t xml:space="preserve">Lagatta,</w:t>
      </w:r>
      <w:r>
        <w:t xml:space="preserve"> </w:t>
      </w:r>
      <w:r>
        <w:t xml:space="preserve">Columbus</w:t>
      </w:r>
      <w:r>
        <w:t xml:space="preserve"> </w:t>
      </w:r>
      <w:r>
        <w:t xml:space="preserve">gun</w:t>
      </w:r>
      <w:r>
        <w:t xml:space="preserve"> </w:t>
      </w:r>
      <w:r>
        <w:t xml:space="preserve">owners</w:t>
      </w:r>
      <w:r>
        <w:t xml:space="preserve"> </w:t>
      </w:r>
      <w:r>
        <w:t xml:space="preserve">wary</w:t>
      </w:r>
      <w:r>
        <w:t xml:space="preserve"> </w:t>
      </w:r>
      <w:r>
        <w:t xml:space="preserve">of</w:t>
      </w:r>
      <w:r>
        <w:t xml:space="preserve"> </w:t>
      </w:r>
      <w:r>
        <w:t xml:space="preserve">city’s</w:t>
      </w:r>
      <w:r>
        <w:t xml:space="preserve"> </w:t>
      </w:r>
      <w:r>
        <w:t xml:space="preserve">new</w:t>
      </w:r>
      <w:r>
        <w:t xml:space="preserve"> </w:t>
      </w:r>
      <w:r>
        <w:t xml:space="preserve">ammunition</w:t>
      </w:r>
      <w:r>
        <w:t xml:space="preserve"> </w:t>
      </w:r>
      <w:r>
        <w:t xml:space="preserve">restriction,</w:t>
      </w:r>
      <w:r>
        <w:t xml:space="preserve"> </w:t>
      </w:r>
      <w:r>
        <w:t xml:space="preserve">The</w:t>
      </w:r>
      <w:r>
        <w:t xml:space="preserve"> </w:t>
      </w:r>
      <w:r>
        <w:t xml:space="preserve">Columbus</w:t>
      </w:r>
      <w:r>
        <w:t xml:space="preserve"> </w:t>
      </w:r>
      <w:r>
        <w:t xml:space="preserve">Dispatch</w:t>
      </w:r>
      <w:r>
        <w:t xml:space="preserve"> </w:t>
      </w:r>
      <w:r>
        <w:t xml:space="preserve">(Mar.</w:t>
      </w:r>
      <w:r>
        <w:t xml:space="preserve"> </w:t>
      </w:r>
      <w:r>
        <w:t xml:space="preserve">8,</w:t>
      </w:r>
      <w:r>
        <w:t xml:space="preserve"> </w:t>
      </w:r>
      <w:r>
        <w:t xml:space="preserve">2023),</w:t>
      </w:r>
      <w:r>
        <w:t xml:space="preserve"> </w:t>
      </w:r>
      <w:r>
        <w:t xml:space="preserve">https://​www.​dispatch.​com/​story/​news/​local/​2023/​03/​08/​columbus-​gun-​owners-​wary-​of-​citys-​new-​ammunition-​restriction/​69958312007/</w:t>
      </w:r>
      <w:r>
        <w:t xml:space="preserve">   </w:t>
      </w:r>
      <w:r>
        <w:tab/>
      </w:r>
      <w:r>
        <w:t xml:space="preserve">10</w:t>
      </w:r>
    </w:p>
    <w:p>
      <w:pPr>
        <w:keepLines/>
        <w:tabs>
          <w:tab w:val="right" w:leader="dot" w:pos="9360"/>
        </w:tabs>
        <w:spacing w:before="192" w:after="0" w:line="276" w:lineRule="exact"/>
        <w:ind w:left="360" w:right="720" w:hanging="360"/>
      </w:pPr>
      <w:r>
        <w:t xml:space="preserve">Lacey</w:t>
      </w:r>
      <w:r>
        <w:t xml:space="preserve"> </w:t>
      </w:r>
      <w:r>
        <w:t xml:space="preserve">Crisp,</w:t>
      </w:r>
      <w:r>
        <w:t xml:space="preserve"> </w:t>
      </w:r>
      <w:r>
        <w:t xml:space="preserve">Columbus</w:t>
      </w:r>
      <w:r>
        <w:t xml:space="preserve"> </w:t>
      </w:r>
      <w:r>
        <w:t xml:space="preserve">gun</w:t>
      </w:r>
      <w:r>
        <w:t xml:space="preserve"> </w:t>
      </w:r>
      <w:r>
        <w:t xml:space="preserve">owners</w:t>
      </w:r>
      <w:r>
        <w:t xml:space="preserve"> </w:t>
      </w:r>
      <w:r>
        <w:t xml:space="preserve">have</w:t>
      </w:r>
      <w:r>
        <w:t xml:space="preserve"> </w:t>
      </w:r>
      <w:r>
        <w:t xml:space="preserve">until</w:t>
      </w:r>
      <w:r>
        <w:t xml:space="preserve"> </w:t>
      </w:r>
      <w:r>
        <w:t xml:space="preserve">July</w:t>
      </w:r>
      <w:r>
        <w:t xml:space="preserve"> </w:t>
      </w:r>
      <w:r>
        <w:t xml:space="preserve">1</w:t>
      </w:r>
      <w:r>
        <w:t xml:space="preserve"> </w:t>
      </w:r>
      <w:r>
        <w:t xml:space="preserve">to</w:t>
      </w:r>
      <w:r>
        <w:t xml:space="preserve"> </w:t>
      </w:r>
      <w:r>
        <w:t xml:space="preserve">get</w:t>
      </w:r>
      <w:r>
        <w:t xml:space="preserve"> </w:t>
      </w:r>
      <w:r>
        <w:t xml:space="preserve">rid</w:t>
      </w:r>
      <w:r>
        <w:t xml:space="preserve"> </w:t>
      </w:r>
      <w:r>
        <w:t xml:space="preserve">of</w:t>
      </w:r>
      <w:r>
        <w:t xml:space="preserve"> </w:t>
      </w:r>
      <w:r>
        <w:t xml:space="preserve">high-capacity</w:t>
      </w:r>
      <w:r>
        <w:t xml:space="preserve"> </w:t>
      </w:r>
      <w:r>
        <w:t xml:space="preserve">magazines,</w:t>
      </w:r>
      <w:r>
        <w:t xml:space="preserve"> </w:t>
      </w:r>
      <w:r>
        <w:t xml:space="preserve">10WBNS</w:t>
      </w:r>
      <w:r>
        <w:t xml:space="preserve"> </w:t>
      </w:r>
      <w:r>
        <w:t xml:space="preserve">(March</w:t>
      </w:r>
      <w:r>
        <w:t xml:space="preserve"> </w:t>
      </w:r>
      <w:r>
        <w:t xml:space="preserve">2,</w:t>
      </w:r>
      <w:r>
        <w:t xml:space="preserve"> </w:t>
      </w:r>
      <w:r>
        <w:t xml:space="preserve">2023),</w:t>
      </w:r>
      <w:r>
        <w:t xml:space="preserve"> </w:t>
      </w:r>
      <w:r>
        <w:t xml:space="preserve">https://​www.​10tv.​com/​article/​news/​local/​columbus-​gun-​owners-​have-​until-​july</w:t>
        <w:noBreakHyphen/>
        <w:t xml:space="preserve">1-​get-​rid-​of-​high-​capacity-​magazines/​530</w:t>
        <w:noBreakHyphen/>
        <w:t xml:space="preserve">51c6811f</w:t>
        <w:noBreakHyphen/>
        <w:t xml:space="preserve">60a5</w:t>
        <w:noBreakHyphen/>
        <w:t xml:space="preserve">4c1d-​b567-​f3e553da77fb</w:t>
      </w:r>
      <w:r>
        <w:t xml:space="preserve">   </w:t>
      </w:r>
      <w:r>
        <w:tab/>
      </w:r>
      <w:r>
        <w:t xml:space="preserve">32</w:t>
      </w:r>
    </w:p>
    <w:p>
      <w:pPr>
        <w:keepLines/>
        <w:tabs>
          <w:tab w:val="right" w:leader="dot" w:pos="9360"/>
        </w:tabs>
        <w:spacing w:before="192" w:after="0" w:line="276" w:lineRule="exact"/>
        <w:ind w:left="360" w:right="720" w:hanging="360"/>
      </w:pPr>
      <w:r>
        <w:t xml:space="preserve">National</w:t>
      </w:r>
      <w:r>
        <w:t xml:space="preserve"> </w:t>
      </w:r>
      <w:r>
        <w:t xml:space="preserve">Shooting</w:t>
      </w:r>
      <w:r>
        <w:t xml:space="preserve"> </w:t>
      </w:r>
      <w:r>
        <w:t xml:space="preserve">Sports</w:t>
      </w:r>
      <w:r>
        <w:t xml:space="preserve"> </w:t>
      </w:r>
      <w:r>
        <w:t xml:space="preserve">Foundation,</w:t>
      </w:r>
      <w:r>
        <w:t xml:space="preserve"> </w:t>
      </w:r>
      <w:r>
        <w:t xml:space="preserve">Another</w:t>
      </w:r>
      <w:r>
        <w:t xml:space="preserve"> </w:t>
      </w:r>
      <w:r>
        <w:t xml:space="preserve">Ban</w:t>
      </w:r>
      <w:r>
        <w:t xml:space="preserve"> </w:t>
      </w:r>
      <w:r>
        <w:t xml:space="preserve">on</w:t>
      </w:r>
      <w:r>
        <w:t xml:space="preserve"> </w:t>
      </w:r>
      <w:r>
        <w:t xml:space="preserve">“High-Capacity”</w:t>
      </w:r>
      <w:r>
        <w:t xml:space="preserve"> </w:t>
      </w:r>
      <w:r>
        <w:t xml:space="preserve">Magazines?</w:t>
      </w:r>
      <w:r>
        <w:t xml:space="preserve"> </w:t>
      </w:r>
      <w:r>
        <w:t xml:space="preserve">(2020),</w:t>
      </w:r>
      <w:r>
        <w:t xml:space="preserve"> </w:t>
      </w:r>
      <w:r>
        <w:t xml:space="preserve">https://​www.​nssf.​org/​wp-​content/​uploads/​2021/​03/​NSSF-​factsheet-​High-​Capacity-​Magazines.​pdf</w:t>
      </w:r>
      <w:r>
        <w:t xml:space="preserve">   </w:t>
      </w:r>
      <w:r>
        <w:tab/>
      </w:r>
      <w:r>
        <w:t xml:space="preserve">26</w:t>
      </w:r>
    </w:p>
    <w:p>
      <w:pPr>
        <w:keepLines/>
        <w:tabs>
          <w:tab w:val="right" w:leader="dot" w:pos="9360"/>
        </w:tabs>
        <w:spacing w:before="192" w:after="0" w:line="276" w:lineRule="exact"/>
        <w:ind w:left="360" w:right="720" w:hanging="360"/>
      </w:pPr>
      <w:r>
        <w:t xml:space="preserve">Thomspon,</w:t>
      </w:r>
      <w:r>
        <w:t xml:space="preserve"> </w:t>
      </w:r>
      <w:r>
        <w:t xml:space="preserve">Gun</w:t>
      </w:r>
      <w:r>
        <w:t xml:space="preserve"> </w:t>
      </w:r>
      <w:r>
        <w:t xml:space="preserve">groups:</w:t>
      </w:r>
      <w:r>
        <w:t xml:space="preserve"> </w:t>
      </w:r>
      <w:r>
        <w:t xml:space="preserve">Million-plus</w:t>
      </w:r>
      <w:r>
        <w:t xml:space="preserve"> </w:t>
      </w:r>
      <w:r>
        <w:t xml:space="preserve">extended</w:t>
      </w:r>
      <w:r>
        <w:t xml:space="preserve"> </w:t>
      </w:r>
      <w:r>
        <w:t xml:space="preserve">magazines</w:t>
      </w:r>
      <w:r>
        <w:t xml:space="preserve"> </w:t>
      </w:r>
      <w:r>
        <w:t xml:space="preserve">flood</w:t>
      </w:r>
      <w:r>
        <w:t xml:space="preserve"> </w:t>
      </w:r>
      <w:r>
        <w:t xml:space="preserve">California</w:t>
      </w:r>
      <w:r>
        <w:t xml:space="preserve"> </w:t>
      </w:r>
      <w:r>
        <w:t xml:space="preserve">(Apr.</w:t>
      </w:r>
      <w:r>
        <w:t xml:space="preserve"> </w:t>
      </w:r>
      <w:r>
        <w:t xml:space="preserve">14,</w:t>
      </w:r>
      <w:r>
        <w:t xml:space="preserve"> </w:t>
      </w:r>
      <w:r>
        <w:t xml:space="preserve">2019),</w:t>
      </w:r>
      <w:r>
        <w:t xml:space="preserve"> </w:t>
      </w:r>
      <w:r>
        <w:t xml:space="preserve">https://​www.​vcstar.​com/​story/​news/​2019/​04/​15/​gun-​groups-​million-​plus-​extended-​magazines-​flood-​california/​3443072002/</w:t>
      </w:r>
      <w:r>
        <w:t xml:space="preserve">   </w:t>
      </w:r>
      <w:r>
        <w:tab/>
      </w:r>
      <w:r>
        <w:t xml:space="preserve">26</w:t>
      </w:r>
    </w:p>
    <w:p>
      <w:pPr>
        <w:keepLines/>
        <w:tabs>
          <w:tab w:val="right" w:leader="dot" w:pos="9360"/>
        </w:tabs>
        <w:spacing w:before="192" w:after="0" w:line="276" w:lineRule="exact"/>
        <w:ind w:left="360" w:right="720" w:hanging="360"/>
      </w:pPr>
      <w:r>
        <w:t xml:space="preserve">Vance</w:t>
      </w:r>
      <w:r>
        <w:t xml:space="preserve"> </w:t>
      </w:r>
      <w:r>
        <w:t xml:space="preserve">Outdoors,</w:t>
      </w:r>
      <w:r>
        <w:t xml:space="preserve"> </w:t>
      </w:r>
      <w:r>
        <w:t xml:space="preserve">Rifles,</w:t>
      </w:r>
      <w:r>
        <w:t xml:space="preserve"> </w:t>
      </w:r>
      <w:r>
        <w:t xml:space="preserve">https://​www.​vanceoutdoors.​com/​category.​cfm/​outdoors/​rifles/​CurrentPage/​1</w:t>
      </w:r>
      <w:r>
        <w:t xml:space="preserve">   </w:t>
      </w:r>
      <w:r>
        <w:tab/>
      </w:r>
      <w:r>
        <w:t xml:space="preserve">26</w:t>
      </w:r>
    </w:p>
    <w:p>
      <w:pPr>
        <w:keepLines/>
        <w:tabs>
          <w:tab w:val="right" w:leader="dot" w:pos="9360"/>
        </w:tabs>
        <w:spacing w:before="192" w:after="0" w:line="276" w:lineRule="exact"/>
        <w:ind w:left="360" w:right="720" w:hanging="360"/>
      </w:pPr>
      <w:r>
        <w:t xml:space="preserve">Welsh-Huggins,</w:t>
      </w:r>
      <w:r>
        <w:t xml:space="preserve"> </w:t>
      </w:r>
      <w:r>
        <w:t xml:space="preserve">Judge</w:t>
      </w:r>
      <w:r>
        <w:t xml:space="preserve"> </w:t>
      </w:r>
      <w:r>
        <w:t xml:space="preserve">orders</w:t>
      </w:r>
      <w:r>
        <w:t xml:space="preserve"> </w:t>
      </w:r>
      <w:r>
        <w:t xml:space="preserve">Columbus</w:t>
      </w:r>
      <w:r>
        <w:t xml:space="preserve"> </w:t>
      </w:r>
      <w:r>
        <w:t xml:space="preserve">police</w:t>
      </w:r>
      <w:r>
        <w:t xml:space="preserve"> </w:t>
      </w:r>
      <w:r>
        <w:t xml:space="preserve">to</w:t>
      </w:r>
      <w:r>
        <w:t xml:space="preserve"> </w:t>
      </w:r>
      <w:r>
        <w:t xml:space="preserve">alter</w:t>
      </w:r>
      <w:r>
        <w:t xml:space="preserve"> </w:t>
      </w:r>
      <w:r>
        <w:t xml:space="preserve">tactics</w:t>
      </w:r>
      <w:r>
        <w:t xml:space="preserve"> </w:t>
      </w:r>
      <w:r>
        <w:t xml:space="preserve">for</w:t>
      </w:r>
      <w:r>
        <w:t xml:space="preserve"> </w:t>
      </w:r>
      <w:r>
        <w:t xml:space="preserve">protests,</w:t>
      </w:r>
      <w:r>
        <w:t xml:space="preserve"> </w:t>
      </w:r>
      <w:r>
        <w:t xml:space="preserve">PBS</w:t>
      </w:r>
      <w:r>
        <w:t xml:space="preserve"> </w:t>
      </w:r>
      <w:r>
        <w:t xml:space="preserve">(Apr.</w:t>
      </w:r>
      <w:r>
        <w:t xml:space="preserve"> </w:t>
      </w:r>
      <w:r>
        <w:t xml:space="preserve">30,</w:t>
      </w:r>
      <w:r>
        <w:t xml:space="preserve"> </w:t>
      </w:r>
      <w:r>
        <w:t xml:space="preserve">2021),</w:t>
      </w:r>
      <w:r>
        <w:t xml:space="preserve"> </w:t>
      </w:r>
      <w:r>
        <w:t xml:space="preserve">https://​tinyurl.​com/​alter-​tactics-​for-​protests</w:t>
      </w:r>
      <w:r>
        <w:t xml:space="preserve">   </w:t>
      </w:r>
      <w:r>
        <w:tab/>
      </w:r>
      <w:r>
        <w:t xml:space="preserve">36</w:t>
      </w:r>
    </w:p>
    <w:p>
      <w:pPr>
        <w:keepLines/>
        <w:tabs>
          <w:tab w:val="right" w:leader="dot" w:pos="9360"/>
        </w:tabs>
        <w:spacing w:before="192" w:after="0" w:line="276" w:lineRule="exact"/>
        <w:ind w:left="360" w:right="720" w:hanging="360"/>
      </w:pPr>
      <w:r>
        <w:t xml:space="preserve">Wisevoter,</w:t>
      </w:r>
      <w:r>
        <w:t xml:space="preserve"> </w:t>
      </w:r>
      <w:r>
        <w:t xml:space="preserve">States</w:t>
      </w:r>
      <w:r>
        <w:t xml:space="preserve"> </w:t>
      </w:r>
      <w:r>
        <w:t xml:space="preserve">With</w:t>
      </w:r>
      <w:r>
        <w:t xml:space="preserve"> </w:t>
      </w:r>
      <w:r>
        <w:t xml:space="preserve">Magazine</w:t>
      </w:r>
      <w:r>
        <w:t xml:space="preserve"> </w:t>
      </w:r>
      <w:r>
        <w:t xml:space="preserve">Restrictions,</w:t>
      </w:r>
      <w:r>
        <w:t xml:space="preserve"> </w:t>
      </w:r>
      <w:r>
        <w:t xml:space="preserve">https://​wisevoter.​com/​state-​rankings/​states-​with-​magazine-​restrictions/</w:t>
      </w:r>
      <w:r>
        <w:t xml:space="preserve">   </w:t>
      </w:r>
      <w:r>
        <w:tab/>
      </w:r>
      <w:r>
        <w:t xml:space="preserve">25</w:t>
      </w:r>
    </w:p>
    <w:p>
      <w:pPr>
        <w:pageBreakBefore/>
        <w:spacing w:before="0" w:after="0" w:line="1" w:lineRule="exact"/>
      </w:pPr>
    </w:p>
    <w:p>
      <w:pPr>
        <w:keepNext/>
        <w:keepLines/>
        <w:spacing w:before="0" w:after="192" w:line="276"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pStyle w:val="XdList1"/>
      </w:pPr>
      <w:r>
        <w:t xml:space="preserve">1.</w:t>
      </w:r>
      <w:r>
        <w:tab/>
      </w:r>
      <w:r>
        <w:t xml:space="preserve">Did the trial court err when it granted Plaintiffs leave to proceed under pseudonyms to protect Plaintiffs from prosecution by the government entity whose unconstitutional ordinances they challenge, as permitted by the Ohio Supreme Court?</w:t>
      </w:r>
    </w:p>
    <w:p>
      <w:pPr>
        <w:pStyle w:val="XdList1"/>
      </w:pPr>
      <w:r>
        <w:t xml:space="preserve">2.</w:t>
      </w:r>
      <w:r>
        <w:tab/>
      </w:r>
      <w:r>
        <w:t xml:space="preserve">Did the trial court err when it determined that the jurisdictional-priority rule does not deprive the court of subject matter jurisdiction where Plaintiffs are not parties to the Defendants’ previous cases and are individuals not substantially the same as the State in those cases?</w:t>
      </w:r>
    </w:p>
    <w:p>
      <w:pPr>
        <w:pStyle w:val="XdList1"/>
      </w:pPr>
      <w:r>
        <w:t xml:space="preserve">3.</w:t>
      </w:r>
      <w:r>
        <w:tab/>
      </w:r>
      <w:r>
        <w:t xml:space="preserve">Did the trial court err when it determined that Plaintiffs have standing to challenge unlawful ordinances that would deprive them of the right to bear arms and their personally possessed firearm magazines?</w:t>
      </w:r>
    </w:p>
    <w:p>
      <w:pPr>
        <w:pStyle w:val="XdList1"/>
      </w:pPr>
      <w:r>
        <w:t xml:space="preserve">4.</w:t>
      </w:r>
      <w:r>
        <w:tab/>
      </w:r>
      <w:r>
        <w:t xml:space="preserve">Did the trial court err when it interpreted the Ohio Constitution in light of the Second Amendment as required by the Ohio Supreme Court for individual rights that have been incorporated to the states by the U.S. Supreme Court?</w:t>
      </w:r>
    </w:p>
    <w:p>
      <w:pPr>
        <w:pStyle w:val="XdList1"/>
      </w:pPr>
      <w:r>
        <w:t xml:space="preserve">5.</w:t>
      </w:r>
      <w:r>
        <w:tab/>
      </w:r>
      <w:r>
        <w:t xml:space="preserve">Did the trial court err when it determined that Plaintiffs were entitled to a preliminary injunction based on signed and notarized affidavits—as allowed by the Ohio Supreme Court, the rules of civil procedure, and the Revised Code—and other evidence placed in the record at the preliminary injunction hearing?</w:t>
      </w:r>
    </w:p>
    <w:p>
      <w:pPr>
        <w:keepNext/>
        <w:keepLines/>
        <w:spacing w:before="288" w:after="192" w:line="276"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FOR</w:t>
      </w:r>
      <w:r>
        <w:rPr>
          <w:b/>
          <w:bCs/>
        </w:rPr>
        <w:t xml:space="preserve"> </w:t>
      </w:r>
      <w:r>
        <w:rPr>
          <w:b/>
          <w:bCs/>
        </w:rPr>
        <w:t xml:space="preserve">REVIEW</w:t>
      </w:r>
    </w:p>
    <w:p>
      <w:pPr>
        <w:pStyle w:val="BodyText"/>
      </w:pPr>
      <w:r>
        <w:t xml:space="preserve">This appeal presents the following issues for review:</w:t>
      </w:r>
    </w:p>
    <w:p>
      <w:pPr>
        <w:pStyle w:val="XdList1"/>
      </w:pPr>
      <w:r>
        <w:t xml:space="preserve">1.</w:t>
      </w:r>
      <w:r>
        <w:tab/>
      </w:r>
      <w:r>
        <w:t xml:space="preserve">Whether pseudonymous plaintiffs can invoke the subject matter jurisdiction of a state common pleas court where the General Assembly has not limited the common pleas courts’ jurisdiction?</w:t>
      </w:r>
    </w:p>
    <w:p>
      <w:pPr>
        <w:pStyle w:val="XdList1"/>
      </w:pPr>
      <w:r>
        <w:t xml:space="preserve">2.</w:t>
      </w:r>
      <w:r>
        <w:tab/>
      </w:r>
      <w:r>
        <w:t xml:space="preserve">Whether a trial court can hear a case involving individual plaintiffs when a court of concurrent jurisdiction in a different county is already hearing a similar case in which the individual plaintiffs are not involved, and the only parties involved are government entities?</w:t>
      </w:r>
    </w:p>
    <w:p>
      <w:pPr>
        <w:pStyle w:val="XdList1"/>
      </w:pPr>
      <w:r>
        <w:t xml:space="preserve">3.</w:t>
      </w:r>
      <w:r>
        <w:tab/>
      </w:r>
      <w:r>
        <w:t xml:space="preserve">Whether a trial court can issue a preliminary injunction where the plaintiffs claim that the defendants’ ordinances unconstitutionally and in violation of state law deprive them of their individual rights to keep and bear arms?</w:t>
      </w:r>
    </w:p>
    <w:p>
      <w:pPr>
        <w:pStyle w:val="XdList1"/>
      </w:pPr>
      <w:r>
        <w:t xml:space="preserve">4.</w:t>
      </w:r>
      <w:r>
        <w:tab/>
      </w:r>
      <w:r>
        <w:t xml:space="preserve">Whether a trial court can interpret the Ohio Constitution in light of the Federal Constitution where the Ohio Supreme Court has demanded such interpretation once a federal constitutional right has been incorporated to the states?</w:t>
      </w:r>
    </w:p>
    <w:p>
      <w:pPr>
        <w:pStyle w:val="XdList1"/>
      </w:pPr>
      <w:r>
        <w:t xml:space="preserve">5.</w:t>
      </w:r>
      <w:r>
        <w:tab/>
      </w:r>
      <w:r>
        <w:t xml:space="preserve">Whether a trial court can issue a preliminary injunction based on signed and notarized affidavits—as allowed by the Ohio Supreme Court, the rules of civil procedure, and the Revised Code—and other evidence placed in the record at the preliminary injunction hearing?</w:t>
      </w:r>
    </w:p>
    <w:p>
      <w:pPr>
        <w:keepNext/>
        <w:keepLines/>
        <w:spacing w:before="288" w:after="192" w:line="276" w:lineRule="exact"/>
        <w:ind w:left="0" w:firstLine="0"/>
        <w:jc w:val="left"/>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trial court’s decision to grant or deny a preliminary injunction is reviewed for abuse of discretion.”</w:t>
      </w:r>
      <w:r>
        <w:t xml:space="preserve"> </w:t>
      </w:r>
      <w:r>
        <w:rPr>
          <w:i/>
          <w:iCs/>
        </w:rPr>
        <w:t xml:space="preserve">Avery Dennison</w:t>
      </w:r>
      <w:r>
        <w:rPr>
          <w:i/>
          <w:iCs/>
        </w:rPr>
        <w:t xml:space="preserve"> </w:t>
      </w:r>
      <w:r>
        <w:rPr>
          <w:i/>
          <w:iCs/>
        </w:rPr>
        <w:t xml:space="preserve">Corp. v. TransAct Techs., Inc.</w:t>
      </w:r>
      <w:r>
        <w:t xml:space="preserve">, 11th Dist. Lake No. 2012-L</w:t>
      </w:r>
      <w:r>
        <w:noBreakHyphen/>
      </w:r>
      <w:r>
        <w:t xml:space="preserve">132, 2013-Ohio</w:t>
      </w:r>
      <w:r>
        <w:noBreakHyphen/>
      </w:r>
      <w:r>
        <w:t xml:space="preserve">4551, ¶ 13. The decision as to whether or not a statute is constitutional presents a question of law and is reviewed under a de novo standard.</w:t>
      </w:r>
      <w:r>
        <w:t xml:space="preserve"> </w:t>
      </w:r>
      <w:r>
        <w:rPr>
          <w:i/>
          <w:iCs/>
        </w:rPr>
        <w:t xml:space="preserve">Wilson v. AC&amp;S,</w:t>
      </w:r>
      <w:r>
        <w:rPr>
          <w:i/>
          <w:iCs/>
        </w:rPr>
        <w:t xml:space="preserve"> </w:t>
      </w:r>
      <w:r>
        <w:rPr>
          <w:i/>
          <w:iCs/>
        </w:rPr>
        <w:t xml:space="preserve">Inc.</w:t>
      </w:r>
      <w:r>
        <w:t xml:space="preserve">, 169 Ohio App.3d 720, 2006-Ohio</w:t>
      </w:r>
      <w:r>
        <w:noBreakHyphen/>
      </w:r>
      <w:r>
        <w:t xml:space="preserve">6704, 864 N.E.2d 682, ¶ 61 (12th Dist.). Legislative enactments must be overturned when “there is a clear conflict between the legislation * * * and some particular provision or provisions of the Constitution.”</w:t>
      </w:r>
      <w:r>
        <w:t xml:space="preserve"> </w:t>
      </w:r>
      <w:r>
        <w:rPr>
          <w:i/>
          <w:iCs/>
        </w:rPr>
        <w:t xml:space="preserve">Id.</w:t>
      </w:r>
      <w:r>
        <w:t xml:space="preserve">, quoting</w:t>
      </w:r>
      <w:r>
        <w:t xml:space="preserve"> </w:t>
      </w:r>
      <w:r>
        <w:rPr>
          <w:i/>
          <w:iCs/>
        </w:rPr>
        <w:t xml:space="preserve">City of Xenia</w:t>
      </w:r>
      <w:r>
        <w:rPr>
          <w:i/>
          <w:iCs/>
        </w:rPr>
        <w:t xml:space="preserve"> </w:t>
      </w:r>
      <w:r>
        <w:rPr>
          <w:i/>
          <w:iCs/>
        </w:rPr>
        <w:t xml:space="preserve">v. Schmidt</w:t>
      </w:r>
      <w:r>
        <w:t xml:space="preserve">, 101 Ohio St. 437, 130 N.E. 24 (1920).</w:t>
      </w:r>
    </w:p>
    <w:p>
      <w:pPr>
        <w:keepNext/>
        <w:keepLines/>
        <w:spacing w:before="288" w:after="192"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had</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p>
    <w:p>
      <w:pPr>
        <w:keepNext/>
        <w:keepLines/>
        <w:spacing w:before="240" w:after="192" w:line="276" w:lineRule="exact"/>
        <w:ind w:left="720" w:hanging="720"/>
        <w:jc w:val="left"/>
      </w:pPr>
      <w:r>
        <w:rPr>
          <w:b/>
          <w:bCs/>
        </w:rPr>
        <w:t xml:space="preserve">A.</w:t>
      </w:r>
      <w:r>
        <w:rPr>
          <w:b/>
          <w:bCs/>
        </w:rPr>
        <w:t xml:space="preserve"> </w:t>
      </w:r>
      <w:r>
        <w:rPr>
          <w:b/>
          <w:bCs/>
        </w:rPr>
        <w:t xml:space="preserve">Plaintiffs’</w:t>
      </w:r>
      <w:r>
        <w:rPr>
          <w:b/>
          <w:bCs/>
        </w:rPr>
        <w:t xml:space="preserve"> </w:t>
      </w:r>
      <w:r>
        <w:rPr>
          <w:b/>
          <w:bCs/>
        </w:rPr>
        <w:t xml:space="preserve">anonymous</w:t>
      </w:r>
      <w:r>
        <w:rPr>
          <w:b/>
          <w:bCs/>
        </w:rPr>
        <w:t xml:space="preserve"> </w:t>
      </w:r>
      <w:r>
        <w:rPr>
          <w:b/>
          <w:bCs/>
        </w:rPr>
        <w:t xml:space="preserve">complaint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divest</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Ohio</w:t>
      </w:r>
      <w:r>
        <w:rPr>
          <w:b/>
          <w:bCs/>
          <w:i/>
          <w:iCs/>
        </w:rPr>
        <w:t xml:space="preserve"> </w:t>
      </w:r>
      <w:r>
        <w:rPr>
          <w:b/>
          <w:bCs/>
          <w:i/>
          <w:iCs/>
        </w:rPr>
        <w:t xml:space="preserve">Supreme</w:t>
      </w:r>
      <w:r>
        <w:rPr>
          <w:b/>
          <w:bCs/>
          <w:i/>
          <w:iCs/>
        </w:rPr>
        <w:t xml:space="preserve"> </w:t>
      </w:r>
      <w:r>
        <w:rPr>
          <w:b/>
          <w:bCs/>
          <w:i/>
          <w:iCs/>
        </w:rPr>
        <w:t xml:space="preserve">Court</w:t>
      </w:r>
      <w:r>
        <w:rPr>
          <w:b/>
          <w:bCs/>
          <w:i/>
          <w:iCs/>
        </w:rPr>
        <w:t xml:space="preserve"> </w:t>
      </w:r>
      <w:r>
        <w:rPr>
          <w:b/>
          <w:bCs/>
          <w:i/>
          <w:iCs/>
        </w:rPr>
        <w:t xml:space="preserve">has</w:t>
      </w:r>
      <w:r>
        <w:rPr>
          <w:b/>
          <w:bCs/>
          <w:i/>
          <w:iCs/>
        </w:rPr>
        <w:t xml:space="preserve"> </w:t>
      </w:r>
      <w:r>
        <w:rPr>
          <w:b/>
          <w:bCs/>
          <w:i/>
          <w:iCs/>
        </w:rPr>
        <w:t xml:space="preserve">sanctioned</w:t>
      </w:r>
      <w:r>
        <w:rPr>
          <w:b/>
          <w:bCs/>
          <w:i/>
          <w:iCs/>
        </w:rPr>
        <w:t xml:space="preserve"> </w:t>
      </w:r>
      <w:r>
        <w:rPr>
          <w:b/>
          <w:bCs/>
          <w:i/>
          <w:iCs/>
        </w:rPr>
        <w:t xml:space="preserve">the</w:t>
      </w:r>
      <w:r>
        <w:rPr>
          <w:b/>
          <w:bCs/>
          <w:i/>
          <w:iCs/>
        </w:rPr>
        <w:t xml:space="preserve"> </w:t>
      </w:r>
      <w:r>
        <w:rPr>
          <w:b/>
          <w:bCs/>
          <w:i/>
          <w:iCs/>
        </w:rPr>
        <w:t xml:space="preserve">use</w:t>
      </w:r>
      <w:r>
        <w:rPr>
          <w:b/>
          <w:bCs/>
          <w:i/>
          <w:iCs/>
        </w:rPr>
        <w:t xml:space="preserve"> </w:t>
      </w:r>
      <w:r>
        <w:rPr>
          <w:b/>
          <w:bCs/>
          <w:i/>
          <w:iCs/>
        </w:rPr>
        <w:t xml:space="preserve">of</w:t>
      </w:r>
      <w:r>
        <w:rPr>
          <w:b/>
          <w:bCs/>
          <w:i/>
          <w:iCs/>
        </w:rPr>
        <w:t xml:space="preserve"> </w:t>
      </w:r>
      <w:r>
        <w:rPr>
          <w:b/>
          <w:bCs/>
          <w:i/>
          <w:iCs/>
        </w:rPr>
        <w:t xml:space="preserve">pseudonyms</w:t>
      </w:r>
      <w:r>
        <w:rPr>
          <w:b/>
          <w:bCs/>
          <w:i/>
          <w:iCs/>
        </w:rPr>
        <w:t xml:space="preserve"> </w:t>
      </w:r>
      <w:r>
        <w:rPr>
          <w:b/>
          <w:bCs/>
          <w:i/>
          <w:iCs/>
        </w:rPr>
        <w:t xml:space="preserve">by</w:t>
      </w:r>
      <w:r>
        <w:rPr>
          <w:b/>
          <w:bCs/>
          <w:i/>
          <w:iCs/>
        </w:rPr>
        <w:t xml:space="preserve"> </w:t>
      </w:r>
      <w:r>
        <w:rPr>
          <w:b/>
          <w:bCs/>
          <w:i/>
          <w:iCs/>
        </w:rPr>
        <w:t xml:space="preserve">plaintiffs.</w:t>
      </w:r>
    </w:p>
    <w:p>
      <w:pPr>
        <w:pStyle w:val="BodyTextNote"/>
      </w:pPr>
      <w:r>
        <w:t xml:space="preserve">The men who went by Publius, Brutus, and Federal Farmer—the names synonymous with the founding of our Country—were not “fictitious” individuals,</w:t>
      </w:r>
      <w:r>
        <w:rPr>
          <w:rStyle w:val="FootnoteReference"/>
        </w:rPr>
        <w:footnoteReference w:id="9"/>
      </w:r>
      <w:r>
        <w:t xml:space="preserve"> </w:t>
      </w:r>
      <w:r>
        <w:t xml:space="preserve">but instead, Alexander Hamilton, James Madison, John Jay, Robert Yates, and Richard Henry Lee using pseudonyms to protect their identities. Likewise, here, and contrary to Defendants’ assertions, Plaintiffs are very much real individuals who brought this action using pseudonyms to protect their identities from the government entities that threatened to prosecute Plaintiffs for their admitted violations of Defendants’ unlawful ordinances.</w:t>
      </w:r>
    </w:p>
    <w:p>
      <w:pPr>
        <w:pStyle w:val="BodyText"/>
      </w:pPr>
      <w:r>
        <w:t xml:space="preserve">“The practice of proceeding under a pseudonym is well established in Ohio * * *.”</w:t>
      </w:r>
      <w:r>
        <w:t xml:space="preserve"> </w:t>
      </w:r>
      <w:r>
        <w:rPr>
          <w:i/>
          <w:iCs/>
        </w:rPr>
        <w:t xml:space="preserve">Doe v. Bruner</w:t>
      </w:r>
      <w:r>
        <w:t xml:space="preserve">, 12th Dist. Clinton No. CA2011–07–013, 2012-Ohio</w:t>
      </w:r>
      <w:r>
        <w:noBreakHyphen/>
      </w:r>
      <w:r>
        <w:t xml:space="preserve">761, ¶ 4, citing</w:t>
      </w:r>
      <w:r>
        <w:t xml:space="preserve"> </w:t>
      </w:r>
      <w:r>
        <w:rPr>
          <w:i/>
          <w:iCs/>
        </w:rPr>
        <w:t xml:space="preserve">Doe v. Shaffer</w:t>
      </w:r>
      <w:r>
        <w:t xml:space="preserve">, 90 Ohio St.3d 388, 738 N.E.2d 1243 (2000) (noting the plaintiff’s name has been changed);</w:t>
      </w:r>
      <w:r>
        <w:t xml:space="preserve"> </w:t>
      </w:r>
      <w:r>
        <w:rPr>
          <w:i/>
          <w:iCs/>
        </w:rPr>
        <w:t xml:space="preserve">Doe v. George</w:t>
      </w:r>
      <w:r>
        <w:t xml:space="preserve">, 12th Dist. Warren No. CA2011–03–022, 2011-Ohio</w:t>
      </w:r>
      <w:r>
        <w:noBreakHyphen/>
      </w:r>
      <w:r>
        <w:t xml:space="preserve">6795 (allowing but not commenting on use of pseudonyms for plaintiffs). Just last year, the Ohio Supreme Court again recognized that a court may excuse a plaintiff from identifying him or herself in certain situations.</w:t>
      </w:r>
      <w:r>
        <w:t xml:space="preserve"> </w:t>
      </w:r>
      <w:r>
        <w:rPr>
          <w:i/>
          <w:iCs/>
        </w:rPr>
        <w:t xml:space="preserve">State ex rel. Cincinnati Enquirer v. Shanahan</w:t>
      </w:r>
      <w:r>
        <w:t xml:space="preserve">, 166 Ohio St.3d 382, 2022-Ohio</w:t>
      </w:r>
      <w:r>
        <w:noBreakHyphen/>
      </w:r>
      <w:r>
        <w:t xml:space="preserve">448, 185 N.E.3d 1089, ¶ 36.</w:t>
      </w:r>
    </w:p>
    <w:p>
      <w:pPr>
        <w:pStyle w:val="BodyText"/>
      </w:pPr>
      <w:r>
        <w:t xml:space="preserve">When a plaintiff’s “privacy interests substantially outweigh the presumption of open judicial proceedings,” the court may allow the plaintiff to proceed under a pseudonym.</w:t>
      </w:r>
      <w:r>
        <w:t xml:space="preserve"> </w:t>
      </w:r>
      <w:r>
        <w:rPr>
          <w:i/>
          <w:iCs/>
        </w:rPr>
        <w:t xml:space="preserve">Id.</w:t>
      </w:r>
      <w:r>
        <w:t xml:space="preserve">, quoting</w:t>
      </w:r>
      <w:r>
        <w:t xml:space="preserve"> </w:t>
      </w:r>
      <w:r>
        <w:rPr>
          <w:i/>
          <w:iCs/>
        </w:rPr>
        <w:t xml:space="preserve">Doe v. Porter</w:t>
      </w:r>
      <w:r>
        <w:t xml:space="preserve">, 370 F.3d 558, 560 (6th Cir.2004).</w:t>
      </w:r>
      <w:r>
        <w:t xml:space="preserve"> </w:t>
      </w:r>
      <w:r>
        <w:rPr>
          <w:i/>
          <w:iCs/>
        </w:rPr>
        <w:t xml:space="preserve">Shanahan</w:t>
      </w:r>
      <w:r>
        <w:t xml:space="preserve"> </w:t>
      </w:r>
      <w:r>
        <w:t xml:space="preserve">looked to two factors: (1) the threat of retaliation and (2) public disclosure.</w:t>
      </w:r>
      <w:r>
        <w:t xml:space="preserve"> </w:t>
      </w:r>
      <w:r>
        <w:rPr>
          <w:i/>
          <w:iCs/>
        </w:rPr>
        <w:t xml:space="preserve">Id.</w:t>
      </w:r>
      <w:r>
        <w:t xml:space="preserve"> </w:t>
      </w:r>
      <w:r>
        <w:t xml:space="preserve">at ¶ 36. Both of those factors support proceeding pseudonymously here.</w:t>
      </w:r>
    </w:p>
    <w:p>
      <w:pPr>
        <w:pStyle w:val="BodyText"/>
      </w:pPr>
      <w:r>
        <w:rPr>
          <w:i/>
          <w:iCs/>
        </w:rPr>
        <w:t xml:space="preserve">Shanahan</w:t>
      </w:r>
      <w:r>
        <w:t xml:space="preserve"> </w:t>
      </w:r>
      <w:r>
        <w:t xml:space="preserve">considered the following to address the protection against a threat of retaliation:</w:t>
      </w:r>
    </w:p>
    <w:p>
      <w:pPr>
        <w:pStyle w:val="BodyText"/>
      </w:pPr>
      <w:r>
        <w:t xml:space="preserve">“(1) the severity of the threatened harm, (2) the reasonableness of the anonymous party’s fears, and (3) the anonymous party’s vulnerability to such retaliation.”</w:t>
      </w:r>
      <w:r>
        <w:t xml:space="preserve"> </w:t>
      </w:r>
      <w:r>
        <w:rPr>
          <w:i/>
          <w:iCs/>
        </w:rPr>
        <w:t xml:space="preserve">Id.</w:t>
      </w:r>
      <w:r>
        <w:t xml:space="preserve"> </w:t>
      </w:r>
      <w:r>
        <w:t xml:space="preserve">at ¶ 38, quoting</w:t>
      </w:r>
      <w:r>
        <w:t xml:space="preserve"> </w:t>
      </w:r>
      <w:r>
        <w:rPr>
          <w:i/>
          <w:iCs/>
        </w:rPr>
        <w:t xml:space="preserve">Does I thru XXIII v. Advanced Textile</w:t>
      </w:r>
      <w:r>
        <w:rPr>
          <w:i/>
          <w:iCs/>
        </w:rPr>
        <w:t xml:space="preserve"> </w:t>
      </w:r>
      <w:r>
        <w:rPr>
          <w:i/>
          <w:iCs/>
        </w:rPr>
        <w:t xml:space="preserve">Corp.</w:t>
      </w:r>
      <w:r>
        <w:t xml:space="preserve">, 214 F.3d 1058, 1068 (9th Cir.2000) (internal quotation marks omitted).</w:t>
      </w:r>
    </w:p>
    <w:p>
      <w:pPr>
        <w:pStyle w:val="BodyText"/>
      </w:pPr>
      <w:r>
        <w:t xml:space="preserve">Here, Plaintiffs satisfy these considerations. The threatened harm is severe—it is a mandatory six-month incarceration and a $1,500 fine. Columbus City Code 2323.32,</w:t>
      </w:r>
      <w:r>
        <w:t xml:space="preserve"> </w:t>
      </w:r>
      <w:r>
        <w:t xml:space="preserve">Compl. Ex. A at 5–6.</w:t>
      </w:r>
    </w:p>
    <w:p>
      <w:pPr>
        <w:pStyle w:val="BodyTextNote"/>
      </w:pPr>
      <w:r>
        <w:t xml:space="preserve">As to the second and third considerations, because Plaintiffs have attested to their possession of banned magazines within the city of Columbus, the city would have probable cause to arrest Plaintiffs pursuant to an unlawful ordinance if they were identified. This threat is not speculative. Defendants submitted evidence below of the city’s indictment of an individual for violating the ordinance, Prelim. Inj. Hr’g Defs.’ Ex. 3, thus demonstrating Defendants’ intent to enforce the challenged ordinances.</w:t>
      </w:r>
      <w:r>
        <w:rPr>
          <w:rStyle w:val="FootnoteReference"/>
        </w:rPr>
        <w:footnoteReference w:id="10"/>
      </w:r>
      <w:r>
        <w:t xml:space="preserve"> </w:t>
      </w:r>
      <w:r>
        <w:t xml:space="preserve">Further, Defendant City Attorney Zach Klein</w:t>
      </w:r>
      <w:r>
        <w:t xml:space="preserve"> </w:t>
      </w:r>
      <w:r>
        <w:t xml:space="preserve">threatened to “enforce [the magazine ban] by seeing it on site.” Ferenchik</w:t>
      </w:r>
      <w:r>
        <w:t xml:space="preserve"> </w:t>
      </w:r>
      <w:r>
        <w:t xml:space="preserve">and Lagatta, Columbus gun owners wary of city’s new ammunition restriction, Columbus Dispatch (Mar. 8, 2023), https://​www.​dispatch.​com/​story/​news/​local/​2023/​03/​08/​columbus-​gun-​owners-​wary-​of-​citys-​new-​ammunition-​restriction/​69958312007/​.</w:t>
      </w:r>
    </w:p>
    <w:p>
      <w:pPr>
        <w:pStyle w:val="BodyText"/>
      </w:pPr>
      <w:r>
        <w:t xml:space="preserve">Plaintiffs also satisfy factor two of the</w:t>
      </w:r>
      <w:r>
        <w:t xml:space="preserve"> </w:t>
      </w:r>
      <w:r>
        <w:rPr>
          <w:i/>
          <w:iCs/>
        </w:rPr>
        <w:t xml:space="preserve">Shanahan</w:t>
      </w:r>
      <w:r>
        <w:t xml:space="preserve"> </w:t>
      </w:r>
      <w:r>
        <w:t xml:space="preserve">test: there has been no public disclosure of Plaintiffs’ identities to anyone outside of Plaintiffs’ counsel, and the notaries who attested to Plaintiffs’ existence and names.</w:t>
      </w:r>
    </w:p>
    <w:p>
      <w:pPr>
        <w:pStyle w:val="BodyText"/>
      </w:pPr>
      <w:r>
        <w:t xml:space="preserve">Thus, the</w:t>
      </w:r>
      <w:r>
        <w:t xml:space="preserve"> </w:t>
      </w:r>
      <w:r>
        <w:rPr>
          <w:i/>
          <w:iCs/>
        </w:rPr>
        <w:t xml:space="preserve">Shanahan</w:t>
      </w:r>
      <w:r>
        <w:t xml:space="preserve"> </w:t>
      </w:r>
      <w:r>
        <w:t xml:space="preserve">test authorizes Plaintiffs to proceed pseudonymously.</w:t>
      </w:r>
    </w:p>
    <w:p>
      <w:pPr>
        <w:pStyle w:val="BodyTextNote"/>
      </w:pPr>
      <w:r>
        <w:t xml:space="preserve">Despite clear Ohio law permitting anonymous plaintiffs, Defendants insist on presenting federal case law. But even federal courts allow plaintiffs to sue pseudonymously.</w:t>
      </w:r>
      <w:r>
        <w:rPr>
          <w:rStyle w:val="FootnoteReference"/>
        </w:rPr>
        <w:footnoteReference w:id="11"/>
      </w:r>
    </w:p>
    <w:p>
      <w:pPr>
        <w:pStyle w:val="BodyText"/>
      </w:pPr>
      <w:r>
        <w:t xml:space="preserve">In</w:t>
      </w:r>
      <w:r>
        <w:t xml:space="preserve"> </w:t>
      </w:r>
      <w:r>
        <w:rPr>
          <w:i/>
          <w:iCs/>
        </w:rPr>
        <w:t xml:space="preserve">Sealed Plaintiff</w:t>
      </w:r>
      <w:r>
        <w:rPr>
          <w:i/>
          <w:iCs/>
        </w:rPr>
        <w:t xml:space="preserve"> </w:t>
      </w:r>
      <w:r>
        <w:rPr>
          <w:i/>
          <w:iCs/>
        </w:rPr>
        <w:t xml:space="preserve">v. Sealed Defendant</w:t>
      </w:r>
      <w:r>
        <w:t xml:space="preserve">, 537 F.3d 185 (2nd Cir.2008), cited by the Ohio Supreme Court, the court looked to the following:</w:t>
      </w:r>
    </w:p>
    <w:p>
      <w:pPr>
        <w:pStyle w:val="XdQuoteOnly"/>
      </w:pPr>
      <w:r>
        <w:t xml:space="preserve">(1) “whether identification presents other harms and the likely severity of those harms, including whether ‘the injury litigated against would be incurred as a result of the disclosure of the plaintiff’s identity’”;</w:t>
      </w:r>
    </w:p>
    <w:p>
      <w:pPr>
        <w:pStyle w:val="XdQuoteOnly"/>
      </w:pPr>
      <w:r>
        <w:t xml:space="preserve">(2) “whether the suit is challenging the actions of the government or that of private parties”;</w:t>
      </w:r>
    </w:p>
    <w:p>
      <w:pPr>
        <w:pStyle w:val="XdQuoteOnly"/>
      </w:pPr>
      <w:r>
        <w:t xml:space="preserve">(3) “whether the plaintiff’s identity has thus far been kept confidential”;</w:t>
      </w:r>
    </w:p>
    <w:p>
      <w:pPr>
        <w:pStyle w:val="XdQuoteOnly"/>
      </w:pPr>
      <w:r>
        <w:t xml:space="preserve">(4) “whether the public’s interest in the litigation is furthered by requiring the plaintiff to disclose his identity” or “‘whether, because of the purely legal nature of the issues presented or otherwise, there is an atypically weak public interest in knowing the litigants’ identities’”;</w:t>
      </w:r>
    </w:p>
    <w:p>
      <w:pPr>
        <w:pStyle w:val="XdQuoteOnly"/>
      </w:pPr>
      <w:r>
        <w:t xml:space="preserve">(5) “whether the defendant is prejudiced by allowing the plaintiff to press his claims anonymously * * *”; and</w:t>
      </w:r>
    </w:p>
    <w:p>
      <w:pPr>
        <w:pStyle w:val="XdQuoteOnly"/>
      </w:pPr>
      <w:r>
        <w:t xml:space="preserve">(6) “whether there are any alternative mechanisms for protecting the confidentiality of the plaintiff.”</w:t>
      </w:r>
    </w:p>
    <w:p>
      <w:pPr>
        <w:pStyle w:val="BodyText"/>
      </w:pPr>
      <w:r>
        <w:rPr>
          <w:i/>
          <w:iCs/>
        </w:rPr>
        <w:t xml:space="preserve">Sealed Plaintiff</w:t>
      </w:r>
      <w:r>
        <w:t xml:space="preserve"> </w:t>
      </w:r>
      <w:r>
        <w:t xml:space="preserve">at 190 (internal citations omitted). Every one of these factors militates in favor of Plaintiffs’ proceeding pseudonymously.</w:t>
      </w:r>
    </w:p>
    <w:p>
      <w:pPr>
        <w:pStyle w:val="BodyText"/>
      </w:pPr>
      <w:r>
        <w:t xml:space="preserve">As discussed above, Plaintiffs satisfy the first</w:t>
      </w:r>
      <w:r>
        <w:t xml:space="preserve"> </w:t>
      </w:r>
      <w:r>
        <w:rPr>
          <w:i/>
          <w:iCs/>
        </w:rPr>
        <w:t xml:space="preserve">Sealed Plaintiff</w:t>
      </w:r>
      <w:r>
        <w:t xml:space="preserve"> </w:t>
      </w:r>
      <w:r>
        <w:t xml:space="preserve">factor.</w:t>
      </w:r>
    </w:p>
    <w:p>
      <w:pPr>
        <w:pStyle w:val="BodyText"/>
      </w:pPr>
      <w:r>
        <w:t xml:space="preserve">Second, the suit challenges the actions of the government defendants. The government does not need Plaintiffs’ identities to defend itself. The only relevant facts are that Plaintiffs are residents of Columbus and are impacted by the ordinances—facts established by sworn affidavits.</w:t>
      </w:r>
    </w:p>
    <w:p>
      <w:pPr>
        <w:pStyle w:val="BodyText"/>
      </w:pPr>
      <w:r>
        <w:t xml:space="preserve">Third, there has been no public disclosure of the Plaintiffs’ identities. Further, unlike</w:t>
      </w:r>
      <w:r>
        <w:t xml:space="preserve"> </w:t>
      </w:r>
      <w:r>
        <w:rPr>
          <w:i/>
          <w:iCs/>
        </w:rPr>
        <w:t xml:space="preserve">Allison Publications,</w:t>
      </w:r>
      <w:r>
        <w:rPr>
          <w:i/>
          <w:iCs/>
        </w:rPr>
        <w:t xml:space="preserve"> </w:t>
      </w:r>
      <w:r>
        <w:rPr>
          <w:i/>
          <w:iCs/>
        </w:rPr>
        <w:t xml:space="preserve">LLC v. Doe</w:t>
      </w:r>
      <w:r>
        <w:t xml:space="preserve">, 654 S.W.3d 210 (Tex.App.2022), cited by Defendants, where the plaintiff’s counsel did not know the identity of his client, counsel for Plaintiffs here are aware of Plaintiffs’ identities and their legitimacy.</w:t>
      </w:r>
    </w:p>
    <w:p>
      <w:pPr>
        <w:pStyle w:val="BodyText"/>
      </w:pPr>
      <w:r>
        <w:t xml:space="preserve">Fourth, the public has no need to know the identities of the affected individuals. Rather, the public has a strong interest in seeing unlawful and unconstitutional criminal laws challenged without forcing Plaintiffs to subject themselves to criminal prosecution first.</w:t>
      </w:r>
      <w:r>
        <w:t xml:space="preserve"> </w:t>
      </w:r>
      <w:r>
        <w:rPr>
          <w:i/>
          <w:iCs/>
        </w:rPr>
        <w:t xml:space="preserve">See Susan B. Anthony List v. Driehaus</w:t>
      </w:r>
      <w:r>
        <w:t xml:space="preserve">, 573 U.S. 149, 163 (2014). Indeed, the public benefits from Plaintiffs’ establishing whether others will need to divest themselves of supposedly illegal items without anyone being arrested or prosecuted. Plaintiffs’ affidavits establish their possession of the banned magazines and their firearms storage methods, which are the only essential facts in this case. Whether (1) the ordinances violate R.C. 9.68,</w:t>
      </w:r>
      <w:r>
        <w:t xml:space="preserve"> </w:t>
      </w:r>
      <w:r>
        <w:t xml:space="preserve">and (2) the ordinances violate Article I, Section 4 of the Ohio Constitution are purely legal determinations that will not change based on the identity of Plaintiffs.</w:t>
      </w:r>
    </w:p>
    <w:p>
      <w:pPr>
        <w:pStyle w:val="BodyText"/>
      </w:pPr>
      <w:r>
        <w:t xml:space="preserve">Fifth, there will be no prejudice to Defendants. The affidavits, permitted for a preliminary injunction, establish the relevant facts.</w:t>
      </w:r>
    </w:p>
    <w:p>
      <w:pPr>
        <w:pStyle w:val="BodyText"/>
      </w:pPr>
      <w:r>
        <w:t xml:space="preserve">Finally, there are no reasonable alternative mechanisms for the court to protect Plaintiffs’ identities. Any disclosure of Plaintiffs’ names would not only destroy their privacy but would also give their names to the very entities that seek to prosecute them, contrary to the directive of the Ohio Supreme Court.</w:t>
      </w:r>
      <w:r>
        <w:t xml:space="preserve"> </w:t>
      </w:r>
      <w:r>
        <w:rPr>
          <w:i/>
          <w:iCs/>
        </w:rPr>
        <w:t xml:space="preserve">Shanahan</w:t>
      </w:r>
      <w:r>
        <w:t xml:space="preserve">, 166 Ohio St.3d 382, 2022-Ohio</w:t>
      </w:r>
      <w:r>
        <w:noBreakHyphen/>
      </w:r>
      <w:r>
        <w:t xml:space="preserve">448, 185 N.E.3d 1089, at ¶ 41–⁠42.</w:t>
      </w:r>
    </w:p>
    <w:p>
      <w:pPr>
        <w:pStyle w:val="BodyTextNote"/>
      </w:pPr>
      <w:r>
        <w:t xml:space="preserve">Defendants’ falsely claim that Plaintiffs have refused to disclose their names to the trial court under seal. The trial court was satisfied that Plaintiffs are legitimate based on the six signed and notarized</w:t>
      </w:r>
      <w:r>
        <w:rPr>
          <w:rStyle w:val="FootnoteReference"/>
        </w:rPr>
        <w:footnoteReference w:id="12"/>
      </w:r>
      <w:r>
        <w:t xml:space="preserve"> </w:t>
      </w:r>
      <w:r>
        <w:t xml:space="preserve">affidavits and the pleadings signed by four Ohio attorneys subject to Rule 11.</w:t>
      </w:r>
      <w:r>
        <w:rPr>
          <w:rStyle w:val="FootnoteReference"/>
        </w:rPr>
        <w:footnoteReference w:id="13"/>
      </w:r>
      <w:r>
        <w:t xml:space="preserve"> </w:t>
      </w:r>
      <w:r>
        <w:t xml:space="preserve">Defendants have ignored Ohio law allowing this practice and have failed to show non-compliance with the federal factors.</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Leave</w:t>
      </w:r>
      <w:r>
        <w:rPr>
          <w:b/>
          <w:bCs/>
          <w:i/>
          <w:iCs/>
        </w:rPr>
        <w:t xml:space="preserve"> </w:t>
      </w:r>
      <w:r>
        <w:rPr>
          <w:b/>
          <w:bCs/>
          <w:i/>
          <w:iCs/>
        </w:rPr>
        <w:t xml:space="preserve">to</w:t>
      </w:r>
      <w:r>
        <w:rPr>
          <w:b/>
          <w:bCs/>
          <w:i/>
          <w:iCs/>
        </w:rPr>
        <w:t xml:space="preserve"> </w:t>
      </w:r>
      <w:r>
        <w:rPr>
          <w:b/>
          <w:bCs/>
          <w:i/>
          <w:iCs/>
        </w:rPr>
        <w:t xml:space="preserve">proceed</w:t>
      </w:r>
      <w:r>
        <w:rPr>
          <w:b/>
          <w:bCs/>
          <w:i/>
          <w:iCs/>
        </w:rPr>
        <w:t xml:space="preserve"> </w:t>
      </w:r>
      <w:r>
        <w:rPr>
          <w:b/>
          <w:bCs/>
          <w:i/>
          <w:iCs/>
        </w:rPr>
        <w:t xml:space="preserve">pseudonymously</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required</w:t>
      </w:r>
      <w:r>
        <w:rPr>
          <w:b/>
          <w:bCs/>
          <w:i/>
          <w:iCs/>
        </w:rPr>
        <w:t xml:space="preserve"> </w:t>
      </w:r>
      <w:r>
        <w:rPr>
          <w:b/>
          <w:bCs/>
          <w:i/>
          <w:iCs/>
        </w:rPr>
        <w:t xml:space="preserve">before</w:t>
      </w:r>
      <w:r>
        <w:rPr>
          <w:b/>
          <w:bCs/>
          <w:i/>
          <w:iCs/>
        </w:rPr>
        <w:t xml:space="preserve"> </w:t>
      </w:r>
      <w:r>
        <w:rPr>
          <w:b/>
          <w:bCs/>
          <w:i/>
          <w:iCs/>
        </w:rPr>
        <w:t xml:space="preserve">filing</w:t>
      </w:r>
      <w:r>
        <w:rPr>
          <w:b/>
          <w:bCs/>
          <w:i/>
          <w:iCs/>
        </w:rPr>
        <w:t xml:space="preserve"> </w:t>
      </w:r>
      <w:r>
        <w:rPr>
          <w:b/>
          <w:bCs/>
          <w:i/>
          <w:iCs/>
        </w:rPr>
        <w:t xml:space="preserve">a</w:t>
      </w:r>
      <w:r>
        <w:rPr>
          <w:b/>
          <w:bCs/>
          <w:i/>
          <w:iCs/>
        </w:rPr>
        <w:t xml:space="preserve"> </w:t>
      </w:r>
      <w:r>
        <w:rPr>
          <w:b/>
          <w:bCs/>
          <w:i/>
          <w:iCs/>
        </w:rPr>
        <w:t xml:space="preserve">complaint.</w:t>
      </w:r>
    </w:p>
    <w:p>
      <w:pPr>
        <w:pStyle w:val="BodyText"/>
      </w:pPr>
      <w:r>
        <w:t xml:space="preserve">Defendants’ argument that a court must grant permission to file pseudonymously to have subject matter jurisdiction is illogical. As Defendants previously admitted, the trial court has “general jurisdiction of the subject matter of this dispute.” Defs.’ Mot. Dismiss Compl. at 8. “The General Assembly has given the common pleas courts subject-matter jurisdiction over all civil cases that it has not expressly excluded from their jurisdiction.”</w:t>
      </w:r>
      <w:r>
        <w:t xml:space="preserve"> </w:t>
      </w:r>
      <w:r>
        <w:rPr>
          <w:i/>
          <w:iCs/>
        </w:rPr>
        <w:t xml:space="preserve">Pivonka</w:t>
      </w:r>
      <w:r>
        <w:rPr>
          <w:i/>
          <w:iCs/>
        </w:rPr>
        <w:t xml:space="preserve"> </w:t>
      </w:r>
      <w:r>
        <w:rPr>
          <w:i/>
          <w:iCs/>
        </w:rPr>
        <w:t xml:space="preserve">v. Corcoran</w:t>
      </w:r>
      <w:r>
        <w:t xml:space="preserve">, 162 Ohio St.3d 326, 2020-Ohio</w:t>
      </w:r>
      <w:r>
        <w:noBreakHyphen/>
      </w:r>
      <w:r>
        <w:t xml:space="preserve">3476, 165 N.E.3d 1098, ¶ 21, citing</w:t>
      </w:r>
      <w:r>
        <w:t xml:space="preserve"> </w:t>
      </w:r>
      <w:r>
        <w:rPr>
          <w:i/>
          <w:iCs/>
        </w:rPr>
        <w:t xml:space="preserve">Bank of Am., N.A. v. Kuchta</w:t>
      </w:r>
      <w:r>
        <w:t xml:space="preserve">, 141 Ohio St.3d 75, 2014-Ohio</w:t>
      </w:r>
      <w:r>
        <w:noBreakHyphen/>
      </w:r>
      <w:r>
        <w:t xml:space="preserve">4275, 21 N.E.2d 1040, ¶ 20. The General Assembly never disallowed pseudonymous filings and the Ohio Supreme Court permits them. Thus, pleading pseudonymously does not divest the court of subject matter jurisdiction.</w:t>
      </w:r>
    </w:p>
    <w:p>
      <w:pPr>
        <w:pStyle w:val="BodyText"/>
      </w:pPr>
      <w:r>
        <w:t xml:space="preserve">Additionally, none of Defendants’ cited cases supports the proposition that filing a pseudonymous complaint before seeking leave from the court deprives the court of subject matter jurisdiction. In fact, it is hard to fathom how that could happen given that without a filed complaint, a party cannot file a motion seeking leave to do anything, let alone file a motion to file a complaint pseudonymously. Even</w:t>
      </w:r>
      <w:r>
        <w:t xml:space="preserve"> </w:t>
      </w:r>
      <w:r>
        <w:rPr>
          <w:i/>
          <w:iCs/>
        </w:rPr>
        <w:t xml:space="preserve">Marsh</w:t>
      </w:r>
      <w:r>
        <w:t xml:space="preserve">, previously cited by Defendants, does not require a plaintiff to seek leave from the court before filing a complaint pseudonymously. In</w:t>
      </w:r>
      <w:r>
        <w:t xml:space="preserve"> </w:t>
      </w:r>
      <w:r>
        <w:rPr>
          <w:i/>
          <w:iCs/>
        </w:rPr>
        <w:t xml:space="preserve">Marsh</w:t>
      </w:r>
      <w:r>
        <w:t xml:space="preserve">, the Sixth Circuit only noted that “[o]rdinarily, a plaintiff wishing to proceed anonymously files a protective order that allows him or her to proceed under a pseudonym.” (Emphasis added.)</w:t>
      </w:r>
      <w:r>
        <w:t xml:space="preserve"> </w:t>
      </w:r>
      <w:r>
        <w:rPr>
          <w:i/>
          <w:iCs/>
        </w:rPr>
        <w:t xml:space="preserve">Citizens for a Strong Ohio v. Marsh</w:t>
      </w:r>
      <w:r>
        <w:t xml:space="preserve">, 123 Fed.Appx. 630, 636 (6th Cir.2005), citing</w:t>
      </w:r>
      <w:r>
        <w:t xml:space="preserve"> </w:t>
      </w:r>
      <w:r>
        <w:rPr>
          <w:i/>
          <w:iCs/>
        </w:rPr>
        <w:t xml:space="preserve">Porter</w:t>
      </w:r>
      <w:r>
        <w:t xml:space="preserve">, 370 F.3d at 560. In</w:t>
      </w:r>
      <w:r>
        <w:t xml:space="preserve"> </w:t>
      </w:r>
      <w:r>
        <w:rPr>
          <w:i/>
          <w:iCs/>
        </w:rPr>
        <w:t xml:space="preserve">Marsh</w:t>
      </w:r>
      <w:r>
        <w:t xml:space="preserve">, the court upheld the dismissal of a plaintiff who had initially filed as John Doe only because he had “not alleged sufficient facts to be permitted to proceed with his claim.”</w:t>
      </w:r>
      <w:r>
        <w:t xml:space="preserve"> </w:t>
      </w:r>
      <w:r>
        <w:rPr>
          <w:i/>
          <w:iCs/>
        </w:rPr>
        <w:t xml:space="preserve">Id.</w:t>
      </w:r>
      <w:r>
        <w:t xml:space="preserve"> </w:t>
      </w:r>
      <w:r>
        <w:t xml:space="preserve">Further, in</w:t>
      </w:r>
      <w:r>
        <w:t xml:space="preserve"> </w:t>
      </w:r>
      <w:r>
        <w:rPr>
          <w:i/>
          <w:iCs/>
        </w:rPr>
        <w:t xml:space="preserve">Porter</w:t>
      </w:r>
      <w:r>
        <w:t xml:space="preserve">—cited by</w:t>
      </w:r>
      <w:r>
        <w:t xml:space="preserve"> </w:t>
      </w:r>
      <w:r>
        <w:rPr>
          <w:i/>
          <w:iCs/>
        </w:rPr>
        <w:t xml:space="preserve">Marsh</w:t>
      </w:r>
      <w:r>
        <w:t xml:space="preserve">—the Sixth Circuit affirmed the district court’s decision to allow the Doe plaintiff to proceed pseudonymously.</w:t>
      </w:r>
    </w:p>
    <w:p>
      <w:pPr>
        <w:pStyle w:val="BodyText"/>
      </w:pPr>
      <w:r>
        <w:t xml:space="preserve">Defendants also misstate the holding of</w:t>
      </w:r>
      <w:r>
        <w:t xml:space="preserve"> </w:t>
      </w:r>
      <w:r>
        <w:rPr>
          <w:i/>
          <w:iCs/>
        </w:rPr>
        <w:t xml:space="preserve">Yocom</w:t>
      </w:r>
      <w:r>
        <w:t xml:space="preserve">. That court recognized that parties can proceed pseudonymously with the court’s permission. The court found a lack of jurisdiction in that case only because the nunc pro tunc order allowing the plaintiffs to proceed pseudonymously had been “filed [and granted] after the start of this appeal,” which appeal divested the district court of jurisdiction.</w:t>
      </w:r>
      <w:r>
        <w:t xml:space="preserve"> </w:t>
      </w:r>
      <w:r>
        <w:rPr>
          <w:i/>
          <w:iCs/>
        </w:rPr>
        <w:t xml:space="preserve">W.N.J. v. Yocom</w:t>
      </w:r>
      <w:r>
        <w:t xml:space="preserve">, 257 F.3d 1171, 1172 (10th Cir.2001).</w:t>
      </w:r>
    </w:p>
    <w:p>
      <w:pPr>
        <w:pStyle w:val="BodyText"/>
      </w:pPr>
      <w:r>
        <w:t xml:space="preserve">Aside from the logistical and procedural challenges to first seek leave, the Ohio Supreme Court refuted Defendants argument in</w:t>
      </w:r>
      <w:r>
        <w:t xml:space="preserve"> </w:t>
      </w:r>
      <w:r>
        <w:rPr>
          <w:i/>
          <w:iCs/>
        </w:rPr>
        <w:t xml:space="preserve">Shanahan</w:t>
      </w:r>
      <w:r>
        <w:t xml:space="preserve">, explaining that “Judge Shanahan</w:t>
      </w:r>
      <w:r>
        <w:t xml:space="preserve"> </w:t>
      </w:r>
      <w:r>
        <w:t xml:space="preserve">has the authority to excuse M.R. from identifying himself in his complaint * * *.”</w:t>
      </w:r>
      <w:r>
        <w:t xml:space="preserve"> </w:t>
      </w:r>
      <w:r>
        <w:rPr>
          <w:i/>
          <w:iCs/>
        </w:rPr>
        <w:t xml:space="preserve">Shanahan</w:t>
      </w:r>
      <w:r>
        <w:t xml:space="preserve">, 166 Ohio St.3d 382, 2022-Ohio</w:t>
      </w:r>
      <w:r>
        <w:noBreakHyphen/>
      </w:r>
      <w:r>
        <w:t xml:space="preserve">448, 185 N.E.3d 1089, at ¶ 42.</w:t>
      </w:r>
      <w:r>
        <w:t xml:space="preserve"> </w:t>
      </w:r>
      <w:r>
        <w:rPr>
          <w:i/>
          <w:iCs/>
        </w:rPr>
        <w:t xml:space="preserve">See also Bruner</w:t>
      </w:r>
      <w:r>
        <w:t xml:space="preserve">, 12th Dist. Clinton No. CA2011</w:t>
      </w:r>
      <w:r>
        <w:noBreakHyphen/>
      </w:r>
      <w:r>
        <w:t xml:space="preserve">07</w:t>
      </w:r>
      <w:r>
        <w:noBreakHyphen/>
      </w:r>
      <w:r>
        <w:t xml:space="preserve">013, 2012-Ohio</w:t>
      </w:r>
      <w:r>
        <w:noBreakHyphen/>
      </w:r>
      <w:r>
        <w:t xml:space="preserve">761, at ¶ 2. In</w:t>
      </w:r>
      <w:r>
        <w:t xml:space="preserve"> </w:t>
      </w:r>
      <w:r>
        <w:rPr>
          <w:i/>
          <w:iCs/>
        </w:rPr>
        <w:t xml:space="preserve">Shanahan</w:t>
      </w:r>
      <w:r>
        <w:t xml:space="preserve">, the court determined that there was no need to excuse M.R. from continuing pseudonymously because—unlike here—M.R. had already disclosed his name publicly. In any event, it is clear that pseudonymous pleadings are permitted without first seeking leave.</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Pseudonymous</w:t>
      </w:r>
      <w:r>
        <w:rPr>
          <w:b/>
          <w:bCs/>
          <w:i/>
          <w:iCs/>
        </w:rPr>
        <w:t xml:space="preserve"> </w:t>
      </w:r>
      <w:r>
        <w:rPr>
          <w:b/>
          <w:bCs/>
          <w:i/>
          <w:iCs/>
        </w:rPr>
        <w:t xml:space="preserve">filing</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subject</w:t>
      </w:r>
      <w:r>
        <w:rPr>
          <w:b/>
          <w:bCs/>
          <w:i/>
          <w:iCs/>
        </w:rPr>
        <w:t xml:space="preserve"> </w:t>
      </w:r>
      <w:r>
        <w:rPr>
          <w:b/>
          <w:bCs/>
          <w:i/>
          <w:iCs/>
        </w:rPr>
        <w:t xml:space="preserve">matter</w:t>
      </w:r>
      <w:r>
        <w:rPr>
          <w:b/>
          <w:bCs/>
          <w:i/>
          <w:iCs/>
        </w:rPr>
        <w:t xml:space="preserve"> </w:t>
      </w:r>
      <w:r>
        <w:rPr>
          <w:b/>
          <w:bCs/>
          <w:i/>
          <w:iCs/>
        </w:rPr>
        <w:t xml:space="preserve">jurisdiction</w:t>
      </w:r>
      <w:r>
        <w:rPr>
          <w:b/>
          <w:bCs/>
          <w:i/>
          <w:iCs/>
        </w:rPr>
        <w:t xml:space="preserve"> </w:t>
      </w:r>
      <w:r>
        <w:rPr>
          <w:b/>
          <w:bCs/>
          <w:i/>
          <w:iCs/>
        </w:rPr>
        <w:t xml:space="preserve">question.</w:t>
      </w:r>
    </w:p>
    <w:p>
      <w:pPr>
        <w:pStyle w:val="BodyTextNote"/>
      </w:pPr>
      <w:r>
        <w:t xml:space="preserve">Defendants’ motion to dismiss the Amended Complaint only raises lack of subject matter jurisdiction, Civ. R. 12(B)⁠(1),</w:t>
      </w:r>
      <w:r>
        <w:t xml:space="preserve"> </w:t>
      </w:r>
      <w:r>
        <w:t xml:space="preserve">but not lack of personal jurisdiction, Civ. R. 12(B)⁠(2).</w:t>
      </w:r>
      <w:r>
        <w:t xml:space="preserve"> </w:t>
      </w:r>
      <w:r>
        <w:t xml:space="preserve">Defs.’ Mot. Dismiss Am. Compl. at 1 (“This Court lacks subject-matter jurisdiction to hear this case because (1) Plaintiffs have failed to meet the requirements to proceed pseudonymously * * * .”);</w:t>
      </w:r>
      <w:r>
        <w:t xml:space="preserve"> </w:t>
      </w:r>
      <w:r>
        <w:rPr>
          <w:i/>
          <w:iCs/>
        </w:rPr>
        <w:t xml:space="preserve">id.</w:t>
      </w:r>
      <w:r>
        <w:t xml:space="preserve"> </w:t>
      </w:r>
      <w:r>
        <w:t xml:space="preserve">at 6 Heading II, A (“This Court lacks subject matter jurisdiction * * * .”).</w:t>
      </w:r>
      <w:r>
        <w:t xml:space="preserve"> </w:t>
      </w:r>
      <w:r>
        <w:rPr>
          <w:i/>
          <w:iCs/>
        </w:rPr>
        <w:t xml:space="preserve">See also</w:t>
      </w:r>
      <w:r>
        <w:t xml:space="preserve"> </w:t>
      </w:r>
      <w:r>
        <w:t xml:space="preserve">Br. of Appellants at 5 Heading II (claiming the trial court “lacked subject matter jurisdiction”). A claim that the court lacks jurisdiction over the parties is based on personal jurisdiction, not a lack of subject matter jurisdiction.</w:t>
      </w:r>
      <w:r>
        <w:rPr>
          <w:rStyle w:val="FootnoteReference"/>
        </w:rPr>
        <w:footnoteReference w:id="14"/>
      </w:r>
      <w:r>
        <w:t xml:space="preserve"> </w:t>
      </w:r>
      <w:r>
        <w:t xml:space="preserve">The trial court, of course, has personal jurisdiction over Plaintiffs because they “submitted to the court’s jurisdiction by filing the complaint.”</w:t>
      </w:r>
      <w:r>
        <w:t xml:space="preserve"> </w:t>
      </w:r>
      <w:r>
        <w:rPr>
          <w:i/>
          <w:iCs/>
        </w:rPr>
        <w:t xml:space="preserve">Moore</w:t>
      </w:r>
      <w:r>
        <w:rPr>
          <w:i/>
          <w:iCs/>
        </w:rPr>
        <w:t xml:space="preserve"> </w:t>
      </w:r>
      <w:r>
        <w:rPr>
          <w:i/>
          <w:iCs/>
        </w:rPr>
        <w:t xml:space="preserve">v. Mt. Carmel Health Sys.</w:t>
      </w:r>
      <w:r>
        <w:t xml:space="preserve">, 162 Ohio St.3d 106, 2020-Ohio</w:t>
      </w:r>
      <w:r>
        <w:noBreakHyphen/>
      </w:r>
      <w:r>
        <w:t xml:space="preserve">4113, 164 N.E.3d 376, ¶ 34. And Defendants waived the defense of personal jurisdiction because they did not raise it in their motion to dismiss below. Civ.R. 12(H).</w:t>
      </w:r>
      <w:r>
        <w:t xml:space="preserve"> </w:t>
      </w:r>
      <w:r>
        <w:t xml:space="preserve">Further, Defendants did not raise that defense in their Answer to the Amended Complaint.</w:t>
      </w:r>
    </w:p>
    <w:p>
      <w:pPr>
        <w:pStyle w:val="BodyTextNote"/>
      </w:pPr>
      <w:r>
        <w:t xml:space="preserve">Thus, the trial court has jurisdiction.</w:t>
      </w:r>
      <w:r>
        <w:rPr>
          <w:rStyle w:val="FootnoteReference"/>
        </w:rPr>
        <w:footnoteReference w:id="15"/>
      </w:r>
    </w:p>
    <w:p>
      <w:pPr>
        <w:keepNext/>
        <w:keepLines/>
        <w:spacing w:before="240"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jurisdictional-priority</w:t>
      </w:r>
      <w:r>
        <w:rPr>
          <w:b/>
          <w:bCs/>
        </w:rPr>
        <w:t xml:space="preserve"> </w:t>
      </w:r>
      <w:r>
        <w:rPr>
          <w:b/>
          <w:bCs/>
        </w:rPr>
        <w:t xml:space="preserve">rule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divest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hear</w:t>
      </w:r>
      <w:r>
        <w:rPr>
          <w:b/>
          <w:bCs/>
        </w:rPr>
        <w:t xml:space="preserve"> </w:t>
      </w:r>
      <w:r>
        <w:rPr>
          <w:b/>
          <w:bCs/>
        </w:rPr>
        <w:t xml:space="preserve">Plaintiffs’</w:t>
      </w:r>
      <w:r>
        <w:rPr>
          <w:b/>
          <w:bCs/>
        </w:rPr>
        <w:t xml:space="preserve"> </w:t>
      </w:r>
      <w:r>
        <w:rPr>
          <w:b/>
          <w:bCs/>
        </w:rPr>
        <w:t xml:space="preserve">claims.</w:t>
      </w:r>
    </w:p>
    <w:p>
      <w:pPr>
        <w:pStyle w:val="BodyText"/>
      </w:pPr>
      <w:r>
        <w:t xml:space="preserve">The jurisdictional-priority rule does not preclude the trial court’s jurisdiction in this case. Under the jurisdictional-priority rule, “[a]s between courts of concurrent jurisdiction, the tribunal whose power is first invoked by the institution of proper proceedings acquires jurisdiction, to the exclusion of all other tribunals, to adjudicate upon the whole issue and to settle the rights of the parties.” (Emphasis added.)</w:t>
      </w:r>
      <w:r>
        <w:t xml:space="preserve"> </w:t>
      </w:r>
      <w:r>
        <w:rPr>
          <w:i/>
          <w:iCs/>
        </w:rPr>
        <w:t xml:space="preserve">State, ex rel. Phillips v. Polcar</w:t>
      </w:r>
      <w:r>
        <w:t xml:space="preserve">, 50 Ohio St.2d 279, 279, 364 N.E.2d 33 (1977). There are two important and distinct requirements for the jurisdictional-priority rule to apply.</w:t>
      </w:r>
    </w:p>
    <w:p>
      <w:pPr>
        <w:pStyle w:val="XdQuoteOnly"/>
      </w:pPr>
      <w:r>
        <w:t xml:space="preserve">“To be sure, it is a condition of the jurisdictional-priority rule that the claims and parties be the same in both cases, so ‘[i]f the second case is not for the same cause of action, nor between the same parties, the former suit will not prevent the latter.’” See</w:t>
      </w:r>
      <w:r>
        <w:t xml:space="preserve"> </w:t>
      </w:r>
      <w:r>
        <w:rPr>
          <w:i/>
          <w:iCs/>
        </w:rPr>
        <w:t xml:space="preserve">State ex rel. Judson</w:t>
      </w:r>
      <w:r>
        <w:rPr>
          <w:i/>
          <w:iCs/>
        </w:rPr>
        <w:t xml:space="preserve"> </w:t>
      </w:r>
      <w:r>
        <w:rPr>
          <w:i/>
          <w:iCs/>
        </w:rPr>
        <w:t xml:space="preserve">v. Spahr</w:t>
      </w:r>
      <w:r>
        <w:t xml:space="preserve">, 33 Ohio St.3d 111, 113, 515 N.E.2d 911 (1987).</w:t>
      </w:r>
    </w:p>
    <w:p>
      <w:pPr>
        <w:pStyle w:val="BodyText"/>
      </w:pPr>
      <w:r>
        <w:rPr>
          <w:i/>
          <w:iCs/>
        </w:rPr>
        <w:t xml:space="preserve">Gilcrest</w:t>
      </w:r>
      <w:r>
        <w:rPr>
          <w:i/>
          <w:iCs/>
        </w:rPr>
        <w:t xml:space="preserve"> </w:t>
      </w:r>
      <w:r>
        <w:rPr>
          <w:i/>
          <w:iCs/>
        </w:rPr>
        <w:t xml:space="preserve">v. Gilcrest</w:t>
      </w:r>
      <w:r>
        <w:t xml:space="preserve">, 5th Dist. Delaware No. 22 CAE 03 0019, 2022-Ohio</w:t>
      </w:r>
      <w:r>
        <w:noBreakHyphen/>
      </w:r>
      <w:r>
        <w:t xml:space="preserve">3640, ¶ 34–⁠35, quoting</w:t>
      </w:r>
      <w:r>
        <w:t xml:space="preserve"> </w:t>
      </w:r>
      <w:r>
        <w:rPr>
          <w:i/>
          <w:iCs/>
        </w:rPr>
        <w:t xml:space="preserve">State ex rel. Dunlap</w:t>
      </w:r>
      <w:r>
        <w:rPr>
          <w:i/>
          <w:iCs/>
        </w:rPr>
        <w:t xml:space="preserve"> </w:t>
      </w:r>
      <w:r>
        <w:rPr>
          <w:i/>
          <w:iCs/>
        </w:rPr>
        <w:t xml:space="preserve">v. Sarko</w:t>
      </w:r>
      <w:r>
        <w:t xml:space="preserve">, 135 Ohio St.3d 171, 2013-Ohio</w:t>
      </w:r>
      <w:r>
        <w:noBreakHyphen/>
      </w:r>
      <w:r>
        <w:t xml:space="preserve">67, 985 N.E.2d 450, ¶ 10–⁠11.</w:t>
      </w:r>
    </w:p>
    <w:p>
      <w:pPr>
        <w:pStyle w:val="BodyText"/>
      </w:pPr>
      <w:r>
        <w:t xml:space="preserve">It is a two-step analysis:</w:t>
      </w:r>
    </w:p>
    <w:p>
      <w:pPr>
        <w:pStyle w:val="XdQuoteOnly"/>
      </w:pPr>
      <w:r>
        <w:t xml:space="preserve">“First, there must be cases pending in two different courts of concurrent jurisdiction involving substantially the same parties; and second, the ruling of the court subsequently acquiring jurisdiction may affect or interfere with the resolution of the issues before the court where suit was originally commenced.”</w:t>
      </w:r>
    </w:p>
    <w:p>
      <w:pPr>
        <w:pStyle w:val="BodyText"/>
      </w:pPr>
      <w:r>
        <w:t xml:space="preserve">(Emphasis added.)</w:t>
      </w:r>
      <w:r>
        <w:t xml:space="preserve"> </w:t>
      </w:r>
      <w:r>
        <w:rPr>
          <w:i/>
          <w:iCs/>
        </w:rPr>
        <w:t xml:space="preserve">Centerburg</w:t>
      </w:r>
      <w:r>
        <w:rPr>
          <w:i/>
          <w:iCs/>
        </w:rPr>
        <w:t xml:space="preserve"> </w:t>
      </w:r>
      <w:r>
        <w:rPr>
          <w:i/>
          <w:iCs/>
        </w:rPr>
        <w:t xml:space="preserve">RE, LLC v. Centerburg</w:t>
      </w:r>
      <w:r>
        <w:rPr>
          <w:i/>
          <w:iCs/>
        </w:rPr>
        <w:t xml:space="preserve"> </w:t>
      </w:r>
      <w:r>
        <w:rPr>
          <w:i/>
          <w:iCs/>
        </w:rPr>
        <w:t xml:space="preserve">Pointe, Inc.</w:t>
      </w:r>
      <w:r>
        <w:t xml:space="preserve">, 2014-Ohio</w:t>
      </w:r>
      <w:r>
        <w:noBreakHyphen/>
      </w:r>
      <w:r>
        <w:t xml:space="preserve">4846, 22 N.E.3d 296, ¶ 45 (5th Dist.) (citation omitted).</w:t>
      </w:r>
    </w:p>
    <w:p>
      <w:pPr>
        <w:pStyle w:val="BodyText"/>
      </w:pPr>
      <w:r>
        <w:t xml:space="preserve">First, on July 31, 2023, this Court granted the State’s voluntary dismissal of its appeal of the Fairfield County court’s order dismissing the State’s R.C. 9.68</w:t>
      </w:r>
      <w:r>
        <w:t xml:space="preserve"> </w:t>
      </w:r>
      <w:r>
        <w:t xml:space="preserve">claim. J.E. Dismissing Appeal,</w:t>
      </w:r>
      <w:r>
        <w:t xml:space="preserve"> </w:t>
      </w:r>
      <w:r>
        <w:rPr>
          <w:i/>
          <w:iCs/>
        </w:rPr>
        <w:t xml:space="preserve">State v. Columbus</w:t>
      </w:r>
      <w:r>
        <w:t xml:space="preserve">, No. 23CA00005 (5th Dist. Jul. 31, 2023). As such, the Fairfield County Common Pleas Court no longer had jurisdiction over the State’s R.C. 9.68.</w:t>
      </w:r>
      <w:r>
        <w:t xml:space="preserve"> </w:t>
      </w:r>
      <w:r>
        <w:t xml:space="preserve">Additionally, on July 28, 2023, the State moved to dismiss its amended complaint, including its challenge to Defendants’ ordinances under the Ohio Constitution. Notice Voluntary Dismissal,</w:t>
      </w:r>
      <w:r>
        <w:t xml:space="preserve"> </w:t>
      </w:r>
      <w:r>
        <w:rPr>
          <w:i/>
          <w:iCs/>
        </w:rPr>
        <w:t xml:space="preserve">State v. Columbus</w:t>
      </w:r>
      <w:r>
        <w:t xml:space="preserve">, Fairfield C.P. No. 22CV657 (Jul. 28, 2023). Thus, the Fairfield County Common Pleas Court no longer has jurisdiction “to the exclusion of other tribunals,”</w:t>
      </w:r>
      <w:r>
        <w:t xml:space="preserve"> </w:t>
      </w:r>
      <w:r>
        <w:rPr>
          <w:i/>
          <w:iCs/>
        </w:rPr>
        <w:t xml:space="preserve">Phillips</w:t>
      </w:r>
      <w:r>
        <w:t xml:space="preserve"> </w:t>
      </w:r>
      <w:r>
        <w:t xml:space="preserve">at 279, over a challenge to Defendants’ ordinances as violations of R.C. 9.68</w:t>
      </w:r>
      <w:r>
        <w:t xml:space="preserve"> </w:t>
      </w:r>
      <w:r>
        <w:t xml:space="preserve">and the Ohio Constitution. Because there are not “cases pending in two different courts of concurrent jurisdiction * * *,”</w:t>
      </w:r>
      <w:r>
        <w:t xml:space="preserve"> </w:t>
      </w:r>
      <w:r>
        <w:rPr>
          <w:i/>
          <w:iCs/>
        </w:rPr>
        <w:t xml:space="preserve">Centerburg</w:t>
      </w:r>
      <w:r>
        <w:rPr>
          <w:i/>
          <w:iCs/>
        </w:rPr>
        <w:t xml:space="preserve"> </w:t>
      </w:r>
      <w:r>
        <w:rPr>
          <w:i/>
          <w:iCs/>
        </w:rPr>
        <w:t xml:space="preserve">RE, LLC</w:t>
      </w:r>
      <w:r>
        <w:t xml:space="preserve"> </w:t>
      </w:r>
      <w:r>
        <w:t xml:space="preserve">at ¶ 45, this alone dooms Defendants’ jurisdictional-priority rule argument.</w:t>
      </w:r>
    </w:p>
    <w:p>
      <w:pPr>
        <w:pStyle w:val="BodyTextNote"/>
      </w:pPr>
      <w:r>
        <w:t xml:space="preserve">Second, Plaintiffs are not parties to either the Franklin or the (now dismissed) Fairfield County cases between Defendants and the State.</w:t>
      </w:r>
      <w:r>
        <w:rPr>
          <w:rStyle w:val="FootnoteReference"/>
        </w:rPr>
        <w:footnoteReference w:id="16"/>
      </w:r>
      <w:r>
        <w:t xml:space="preserve"> </w:t>
      </w:r>
      <w:r>
        <w:t xml:space="preserve">Defendants oddly suggest that John and Jane Doe Plaintiffs are somehow substantially the same as the State of Ohio. They take the curious position that “private citizens[] do not exist ‘separate and apart’ from the rest of Ohio * * * .” Defs.’ Mot. Dismiss Am. Compl. at 14. This argument is wrong. Obviously the City of Columbus and the State of Ohio are separate entities from the residents of Columbus and the State. The ramifications of Defendants’ argument that they are one and the same as the State are varied and ludicrous—individual citizens and residents, such as the Doe Plaintiffs, would be entitled to sovereign immunity because they would be the same as the State. Defendants provide no legal support for their illogical assertions and, in fact, argued contrary to this point in other cases.</w:t>
      </w:r>
      <w:r>
        <w:t xml:space="preserve"> </w:t>
      </w:r>
      <w:r>
        <w:rPr>
          <w:i/>
          <w:iCs/>
        </w:rPr>
        <w:t xml:space="preserve">See</w:t>
      </w:r>
      <w:r>
        <w:t xml:space="preserve"> </w:t>
      </w:r>
      <w:r>
        <w:t xml:space="preserve">Pls.’ Mem. Contra Mot. Dismiss Am. Compl. at 9–11.</w:t>
      </w:r>
    </w:p>
    <w:p>
      <w:pPr>
        <w:pStyle w:val="BodyText"/>
      </w:pPr>
      <w:r>
        <w:t xml:space="preserve">Defendants cite two inapplicable cases for their “substantially the same parties” argument. In</w:t>
      </w:r>
      <w:r>
        <w:t xml:space="preserve"> </w:t>
      </w:r>
      <w:r>
        <w:rPr>
          <w:i/>
          <w:iCs/>
        </w:rPr>
        <w:t xml:space="preserve">Davis</w:t>
      </w:r>
      <w:r>
        <w:t xml:space="preserve">, Cowan Systems sued Pamela Miranda in Portage County regarding a car accident.</w:t>
      </w:r>
      <w:r>
        <w:t xml:space="preserve"> </w:t>
      </w:r>
      <w:r>
        <w:rPr>
          <w:i/>
          <w:iCs/>
        </w:rPr>
        <w:t xml:space="preserve">Davis</w:t>
      </w:r>
      <w:r>
        <w:rPr>
          <w:i/>
          <w:iCs/>
        </w:rPr>
        <w:t xml:space="preserve"> </w:t>
      </w:r>
      <w:r>
        <w:rPr>
          <w:i/>
          <w:iCs/>
        </w:rPr>
        <w:t xml:space="preserve">v. Cowan Sys.</w:t>
      </w:r>
      <w:r>
        <w:t xml:space="preserve">, 8th Dist. Cuyahoga No 83155, 2004-Ohio 515, ¶ 5. Subsequently, Davis</w:t>
      </w:r>
      <w:r>
        <w:t xml:space="preserve"> </w:t>
      </w:r>
      <w:r>
        <w:t xml:space="preserve">sued Cowan Systems, Pamela Miranda and Leland Crocker in Cuyahoga County.</w:t>
      </w:r>
      <w:r>
        <w:t xml:space="preserve"> </w:t>
      </w:r>
      <w:r>
        <w:rPr>
          <w:i/>
          <w:iCs/>
        </w:rPr>
        <w:t xml:space="preserve">Id.</w:t>
      </w:r>
      <w:r>
        <w:t xml:space="preserve"> </w:t>
      </w:r>
      <w:r>
        <w:t xml:space="preserve">The parties were substantially similar because “[i]t is clear that of the four parties in the Cuyahoga County case, two are also principal parties in the Portage County litigation,” Davis</w:t>
      </w:r>
      <w:r>
        <w:t xml:space="preserve"> </w:t>
      </w:r>
      <w:r>
        <w:t xml:space="preserve">“would have undoubtedly been called as a witness in the Portage County action,” and “it may have been improper to proceed with the Portage County action without adding [Davis]</w:t>
      </w:r>
      <w:r>
        <w:t xml:space="preserve"> </w:t>
      </w:r>
      <w:r>
        <w:t xml:space="preserve">to the action.”</w:t>
      </w:r>
      <w:r>
        <w:t xml:space="preserve"> </w:t>
      </w:r>
      <w:r>
        <w:rPr>
          <w:i/>
          <w:iCs/>
        </w:rPr>
        <w:t xml:space="preserve">Id.</w:t>
      </w:r>
    </w:p>
    <w:p>
      <w:pPr>
        <w:pStyle w:val="BodyText"/>
      </w:pPr>
      <w:r>
        <w:t xml:space="preserve">Here, Defendants are suing the State of Ohio in Franklin County, but Plaintiffs are not in that case, and there is no reason for them to be. And, Plaintiffs are unquestionably not indispensable parties to that action. Thus,</w:t>
      </w:r>
      <w:r>
        <w:t xml:space="preserve"> </w:t>
      </w:r>
      <w:r>
        <w:rPr>
          <w:i/>
          <w:iCs/>
        </w:rPr>
        <w:t xml:space="preserve">Davis</w:t>
      </w:r>
      <w:r>
        <w:t xml:space="preserve"> </w:t>
      </w:r>
      <w:r>
        <w:t xml:space="preserve">is inapplicable.</w:t>
      </w:r>
    </w:p>
    <w:p>
      <w:pPr>
        <w:pStyle w:val="BodyText"/>
      </w:pPr>
      <w:r>
        <w:t xml:space="preserve">In</w:t>
      </w:r>
      <w:r>
        <w:t xml:space="preserve"> </w:t>
      </w:r>
      <w:r>
        <w:rPr>
          <w:i/>
          <w:iCs/>
        </w:rPr>
        <w:t xml:space="preserve">Racing Guild</w:t>
      </w:r>
      <w:r>
        <w:t xml:space="preserve">, the relator sued Northfield Park Associates and others in Cuyahoga County, seeking injunctive relief to prevent interference with picketing at Northfield.</w:t>
      </w:r>
      <w:r>
        <w:t xml:space="preserve"> </w:t>
      </w:r>
      <w:r>
        <w:rPr>
          <w:i/>
          <w:iCs/>
        </w:rPr>
        <w:t xml:space="preserve">State ex rel. Racing Guild,</w:t>
      </w:r>
      <w:r>
        <w:rPr>
          <w:i/>
          <w:iCs/>
        </w:rPr>
        <w:t xml:space="preserve"> </w:t>
      </w:r>
      <w:r>
        <w:rPr>
          <w:i/>
          <w:iCs/>
        </w:rPr>
        <w:t xml:space="preserve">Local 304 v. Morgan</w:t>
      </w:r>
      <w:r>
        <w:t xml:space="preserve">, 17 Ohio St.3d 54, 55, 476 N.E.2d 1060 (1985). The following day, Northfield sued relator and its members and officers in Summit County, “seeking injunctive relief to restrict or prohibit picketing at the track.”</w:t>
      </w:r>
      <w:r>
        <w:t xml:space="preserve"> </w:t>
      </w:r>
      <w:r>
        <w:rPr>
          <w:i/>
          <w:iCs/>
        </w:rPr>
        <w:t xml:space="preserve">Id.</w:t>
      </w:r>
      <w:r>
        <w:t xml:space="preserve"> </w:t>
      </w:r>
      <w:r>
        <w:t xml:space="preserve">Relator and Northfield Park Associates were the principal parties to both cases, just on opposite sides of the coin. Again, Plaintiffs are not parties to the other case brought by Defendants.</w:t>
      </w:r>
    </w:p>
    <w:p>
      <w:pPr>
        <w:pStyle w:val="BodyText"/>
      </w:pPr>
      <w:r>
        <w:t xml:space="preserve">Defendants also misrepresent John Weenick &amp; Sons Co. and the court’s citation to it in</w:t>
      </w:r>
      <w:r>
        <w:t xml:space="preserve"> </w:t>
      </w:r>
      <w:r>
        <w:rPr>
          <w:i/>
          <w:iCs/>
        </w:rPr>
        <w:t xml:space="preserve">Racing Guild</w:t>
      </w:r>
      <w:r>
        <w:t xml:space="preserve">. According to Defendants, the court “noted that it had previously affirmed a writ of prohibition brought by the City of Cleveland when it sought to prevent a second court from exercising jurisdiction even though the parties in the two cases were not the same.” Br. of Appellants at 11. However, in</w:t>
      </w:r>
      <w:r>
        <w:t xml:space="preserve"> </w:t>
      </w:r>
      <w:r>
        <w:rPr>
          <w:i/>
          <w:iCs/>
        </w:rPr>
        <w:t xml:space="preserve">Racing Guild</w:t>
      </w:r>
      <w:r>
        <w:t xml:space="preserve">, the court noted that</w:t>
      </w:r>
    </w:p>
    <w:p>
      <w:pPr>
        <w:pStyle w:val="XdQuoteOnly"/>
      </w:pPr>
      <w:r>
        <w:t xml:space="preserve">In Weenink</w:t>
      </w:r>
      <w:r>
        <w:t xml:space="preserve"> </w:t>
      </w:r>
      <w:r>
        <w:t xml:space="preserve">&amp; Sons, [ ] relators filed suit in municipal court against the city of Cleveland for money judgments stemming from a rodeo held in Cleveland. The city then filed suit in the court of common pleas against relators and others, seeking declaratory relief with regard to a fund which the city had collected as a result of holding the rodeo.</w:t>
      </w:r>
    </w:p>
    <w:p>
      <w:pPr>
        <w:pStyle w:val="BodyText"/>
      </w:pPr>
      <w:r>
        <w:rPr>
          <w:i/>
          <w:iCs/>
        </w:rPr>
        <w:t xml:space="preserve">Racing Guild</w:t>
      </w:r>
      <w:r>
        <w:t xml:space="preserve"> </w:t>
      </w:r>
      <w:r>
        <w:t xml:space="preserve">at 56, citing</w:t>
      </w:r>
      <w:r>
        <w:t xml:space="preserve"> </w:t>
      </w:r>
      <w:r>
        <w:rPr>
          <w:i/>
          <w:iCs/>
        </w:rPr>
        <w:t xml:space="preserve">John Weenink</w:t>
      </w:r>
      <w:r>
        <w:rPr>
          <w:i/>
          <w:iCs/>
        </w:rPr>
        <w:t xml:space="preserve"> </w:t>
      </w:r>
      <w:r>
        <w:rPr>
          <w:i/>
          <w:iCs/>
        </w:rPr>
        <w:t xml:space="preserve">&amp; Sons Co. v. Court of Common Pleas of Cuyahoga Cnty.</w:t>
      </w:r>
      <w:r>
        <w:t xml:space="preserve">, 150 Ohio St. 349, 82 N.E.2d 730 (1948). Not only are Defendants incorrect in stating that the city of Cleveland brought the writ of prohibition action, but they are also incorrect in stating that the cases involved different parties. In John Weenick &amp; Sons Co., the relators and others named by Cleveland in its case were creditors of the Diamond D Corporation. John Weenick &amp; Sons Co. at 349–353. These creditors had previously filed actions against Diamond D naming Cleveland as garnishee or filed actions directly against Cleveland for money owed to them.</w:t>
      </w:r>
      <w:r>
        <w:t xml:space="preserve"> </w:t>
      </w:r>
      <w:r>
        <w:rPr>
          <w:i/>
          <w:iCs/>
        </w:rPr>
        <w:t xml:space="preserve">Id.</w:t>
      </w:r>
      <w:r>
        <w:t xml:space="preserve"> </w:t>
      </w:r>
      <w:r>
        <w:t xml:space="preserve">Contrary to Defendants’ claims, nowhere in</w:t>
      </w:r>
      <w:r>
        <w:t xml:space="preserve"> </w:t>
      </w:r>
      <w:r>
        <w:rPr>
          <w:i/>
          <w:iCs/>
        </w:rPr>
        <w:t xml:space="preserve">Racing Guild</w:t>
      </w:r>
      <w:r>
        <w:t xml:space="preserve"> </w:t>
      </w:r>
      <w:r>
        <w:t xml:space="preserve">does the court state that the parties in John Weenick &amp; Sons Co. were different parties, and the facts of the case do not support such an assertion.</w:t>
      </w:r>
    </w:p>
    <w:p>
      <w:pPr>
        <w:pStyle w:val="BodyText"/>
      </w:pPr>
      <w:r>
        <w:t xml:space="preserve">There is no legal support for the conclusion that Plaintiffs are substantially the same as the parties in Defendants other case.</w:t>
      </w:r>
    </w:p>
    <w:p>
      <w:pPr>
        <w:pStyle w:val="BodyText"/>
      </w:pPr>
      <w:r>
        <w:t xml:space="preserve">Separately, and very simply, this case challenges Columbus new regulations enacted by the ordinances. The Franklin County case does not—nor could it since the challenged regulations were enacted in 2022, long after the Franklin case was filed in 2019.</w:t>
      </w:r>
    </w:p>
    <w:p>
      <w:pPr>
        <w:pStyle w:val="BodyText"/>
      </w:pPr>
      <w:r>
        <w:t xml:space="preserve">Accordingly, the jurisdictional-priority rule does not preclude jurisdiction.</w:t>
      </w:r>
    </w:p>
    <w:p>
      <w:pPr>
        <w:keepNext/>
        <w:keepLines/>
        <w:spacing w:before="288" w:after="192"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granted</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to</w:t>
      </w:r>
      <w:r>
        <w:rPr>
          <w:b/>
          <w:bCs/>
        </w:rPr>
        <w:t xml:space="preserve"> </w:t>
      </w:r>
      <w:r>
        <w:rPr>
          <w:b/>
          <w:bCs/>
        </w:rPr>
        <w:t xml:space="preserve">Plaintiffs.</w:t>
      </w:r>
    </w:p>
    <w:p>
      <w:pPr>
        <w:keepNext/>
        <w:keepLines/>
        <w:spacing w:before="240" w:after="192" w:line="276" w:lineRule="exact"/>
        <w:ind w:left="720" w:hanging="720"/>
        <w:jc w:val="left"/>
      </w:pPr>
      <w:r>
        <w:rPr>
          <w:b/>
          <w:bCs/>
        </w:rPr>
        <w:t xml:space="preserve">A.</w:t>
      </w:r>
      <w:r>
        <w:rPr>
          <w:b/>
          <w:bCs/>
        </w:rPr>
        <w:t xml:space="preserve"> </w:t>
      </w:r>
      <w:r>
        <w:rPr>
          <w:b/>
          <w:bCs/>
        </w:rPr>
        <w:t xml:space="preserve">Plaintiffs</w:t>
      </w:r>
      <w:r>
        <w:rPr>
          <w:b/>
          <w:bCs/>
        </w:rPr>
        <w:t xml:space="preserve"> </w:t>
      </w:r>
      <w:r>
        <w:rPr>
          <w:b/>
          <w:bCs/>
        </w:rPr>
        <w:t xml:space="preserve">have</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bring</w:t>
      </w:r>
      <w:r>
        <w:rPr>
          <w:b/>
          <w:bCs/>
        </w:rPr>
        <w:t xml:space="preserve"> </w:t>
      </w:r>
      <w:r>
        <w:rPr>
          <w:b/>
          <w:bCs/>
        </w:rPr>
        <w:t xml:space="preserve">their</w:t>
      </w:r>
      <w:r>
        <w:rPr>
          <w:b/>
          <w:bCs/>
        </w:rPr>
        <w:t xml:space="preserve"> </w:t>
      </w:r>
      <w:r>
        <w:rPr>
          <w:b/>
          <w:bCs/>
        </w:rPr>
        <w:t xml:space="preserve">claims.</w:t>
      </w:r>
    </w:p>
    <w:p>
      <w:pPr>
        <w:pStyle w:val="BodyText"/>
      </w:pPr>
      <w:r>
        <w:t xml:space="preserve">In order to have standing to attack the constitutionality of a legislative enactment, the private litigant must generally show that he or she has suffered or is threatened with direct and concrete injury in a manner or degree different from that suffered by the public in general, that the law in question has caused the injury, and that the relief requested will redress the injury.</w:t>
      </w:r>
    </w:p>
    <w:p>
      <w:pPr>
        <w:pStyle w:val="XdQuoteOnly"/>
      </w:pPr>
      <w:r>
        <w:rPr>
          <w:i/>
          <w:iCs/>
        </w:rPr>
        <w:t xml:space="preserve">State ex rel. Ohio Academy of Trial Lawyers v. Sheward</w:t>
      </w:r>
      <w:r>
        <w:t xml:space="preserve">, 86 Ohio St.3d 451, 469–70, 715 N.E.2d 1062 (1999).</w:t>
      </w:r>
    </w:p>
    <w:p>
      <w:pPr>
        <w:pStyle w:val="BodyText"/>
      </w:pPr>
      <w:r>
        <w:t xml:space="preserve">In this case, there is little question that Plaintiffs have standing to challenge the large capacity magazine (LCM) ban. Plaintiffs have all alleged—and attested—that they possess an LCM in the city or own LCMs but removed them from the city on fear of prosecution but seek to return them to their city property. This satisfies the standing requirement on this issue. Further, below, Defendants objected to standing only as to the safe storage regulation as to John Does 1–4 and Jane Doe. They specifically stated that the court should dismiss the claims of those Plaintiffs as to the firearms storage regulations “and maintain them only for John Doe 5.” Defs.’ Mem. Contra Pls.’ Renewed Mot. for TRO and Prelim. Inj. at 8–9. But once standing is established for one plaintiff, “the standing of other plaintiffs is immaterial.”</w:t>
      </w:r>
      <w:r>
        <w:t xml:space="preserve"> </w:t>
      </w:r>
      <w:r>
        <w:rPr>
          <w:i/>
          <w:iCs/>
        </w:rPr>
        <w:t xml:space="preserve">Natl. Wildlife</w:t>
      </w:r>
      <w:r>
        <w:rPr>
          <w:i/>
          <w:iCs/>
        </w:rPr>
        <w:t xml:space="preserve"> </w:t>
      </w:r>
      <w:r>
        <w:rPr>
          <w:i/>
          <w:iCs/>
        </w:rPr>
        <w:t xml:space="preserve">Fedn. v. Agricultural Stabilization &amp; Conservation Serv.</w:t>
      </w:r>
      <w:r>
        <w:t xml:space="preserve">, 955 F.2d 1199, 1203 (8th Cir.1992), citing</w:t>
      </w:r>
      <w:r>
        <w:t xml:space="preserve"> </w:t>
      </w:r>
      <w:r>
        <w:rPr>
          <w:i/>
          <w:iCs/>
        </w:rPr>
        <w:t xml:space="preserve">Bowen</w:t>
      </w:r>
      <w:r>
        <w:rPr>
          <w:i/>
          <w:iCs/>
        </w:rPr>
        <w:t xml:space="preserve"> </w:t>
      </w:r>
      <w:r>
        <w:rPr>
          <w:i/>
          <w:iCs/>
        </w:rPr>
        <w:t xml:space="preserve">v. Kendrick</w:t>
      </w:r>
      <w:r>
        <w:t xml:space="preserve">, 487 U.S. 589, 620 n. 15 (1988). John Doe 5 has pled adequate facts to satisfy the traditional standing requirements for both the safe storage provision and the LCM ban.</w:t>
      </w:r>
    </w:p>
    <w:p>
      <w:pPr>
        <w:pStyle w:val="BodyText"/>
      </w:pPr>
      <w:r>
        <w:t xml:space="preserve">Defendants otherwise misstate Plaintiffs claims.</w:t>
      </w:r>
      <w:r>
        <w:t xml:space="preserve"> </w:t>
      </w:r>
      <w:r>
        <w:rPr>
          <w:i/>
          <w:iCs/>
        </w:rPr>
        <w:t xml:space="preserve">See</w:t>
      </w:r>
      <w:r>
        <w:t xml:space="preserve"> </w:t>
      </w:r>
      <w:r>
        <w:t xml:space="preserve">Br. of Appellants at 14–16. While Plaintiffs’ Amended Complaint references Defendants’ ordinances, Plaintiffs’ claims for relief are directed at specific Columbus City Codes enacted by those ordinances, namely “Columbus City Codes 2323.32,</w:t>
      </w:r>
      <w:r>
        <w:t xml:space="preserve"> </w:t>
      </w:r>
      <w:r>
        <w:t xml:space="preserve">2323.11(N) and (O), 2323.321, and 2323.191 * * * .” Am. Compl. at 21–22. Plaintiffs sought (and obtained) a “preliminary injunction barring Defendant’s from enforcing the challenged code provisions.”</w:t>
      </w:r>
      <w:r>
        <w:t xml:space="preserve"> </w:t>
      </w:r>
      <w:r>
        <w:rPr>
          <w:i/>
          <w:iCs/>
        </w:rPr>
        <w:t xml:space="preserve">Id.</w:t>
      </w:r>
      <w:r>
        <w:t xml:space="preserve"> </w:t>
      </w:r>
      <w:r>
        <w:t xml:space="preserve">Defendants are correct that Plaintiffs have not asserted that they are barred from purchasing a weapon or intend to sell or furnish a weapon to an individual who is so barred, because Plaintiffs have not challenged the Columbus City Code provision for negligent sale of a firearm. Thus, no standing inquiry into this code provision is necessary.</w:t>
      </w:r>
    </w:p>
    <w:p>
      <w:pPr>
        <w:keepNext/>
        <w:keepLines/>
        <w:spacing w:before="240" w:after="192" w:line="276" w:lineRule="exact"/>
        <w:ind w:left="720" w:hanging="720"/>
        <w:jc w:val="left"/>
      </w:pPr>
      <w:r>
        <w:rPr>
          <w:b/>
          <w:bCs/>
        </w:rPr>
        <w:t xml:space="preserve">B.</w:t>
      </w:r>
      <w:r>
        <w:rPr>
          <w:b/>
          <w:bCs/>
        </w:rPr>
        <w:t xml:space="preserve"> </w:t>
      </w:r>
      <w:r>
        <w:rPr>
          <w:b/>
          <w:bCs/>
        </w:rPr>
        <w:t xml:space="preserve">Municipalities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and,</w:t>
      </w:r>
      <w:r>
        <w:rPr>
          <w:b/>
          <w:bCs/>
        </w:rPr>
        <w:t xml:space="preserve"> </w:t>
      </w:r>
      <w:r>
        <w:rPr>
          <w:b/>
          <w:bCs/>
        </w:rPr>
        <w:t xml:space="preserve">regardless,</w:t>
      </w:r>
      <w:r>
        <w:rPr>
          <w:b/>
          <w:bCs/>
        </w:rPr>
        <w:t xml:space="preserve"> </w:t>
      </w:r>
      <w:r>
        <w:rPr>
          <w:b/>
          <w:bCs/>
        </w:rPr>
        <w:t xml:space="preserve">Defendants</w:t>
      </w:r>
      <w:r>
        <w:rPr>
          <w:b/>
          <w:bCs/>
        </w:rPr>
        <w:t xml:space="preserve"> </w:t>
      </w:r>
      <w:r>
        <w:rPr>
          <w:b/>
          <w:bCs/>
        </w:rPr>
        <w:t xml:space="preserve">had</w:t>
      </w:r>
      <w:r>
        <w:rPr>
          <w:b/>
          <w:bCs/>
        </w:rPr>
        <w:t xml:space="preserve"> </w:t>
      </w:r>
      <w:r>
        <w:rPr>
          <w:b/>
          <w:bCs/>
        </w:rPr>
        <w:t xml:space="preserve">notice</w:t>
      </w:r>
      <w:r>
        <w:rPr>
          <w:b/>
          <w:bCs/>
        </w:rPr>
        <w:t xml:space="preserve"> </w:t>
      </w:r>
      <w:r>
        <w:rPr>
          <w:b/>
          <w:bCs/>
        </w:rPr>
        <w:t xml:space="preserve">and</w:t>
      </w:r>
      <w:r>
        <w:rPr>
          <w:b/>
          <w:bCs/>
        </w:rPr>
        <w:t xml:space="preserve"> </w:t>
      </w:r>
      <w:r>
        <w:rPr>
          <w:b/>
          <w:bCs/>
        </w:rPr>
        <w:t xml:space="preserve">an</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heard</w:t>
      </w:r>
      <w:r>
        <w:rPr>
          <w:b/>
          <w:bCs/>
        </w:rPr>
        <w:t xml:space="preserve"> </w:t>
      </w:r>
      <w:r>
        <w:rPr>
          <w:b/>
          <w:bCs/>
        </w:rPr>
        <w:t xml:space="preserve">on</w:t>
      </w:r>
      <w:r>
        <w:rPr>
          <w:b/>
          <w:bCs/>
        </w:rPr>
        <w:t xml:space="preserve"> </w:t>
      </w:r>
      <w:r>
        <w:rPr>
          <w:b/>
          <w:bCs/>
        </w:rPr>
        <w:t xml:space="preserve">John</w:t>
      </w:r>
      <w:r>
        <w:rPr>
          <w:b/>
          <w:bCs/>
        </w:rPr>
        <w:t xml:space="preserve"> </w:t>
      </w:r>
      <w:r>
        <w:rPr>
          <w:b/>
          <w:bCs/>
        </w:rPr>
        <w:t xml:space="preserve">Doe</w:t>
      </w:r>
      <w:r>
        <w:rPr>
          <w:b/>
          <w:bCs/>
        </w:rPr>
        <w:t xml:space="preserve"> </w:t>
      </w:r>
      <w:r>
        <w:rPr>
          <w:b/>
          <w:bCs/>
        </w:rPr>
        <w:t xml:space="preserve">5’s</w:t>
      </w:r>
      <w:r>
        <w:rPr>
          <w:b/>
          <w:bCs/>
        </w:rPr>
        <w:t xml:space="preserve"> </w:t>
      </w:r>
      <w:r>
        <w:rPr>
          <w:b/>
          <w:bCs/>
        </w:rPr>
        <w:t xml:space="preserve">addition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preliminary</w:t>
      </w:r>
      <w:r>
        <w:rPr>
          <w:b/>
          <w:bCs/>
        </w:rPr>
        <w:t xml:space="preserve"> </w:t>
      </w:r>
      <w:r>
        <w:rPr>
          <w:b/>
          <w:bCs/>
        </w:rPr>
        <w:t xml:space="preserve">injunction.</w:t>
      </w:r>
    </w:p>
    <w:p>
      <w:pPr>
        <w:pStyle w:val="BodyText"/>
      </w:pPr>
      <w:r>
        <w:t xml:space="preserve">Defendants next invoke due process. Defendants’ claim that they did not have notice and an opportunity to be heard on the application of the preliminary injunction after John Doe 5’s addition is specious. First, due process rights “do not apply to municipal corporations or other political subdivisions.”</w:t>
      </w:r>
      <w:r>
        <w:t xml:space="preserve"> </w:t>
      </w:r>
      <w:r>
        <w:rPr>
          <w:i/>
          <w:iCs/>
        </w:rPr>
        <w:t xml:space="preserve">Hamilton v. Fairfield</w:t>
      </w:r>
      <w:r>
        <w:rPr>
          <w:i/>
          <w:iCs/>
        </w:rPr>
        <w:t xml:space="preserve"> </w:t>
      </w:r>
      <w:r>
        <w:rPr>
          <w:i/>
          <w:iCs/>
        </w:rPr>
        <w:t xml:space="preserve">Twp.</w:t>
      </w:r>
      <w:r>
        <w:t xml:space="preserve">, 112 Ohio App. 3d 255, 275, 678 N.E.2d 599 (12th Dist.1996).</w:t>
      </w:r>
    </w:p>
    <w:p>
      <w:pPr>
        <w:pStyle w:val="BodyText"/>
      </w:pPr>
      <w:r>
        <w:t xml:space="preserve">Plaintiffs gave Defendants notice of John Doe 5’s addition to the case via the Amended Complaint and to the Preliminary Injunction motion via the renewed motion for preliminary injunction, filed on March 10 and 17, respectively. Defendants then moved to dismiss the Amended Complaint on March 24 and filed a memorandum contra Plaintiffs’ renewed preliminary injunction request on March 31. Defendants thus had any possibly required notice and opportunity to be heard a month before the trial court ruled on the motions on April 25.</w:t>
      </w:r>
      <w:r>
        <w:t xml:space="preserve"> </w:t>
      </w:r>
      <w:r>
        <w:rPr>
          <w:i/>
          <w:iCs/>
        </w:rPr>
        <w:t xml:space="preserve">See RDSOR</w:t>
      </w:r>
      <w:r>
        <w:rPr>
          <w:i/>
          <w:iCs/>
        </w:rPr>
        <w:t xml:space="preserve"> </w:t>
      </w:r>
      <w:r>
        <w:rPr>
          <w:i/>
          <w:iCs/>
        </w:rPr>
        <w:t xml:space="preserve">v. Knox Cty. Bd. of Revision</w:t>
      </w:r>
      <w:r>
        <w:t xml:space="preserve">, 5th Dist. Knox No. 07-CA</w:t>
      </w:r>
      <w:r>
        <w:noBreakHyphen/>
      </w:r>
      <w:r>
        <w:t xml:space="preserve">12, 2008-Ohio</w:t>
      </w:r>
      <w:r>
        <w:noBreakHyphen/>
      </w:r>
      <w:r>
        <w:t xml:space="preserve">897, ¶ 26.</w:t>
      </w:r>
    </w:p>
    <w:p>
      <w:pPr>
        <w:pStyle w:val="BodyText"/>
      </w:pPr>
      <w:r>
        <w:t xml:space="preserve">Finally, Defendants do not—and cannot—challenge the fact that Plaintiffs’ affidavits provide that they have a personal controversy over the 30-round magazine ban. As Defendants acknowledge, all Plaintiffs attested to their possession of 30-round magazines within the City of Columbus, except one who removed it from the jurisdiction pending an outcome in this case out of fear that Defendants would arrest him. All Plaintiffs attested that they do or intend to possess magazines prohibited by Defendants’ ordinances and thus have standing to challenge their unconstitutional and unlawful banning. And, affidavits alone “may be used to obtain a provisional remedy such as a temporary injunction.”</w:t>
      </w:r>
      <w:r>
        <w:t xml:space="preserve"> </w:t>
      </w:r>
      <w:r>
        <w:rPr>
          <w:i/>
          <w:iCs/>
        </w:rPr>
        <w:t xml:space="preserve">Natl. City Bank of Cleveland v. Natl. City Window Cleaning</w:t>
      </w:r>
      <w:r>
        <w:rPr>
          <w:i/>
          <w:iCs/>
        </w:rPr>
        <w:t xml:space="preserve"> </w:t>
      </w:r>
      <w:r>
        <w:rPr>
          <w:i/>
          <w:iCs/>
        </w:rPr>
        <w:t xml:space="preserve">Co.</w:t>
      </w:r>
      <w:r>
        <w:t xml:space="preserve">, 174 Ohio St. 510, 190 N.E.2d 437, 440 (1963), citing R.C. 2319.03</w:t>
      </w:r>
      <w:r>
        <w:t xml:space="preserve"> </w:t>
      </w:r>
      <w:r>
        <w:t xml:space="preserve">(“An affidavit may be used to * * * obtain a provisional remedy * * * .”).</w:t>
      </w:r>
    </w:p>
    <w:p>
      <w:pPr>
        <w:pStyle w:val="BodyText"/>
      </w:pPr>
      <w:r>
        <w:t xml:space="preserve">Thus, Plaintiffs have standing to challenge the code provisions enacted by the ordinances.</w:t>
      </w:r>
    </w:p>
    <w:p>
      <w:pPr>
        <w:keepNext/>
        <w:keepLines/>
        <w:spacing w:before="240" w:after="192" w:line="276" w:lineRule="exact"/>
        <w:ind w:left="720" w:hanging="720"/>
        <w:jc w:val="left"/>
      </w:pPr>
      <w:r>
        <w:rPr>
          <w:b/>
          <w:bCs/>
        </w:rPr>
        <w:t xml:space="preserve">C.</w:t>
      </w:r>
      <w:r>
        <w:rPr>
          <w:b/>
          <w:bCs/>
        </w:rPr>
        <w:t xml:space="preserve"> </w:t>
      </w:r>
      <w:r>
        <w:rPr>
          <w:b/>
          <w:bCs/>
        </w:rPr>
        <w:t xml:space="preserve">Plaintiffs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prevail</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constitutional</w:t>
      </w:r>
      <w:r>
        <w:rPr>
          <w:b/>
          <w:bCs/>
        </w:rPr>
        <w:t xml:space="preserve"> </w:t>
      </w:r>
      <w:r>
        <w:rPr>
          <w:b/>
          <w:bCs/>
        </w:rPr>
        <w:t xml:space="preserve">claim</w:t>
      </w:r>
      <w:r>
        <w:rPr>
          <w:b/>
          <w:bCs/>
        </w:rPr>
        <w:t xml:space="preserve"> </w:t>
      </w:r>
      <w:r>
        <w:rPr>
          <w:b/>
          <w:bCs/>
        </w:rPr>
        <w:t xml:space="preserve">because</w:t>
      </w:r>
      <w:r>
        <w:rPr>
          <w:b/>
          <w:bCs/>
        </w:rPr>
        <w:t xml:space="preserve"> </w:t>
      </w:r>
      <w:r>
        <w:rPr>
          <w:b/>
          <w:bCs/>
        </w:rPr>
        <w:t xml:space="preserve">Article</w:t>
      </w:r>
      <w:r>
        <w:rPr>
          <w:b/>
          <w:bCs/>
        </w:rPr>
        <w:t xml:space="preserve"> </w:t>
      </w:r>
      <w:r>
        <w:rPr>
          <w:b/>
          <w:bCs/>
        </w:rPr>
        <w:t xml:space="preserve">I,</w:t>
      </w:r>
      <w:r>
        <w:rPr>
          <w:b/>
          <w:bCs/>
        </w:rPr>
        <w:t xml:space="preserve"> </w:t>
      </w:r>
      <w:r>
        <w:rPr>
          <w:b/>
          <w:bCs/>
        </w:rPr>
        <w:t xml:space="preserve">Section</w:t>
      </w:r>
      <w:r>
        <w:rPr>
          <w:b/>
          <w:bCs/>
        </w:rPr>
        <w:t xml:space="preserve"> </w:t>
      </w:r>
      <w:r>
        <w:rPr>
          <w:b/>
          <w:bCs/>
        </w:rPr>
        <w:t xml:space="preserve">4</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interpreted</w:t>
      </w:r>
      <w:r>
        <w:rPr>
          <w:b/>
          <w:bCs/>
        </w:rPr>
        <w:t xml:space="preserve"> </w:t>
      </w:r>
      <w:r>
        <w:rPr>
          <w:b/>
          <w:bCs/>
        </w:rPr>
        <w:t xml:space="preserve">in</w:t>
      </w:r>
      <w:r>
        <w:rPr>
          <w:b/>
          <w:bCs/>
        </w:rPr>
        <w:t xml:space="preserve"> </w:t>
      </w:r>
      <w:r>
        <w:rPr>
          <w:b/>
          <w:bCs/>
        </w:rPr>
        <w:t xml:space="preserve">light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Amendment.</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Second</w:t>
      </w:r>
      <w:r>
        <w:rPr>
          <w:b/>
          <w:bCs/>
          <w:i/>
          <w:iCs/>
        </w:rPr>
        <w:t xml:space="preserve"> </w:t>
      </w:r>
      <w:r>
        <w:rPr>
          <w:b/>
          <w:bCs/>
          <w:i/>
          <w:iCs/>
        </w:rPr>
        <w:t xml:space="preserve">Amendment</w:t>
      </w:r>
      <w:r>
        <w:rPr>
          <w:b/>
          <w:bCs/>
          <w:i/>
          <w:iCs/>
        </w:rPr>
        <w:t xml:space="preserve"> </w:t>
      </w:r>
      <w:r>
        <w:rPr>
          <w:b/>
          <w:bCs/>
          <w:i/>
          <w:iCs/>
        </w:rPr>
        <w:t xml:space="preserve">is</w:t>
      </w:r>
      <w:r>
        <w:rPr>
          <w:b/>
          <w:bCs/>
          <w:i/>
          <w:iCs/>
        </w:rPr>
        <w:t xml:space="preserve"> </w:t>
      </w:r>
      <w:r>
        <w:rPr>
          <w:b/>
          <w:bCs/>
          <w:i/>
          <w:iCs/>
        </w:rPr>
        <w:t xml:space="preserve">the</w:t>
      </w:r>
      <w:r>
        <w:rPr>
          <w:b/>
          <w:bCs/>
          <w:i/>
          <w:iCs/>
        </w:rPr>
        <w:t xml:space="preserve"> </w:t>
      </w:r>
      <w:r>
        <w:rPr>
          <w:b/>
          <w:bCs/>
          <w:i/>
          <w:iCs/>
        </w:rPr>
        <w:t xml:space="preserve">floor</w:t>
      </w:r>
      <w:r>
        <w:rPr>
          <w:b/>
          <w:bCs/>
          <w:i/>
          <w:iCs/>
        </w:rPr>
        <w:t xml:space="preserve"> </w:t>
      </w:r>
      <w:r>
        <w:rPr>
          <w:b/>
          <w:bCs/>
          <w:i/>
          <w:iCs/>
        </w:rPr>
        <w:t xml:space="preserve">for</w:t>
      </w:r>
      <w:r>
        <w:rPr>
          <w:b/>
          <w:bCs/>
          <w:i/>
          <w:iCs/>
        </w:rPr>
        <w:t xml:space="preserve"> </w:t>
      </w:r>
      <w:r>
        <w:rPr>
          <w:b/>
          <w:bCs/>
          <w:i/>
          <w:iCs/>
        </w:rPr>
        <w:t xml:space="preserve">Article</w:t>
      </w:r>
      <w:r>
        <w:rPr>
          <w:b/>
          <w:bCs/>
          <w:i/>
          <w:iCs/>
        </w:rPr>
        <w:t xml:space="preserve"> </w:t>
      </w:r>
      <w:r>
        <w:rPr>
          <w:b/>
          <w:bCs/>
          <w:i/>
          <w:iCs/>
        </w:rPr>
        <w:t xml:space="preserve">I,</w:t>
      </w:r>
      <w:r>
        <w:rPr>
          <w:b/>
          <w:bCs/>
          <w:i/>
          <w:iCs/>
        </w:rPr>
        <w:t xml:space="preserve"> </w:t>
      </w:r>
      <w:r>
        <w:rPr>
          <w:b/>
          <w:bCs/>
          <w:i/>
          <w:iCs/>
        </w:rPr>
        <w:t xml:space="preserve">Section</w:t>
      </w:r>
      <w:r>
        <w:rPr>
          <w:b/>
          <w:bCs/>
          <w:i/>
          <w:iCs/>
        </w:rPr>
        <w:t xml:space="preserve"> </w:t>
      </w:r>
      <w:r>
        <w:rPr>
          <w:b/>
          <w:bCs/>
          <w:i/>
          <w:iCs/>
        </w:rPr>
        <w:t xml:space="preserve">4.</w:t>
      </w:r>
    </w:p>
    <w:p>
      <w:pPr>
        <w:pStyle w:val="BodyText"/>
      </w:pPr>
      <w:r>
        <w:t xml:space="preserve">“[T]he Ohio Constitution is a document of independent force,” and the Ohio Supreme Court has “held that the state courts may recognize protections under the Ohio Constitution that are greater than those provided by the United States Constitution.”</w:t>
      </w:r>
      <w:r>
        <w:t xml:space="preserve"> </w:t>
      </w:r>
      <w:r>
        <w:rPr>
          <w:i/>
          <w:iCs/>
        </w:rPr>
        <w:t xml:space="preserve">Stolz</w:t>
      </w:r>
      <w:r>
        <w:rPr>
          <w:i/>
          <w:iCs/>
        </w:rPr>
        <w:t xml:space="preserve"> </w:t>
      </w:r>
      <w:r>
        <w:rPr>
          <w:i/>
          <w:iCs/>
        </w:rPr>
        <w:t xml:space="preserve">v. J &amp; B Steel Erectors, Inc.</w:t>
      </w:r>
      <w:r>
        <w:t xml:space="preserve">, 155 Ohio St.3d 567, 2018-Ohio</w:t>
      </w:r>
      <w:r>
        <w:noBreakHyphen/>
      </w:r>
      <w:r>
        <w:t xml:space="preserve">5088, 122 N.E.3d 1228, ¶ 30. Contrary to Defendants’ claims, the trial court did not “reject” the Ohio Supreme Court’s</w:t>
      </w:r>
      <w:r>
        <w:t xml:space="preserve"> </w:t>
      </w:r>
      <w:r>
        <w:rPr>
          <w:i/>
          <w:iCs/>
        </w:rPr>
        <w:t xml:space="preserve">Arnold</w:t>
      </w:r>
      <w:r>
        <w:t xml:space="preserve"> </w:t>
      </w:r>
      <w:r>
        <w:t xml:space="preserve">analysis. Instead, the trial court applied</w:t>
      </w:r>
      <w:r>
        <w:t xml:space="preserve"> </w:t>
      </w:r>
      <w:r>
        <w:rPr>
          <w:i/>
          <w:iCs/>
        </w:rPr>
        <w:t xml:space="preserve">Arnold</w:t>
      </w:r>
      <w:r>
        <w:t xml:space="preserve">’s command that</w:t>
      </w:r>
    </w:p>
    <w:p>
      <w:pPr>
        <w:pStyle w:val="XdQuoteOnly"/>
      </w:pPr>
      <w:r>
        <w:t xml:space="preserve">[i]n the areas of individual rights and civil liberties, the United States Constitution, where applicable to the states, provides a floor below which state court decisions may not fall. As long as state courts provide at least as much protection as the United States Supreme Court has provided in its interpretation of the federal Bill of Rights, state courts are unrestricted in according greater civil liberties and protections to individuals and groups.</w:t>
      </w:r>
    </w:p>
    <w:p>
      <w:pPr>
        <w:pStyle w:val="BodyText"/>
      </w:pPr>
      <w:r>
        <w:t xml:space="preserve">(Emphasis added.)</w:t>
      </w:r>
      <w:r>
        <w:t xml:space="preserve"> </w:t>
      </w:r>
      <w:r>
        <w:rPr>
          <w:i/>
          <w:iCs/>
        </w:rPr>
        <w:t xml:space="preserve">Arnold</w:t>
      </w:r>
      <w:r>
        <w:rPr>
          <w:i/>
          <w:iCs/>
        </w:rPr>
        <w:t xml:space="preserve"> </w:t>
      </w:r>
      <w:r>
        <w:rPr>
          <w:i/>
          <w:iCs/>
        </w:rPr>
        <w:t xml:space="preserve">v. Cleveland</w:t>
      </w:r>
      <w:r>
        <w:t xml:space="preserve">, 67 Ohio St. 3d 35, 42, 616 N.E.2d 163 (1993).</w:t>
      </w:r>
    </w:p>
    <w:p>
      <w:pPr>
        <w:pStyle w:val="BodyText"/>
      </w:pPr>
      <w:r>
        <w:t xml:space="preserve">When</w:t>
      </w:r>
      <w:r>
        <w:t xml:space="preserve"> </w:t>
      </w:r>
      <w:r>
        <w:rPr>
          <w:i/>
          <w:iCs/>
        </w:rPr>
        <w:t xml:space="preserve">Arnold</w:t>
      </w:r>
      <w:r>
        <w:t xml:space="preserve"> </w:t>
      </w:r>
      <w:r>
        <w:t xml:space="preserve">was decided in 1993, many federal courts considered the Second Amendment to provide a collective right and analyzed any law impinging on it using a reasonableness test.</w:t>
      </w:r>
      <w:r>
        <w:t xml:space="preserve"> </w:t>
      </w:r>
      <w:r>
        <w:rPr>
          <w:i/>
          <w:iCs/>
        </w:rPr>
        <w:t xml:space="preserve">See District of Columbia v. Heller</w:t>
      </w:r>
      <w:r>
        <w:t xml:space="preserve">, 554 U.S. 570, 622 (2008). But</w:t>
      </w:r>
      <w:r>
        <w:t xml:space="preserve"> </w:t>
      </w:r>
      <w:r>
        <w:rPr>
          <w:i/>
          <w:iCs/>
        </w:rPr>
        <w:t xml:space="preserve">Arnold</w:t>
      </w:r>
      <w:r>
        <w:t xml:space="preserve"> </w:t>
      </w:r>
      <w:r>
        <w:t xml:space="preserve">recognized that the Ohio Constitution protected this right for individuals and that “Section 4, Article I of the Ohio Constitution confers upon the people of Ohio the fundamental right to bear arms.”</w:t>
      </w:r>
      <w:r>
        <w:t xml:space="preserve"> </w:t>
      </w:r>
      <w:r>
        <w:rPr>
          <w:i/>
          <w:iCs/>
        </w:rPr>
        <w:t xml:space="preserve">Arnold</w:t>
      </w:r>
      <w:r>
        <w:t xml:space="preserve"> </w:t>
      </w:r>
      <w:r>
        <w:t xml:space="preserve">at 46. Without a definitive test to evaluate this fundamental right, the</w:t>
      </w:r>
      <w:r>
        <w:t xml:space="preserve"> </w:t>
      </w:r>
      <w:r>
        <w:rPr>
          <w:i/>
          <w:iCs/>
        </w:rPr>
        <w:t xml:space="preserve">Arnold</w:t>
      </w:r>
      <w:r>
        <w:t xml:space="preserve"> </w:t>
      </w:r>
      <w:r>
        <w:t xml:space="preserve">Court concluded that “the test [of a questioned ordinance] is one of reasonableness.”</w:t>
      </w:r>
      <w:r>
        <w:t xml:space="preserve"> </w:t>
      </w:r>
      <w:r>
        <w:rPr>
          <w:i/>
          <w:iCs/>
        </w:rPr>
        <w:t xml:space="preserve">Id.</w:t>
      </w:r>
      <w:r>
        <w:t xml:space="preserve"> </w:t>
      </w:r>
      <w:r>
        <w:t xml:space="preserve">at 47.</w:t>
      </w:r>
    </w:p>
    <w:p>
      <w:pPr>
        <w:pStyle w:val="BodyText"/>
      </w:pPr>
      <w:r>
        <w:t xml:space="preserve">Subsequently, the U.S. Supreme Court ruled in</w:t>
      </w:r>
      <w:r>
        <w:t xml:space="preserve"> </w:t>
      </w:r>
      <w:r>
        <w:rPr>
          <w:i/>
          <w:iCs/>
        </w:rPr>
        <w:t xml:space="preserve">Heller</w:t>
      </w:r>
      <w:r>
        <w:t xml:space="preserve"> </w:t>
      </w:r>
      <w:r>
        <w:t xml:space="preserve">that the Second Amendment protects an individual right to bear arms. And in</w:t>
      </w:r>
      <w:r>
        <w:t xml:space="preserve"> </w:t>
      </w:r>
      <w:r>
        <w:rPr>
          <w:i/>
          <w:iCs/>
        </w:rPr>
        <w:t xml:space="preserve">McDonald</w:t>
      </w:r>
      <w:r>
        <w:rPr>
          <w:i/>
          <w:iCs/>
        </w:rPr>
        <w:t xml:space="preserve"> </w:t>
      </w:r>
      <w:r>
        <w:rPr>
          <w:i/>
          <w:iCs/>
        </w:rPr>
        <w:t xml:space="preserve">v. Chicago</w:t>
      </w:r>
      <w:r>
        <w:t xml:space="preserve">, 561 U.S. 742 (2010), the Court incorporated the right to the states.</w:t>
      </w:r>
      <w:r>
        <w:t xml:space="preserve"> </w:t>
      </w:r>
      <w:r>
        <w:rPr>
          <w:i/>
          <w:iCs/>
        </w:rPr>
        <w:t xml:space="preserve">McDonald</w:t>
      </w:r>
      <w:r>
        <w:t xml:space="preserve">’s incorporation of the Second Amendment triggered</w:t>
      </w:r>
      <w:r>
        <w:t xml:space="preserve"> </w:t>
      </w:r>
      <w:r>
        <w:rPr>
          <w:i/>
          <w:iCs/>
        </w:rPr>
        <w:t xml:space="preserve">Arnold</w:t>
      </w:r>
      <w:r>
        <w:t xml:space="preserve">’s command that “the United States Constitution, where applicable to the states, provides a floor below which state court decisions may not fall.”</w:t>
      </w:r>
      <w:r>
        <w:t xml:space="preserve"> </w:t>
      </w:r>
      <w:r>
        <w:rPr>
          <w:i/>
          <w:iCs/>
        </w:rPr>
        <w:t xml:space="preserve">Arnold</w:t>
      </w:r>
      <w:r>
        <w:t xml:space="preserve"> </w:t>
      </w:r>
      <w:r>
        <w:t xml:space="preserve">at 42. Through this statement, the</w:t>
      </w:r>
      <w:r>
        <w:t xml:space="preserve"> </w:t>
      </w:r>
      <w:r>
        <w:rPr>
          <w:i/>
          <w:iCs/>
        </w:rPr>
        <w:t xml:space="preserve">Arnold</w:t>
      </w:r>
      <w:r>
        <w:t xml:space="preserve"> </w:t>
      </w:r>
      <w:r>
        <w:t xml:space="preserve">court commanded that Article I, Section 4 could not be interpreted to provide less protection than the Second Amendment once it was incorporated. In</w:t>
      </w:r>
      <w:r>
        <w:t xml:space="preserve"> </w:t>
      </w:r>
      <w:r>
        <w:rPr>
          <w:i/>
          <w:iCs/>
        </w:rPr>
        <w:t xml:space="preserve">New York State Rifle &amp; Pistol Assn., Inc. v. Bruen</w:t>
      </w:r>
      <w:r>
        <w:t xml:space="preserve">, 142 S.Ct. 2111, 2129–130 (2022), the U.S. Supreme Court held that state laws infringing on this right are subject to a much stronger protection than the lax “reasonableness” test. The Court explained:</w:t>
      </w:r>
    </w:p>
    <w:p>
      <w:pPr>
        <w:pStyle w:val="XdQuoteOnly"/>
      </w:pPr>
      <w:r>
        <w:t xml:space="preserve">[T]he standard for applying the Second Amendment[’s] [protection of the right to keep and bear arms] is as follows: When the Second Amendment’s plain text covers an individual’s conduct, the Constitution presumptively protects that conduct. The government must then justify its regulation by demonstrating that it is consistent with the Nation’s historical tradition of firearm regulation.</w:t>
      </w:r>
    </w:p>
    <w:p>
      <w:pPr>
        <w:pStyle w:val="BodyText"/>
      </w:pPr>
      <w:r>
        <w:rPr>
          <w:i/>
          <w:iCs/>
        </w:rPr>
        <w:t xml:space="preserve">Id.</w:t>
      </w:r>
      <w:r>
        <w:t xml:space="preserve"> </w:t>
      </w:r>
      <w:r>
        <w:t xml:space="preserve">Even before</w:t>
      </w:r>
      <w:r>
        <w:t xml:space="preserve"> </w:t>
      </w:r>
      <w:r>
        <w:rPr>
          <w:i/>
          <w:iCs/>
        </w:rPr>
        <w:t xml:space="preserve">Bruen</w:t>
      </w:r>
      <w:r>
        <w:t xml:space="preserve">, the Ohio Supreme Court, guided by</w:t>
      </w:r>
      <w:r>
        <w:t xml:space="preserve"> </w:t>
      </w:r>
      <w:r>
        <w:rPr>
          <w:i/>
          <w:iCs/>
        </w:rPr>
        <w:t xml:space="preserve">Heller</w:t>
      </w:r>
      <w:r>
        <w:t xml:space="preserve">, was moving in that same direction:</w:t>
      </w:r>
    </w:p>
    <w:p>
      <w:pPr>
        <w:pStyle w:val="XdQuoteOnly"/>
      </w:pPr>
      <w:r>
        <w:t xml:space="preserve">A city, for example, might decide to pass legislation banning handguns. In support, it might proffer a wealth of statistics and sociological studies to show that the city’s handgun ban is absolutely necessary to prevent gun violence. Confronting such a claim, a court need not sift through this evidence and ask whether more narrowly tailored ways would achieve the compelling governmental interest of reducing gun violence. Such an inquiry is unnecessary because the Second Amendment has taken the question off the table.</w:t>
      </w:r>
    </w:p>
    <w:p>
      <w:pPr>
        <w:pStyle w:val="BodyText"/>
      </w:pPr>
      <w:r>
        <w:rPr>
          <w:i/>
          <w:iCs/>
        </w:rPr>
        <w:t xml:space="preserve">State v. Weber</w:t>
      </w:r>
      <w:r>
        <w:t xml:space="preserve">, 163 Ohio St. 3d 125, 2020-Ohio</w:t>
      </w:r>
      <w:r>
        <w:noBreakHyphen/>
      </w:r>
      <w:r>
        <w:t xml:space="preserve">6832, 168 N.E.3d 468, 473, ¶ 69 (DeWine, J., concurring in the judgment).</w:t>
      </w:r>
    </w:p>
    <w:p>
      <w:pPr>
        <w:pStyle w:val="BodyTextNote"/>
      </w:pPr>
      <w:r>
        <w:t xml:space="preserve">Under the</w:t>
      </w:r>
      <w:r>
        <w:t xml:space="preserve"> </w:t>
      </w:r>
      <w:r>
        <w:rPr>
          <w:i/>
          <w:iCs/>
        </w:rPr>
        <w:t xml:space="preserve">Bruen</w:t>
      </w:r>
      <w:r>
        <w:t xml:space="preserve"> </w:t>
      </w:r>
      <w:r>
        <w:t xml:space="preserve">test, to regulate conduct covered by the Second Amendment’s text, “[t]he government</w:t>
      </w:r>
      <w:r>
        <w:rPr>
          <w:rStyle w:val="FootnoteReference"/>
        </w:rPr>
        <w:footnoteReference w:id="17"/>
      </w:r>
      <w:r>
        <w:t xml:space="preserve"> </w:t>
      </w:r>
      <w:r>
        <w:t xml:space="preserve">must [] justify its regulation by demonstrating that it is consistent with the Nation’s historical tradition of firearm regulation.” (Emphasis added.)</w:t>
      </w:r>
      <w:r>
        <w:t xml:space="preserve"> </w:t>
      </w:r>
      <w:r>
        <w:rPr>
          <w:i/>
          <w:iCs/>
        </w:rPr>
        <w:t xml:space="preserve">Bruen</w:t>
      </w:r>
      <w:r>
        <w:t xml:space="preserve">, 142 S.Ct. at 2190–130. While the Court expressed its preference for interpreting the Second Amendment following its adoption in 1791, the Court also noted that, consistent with its prior interpretations, colonial laws considering firearms to be “‘dangerous and unusual weapons’ in the 1690s, [] provide no justification for laws restricting the [possession] of weapons that are unquestionably in common use today.”</w:t>
      </w:r>
      <w:r>
        <w:t xml:space="preserve"> </w:t>
      </w:r>
      <w:r>
        <w:rPr>
          <w:i/>
          <w:iCs/>
        </w:rPr>
        <w:t xml:space="preserve">Bruen</w:t>
      </w:r>
      <w:r>
        <w:t xml:space="preserve"> </w:t>
      </w:r>
      <w:r>
        <w:t xml:space="preserve">at 2143. Thus, where modern laws and practice have rejected historical restrictions, the modern common usage controls.</w:t>
      </w:r>
    </w:p>
    <w:p>
      <w:pPr>
        <w:pStyle w:val="BodyText"/>
      </w:pPr>
      <w:r>
        <w:t xml:space="preserve">Thus,</w:t>
      </w:r>
      <w:r>
        <w:t xml:space="preserve"> </w:t>
      </w:r>
      <w:r>
        <w:rPr>
          <w:i/>
          <w:iCs/>
        </w:rPr>
        <w:t xml:space="preserve">Bruen</w:t>
      </w:r>
      <w:r>
        <w:t xml:space="preserve"> </w:t>
      </w:r>
      <w:r>
        <w:t xml:space="preserve">is the “minimal level of protection” under Article I, Section 4’s protection of the right to bear arms.</w:t>
      </w:r>
      <w:r>
        <w:t xml:space="preserve"> </w:t>
      </w:r>
      <w:r>
        <w:rPr>
          <w:i/>
          <w:iCs/>
        </w:rPr>
        <w:t xml:space="preserve">Arnold</w:t>
      </w:r>
      <w:r>
        <w:t xml:space="preserve">, 67 Ohio St.3d at 168, 616 N.E.2d 163. The provisions enacted by Defendants’ ordinances do not come close to meeting the</w:t>
      </w:r>
      <w:r>
        <w:t xml:space="preserve"> </w:t>
      </w:r>
      <w:r>
        <w:rPr>
          <w:i/>
          <w:iCs/>
        </w:rPr>
        <w:t xml:space="preserve">Bruen</w:t>
      </w:r>
      <w:r>
        <w:t xml:space="preserve"> </w:t>
      </w:r>
      <w:r>
        <w:t xml:space="preserve">test.</w:t>
      </w:r>
      <w:r>
        <w:t xml:space="preserve"> </w:t>
      </w:r>
      <w:r>
        <w:rPr>
          <w:i/>
          <w:iCs/>
        </w:rPr>
        <w:t xml:space="preserve">See</w:t>
      </w:r>
      <w:r>
        <w:t xml:space="preserve"> </w:t>
      </w:r>
      <w:r>
        <w:t xml:space="preserve">Pls.’ Renewed Mot. for TRO &amp; Prelim. Inj. at 15–17 (Pls.’ Renewed Mot.). Federal courts have considered the right to bear arms to cover magazines.</w:t>
      </w:r>
      <w:r>
        <w:t xml:space="preserve"> </w:t>
      </w:r>
      <w:r>
        <w:rPr>
          <w:i/>
          <w:iCs/>
        </w:rPr>
        <w:t xml:space="preserve">See, e.g.</w:t>
      </w:r>
      <w:r>
        <w:t xml:space="preserve">,</w:t>
      </w:r>
      <w:r>
        <w:t xml:space="preserve"> </w:t>
      </w:r>
      <w:r>
        <w:rPr>
          <w:i/>
          <w:iCs/>
        </w:rPr>
        <w:t xml:space="preserve">Heller v. District of Columbia (Heller II)</w:t>
      </w:r>
      <w:r>
        <w:t xml:space="preserve">, 670 F.3d 1244, 1264 (D.C. Cir.2011) (“We are not aware of evidence that prohibitions on * * * large-capacity magazines are longstanding and thereby deserving of a presumption of validity.”);</w:t>
      </w:r>
      <w:r>
        <w:t xml:space="preserve"> </w:t>
      </w:r>
      <w:r>
        <w:rPr>
          <w:i/>
          <w:iCs/>
        </w:rPr>
        <w:t xml:space="preserve">Ass’n of New Jersey Rifle</w:t>
      </w:r>
      <w:r>
        <w:rPr>
          <w:i/>
          <w:iCs/>
        </w:rPr>
        <w:t xml:space="preserve"> </w:t>
      </w:r>
      <w:r>
        <w:rPr>
          <w:i/>
          <w:iCs/>
        </w:rPr>
        <w:t xml:space="preserve">&amp; Pistol Clubs, Inc. v. Att’y Gen. New Jersey</w:t>
      </w:r>
      <w:r>
        <w:t xml:space="preserve">, 910 F.3d 106, 116–17 (3d Cir.2018), abrogated by</w:t>
      </w:r>
      <w:r>
        <w:t xml:space="preserve"> </w:t>
      </w:r>
      <w:r>
        <w:rPr>
          <w:i/>
          <w:iCs/>
        </w:rPr>
        <w:t xml:space="preserve">Bruen</w:t>
      </w:r>
      <w:r>
        <w:t xml:space="preserve">, 142 S.Ct. at 2126–127 (noting that according to the record, magazines are typically owned by law abiding citizens and that “there is no longstanding history of [large capacity magazine] regulation”). The same is true for Ohio’s history.</w:t>
      </w:r>
    </w:p>
    <w:p>
      <w:pPr>
        <w:pStyle w:val="BodyText"/>
      </w:pPr>
      <w:r>
        <w:t xml:space="preserve">Defendants’ witness affirmed that 30-round magazines have been in civilian usage for a “long time,” Tr. at 30, and that “there are very valid reasons why someone might want to have a high capacity magazine,” Tr. at 25. While he recognized that large capacity magazines—meaning 31 rounds or more, Tr. at 46—were previously regulated by Ohio, he was mistaken in saying that Ohio had banned them. Tr. at 23–24, 61. Rather, Ohio law restricted “dangerous ordinance,” which included certain firearms capable of accepting magazines which held a specified number of rounds. R.C. 2923.11(E)</w:t>
      </w:r>
      <w:r>
        <w:t xml:space="preserve"> </w:t>
      </w:r>
      <w:r>
        <w:t xml:space="preserve">(2013). But the law did not ban either those magazines or firearms; it simply required a license or permit to possess the firearm. R.C. 2923.17(C)⁠(7)</w:t>
      </w:r>
      <w:r>
        <w:t xml:space="preserve"> </w:t>
      </w:r>
      <w:r>
        <w:t xml:space="preserve">(2011). See Pls.’ Renewed Mot. at 16–17.</w:t>
      </w:r>
    </w:p>
    <w:p>
      <w:pPr>
        <w:pStyle w:val="BodyText"/>
      </w:pPr>
      <w:r>
        <w:t xml:space="preserve">As time moved on, Ohio has rejected the restriction of magazine capacities. The state continuously raised the number of rounds that a licensed firearm may carry, until the state eliminated that number all together. Similarly, only 13 states currently prohibit 30-round magazines, and those laws have been subject to numerous lawsuits. See Wisevoter,</w:t>
      </w:r>
      <w:r>
        <w:t xml:space="preserve"> </w:t>
      </w:r>
      <w:r>
        <w:t xml:space="preserve">States With Magazine Restrictions, Https://wisevoter.com/​state-rankings/​states-with-magazine-restrictions/. It is estimated that at least 80 million 30-round magazines are owned in the U.S. National Shooting Sports Foundation,</w:t>
      </w:r>
      <w:r>
        <w:t xml:space="preserve"> </w:t>
      </w:r>
      <w:r>
        <w:t xml:space="preserve">Another Ban on “High-Capacity” Magazines? (2020), https://​www.​nssf.​org/​wp-​content/​uploads/​2021/​03/​NSSF-​factsheet-​High-​Capacity-​Magazines.​pdf. While it is unknown exactly how many of these magazines are possessed in Ohio, Columbus retailers regularly sell these magazines by themselves and—as packaged from the factory—along with their most popular rifles. See, e.g., Vance Outdoors,</w:t>
      </w:r>
      <w:r>
        <w:t xml:space="preserve"> </w:t>
      </w:r>
      <w:r>
        <w:t xml:space="preserve">Rifles, https://​www.​vanceoutdoors.​com/​category.​cfm/​outdoors/​rifles/​CurrentPage/​1. Similarly, when a federal judge threw out the state’s ban on 10-round magazines, “[m]ore than a million high-capacity ammunition magazines flooded into California during a one-week window * * *.” Thomspon,</w:t>
      </w:r>
      <w:r>
        <w:t xml:space="preserve"> </w:t>
      </w:r>
      <w:r>
        <w:t xml:space="preserve">Gun groups: Million-plus extended magazines flood California (Apr. 14, 2019), https://​www.​vcstar.​com/​story/​news/​2019/​04/​15/​gun-​groups-​million-​plus-​extended-​magazines-​flood-​california/​3443072002/​.</w:t>
      </w:r>
    </w:p>
    <w:p>
      <w:pPr>
        <w:pStyle w:val="BodyText"/>
      </w:pPr>
      <w:r>
        <w:t xml:space="preserve">Ohio and other states’ modern reduction in restrictions along with the numerous amounts of large capacity magazines owned by citizens, show that large capacity magazines are “unquestionably in common use today,”</w:t>
      </w:r>
      <w:r>
        <w:t xml:space="preserve"> </w:t>
      </w:r>
      <w:r>
        <w:rPr>
          <w:i/>
          <w:iCs/>
        </w:rPr>
        <w:t xml:space="preserve">Bruen</w:t>
      </w:r>
      <w:r>
        <w:t xml:space="preserve"> </w:t>
      </w:r>
      <w:r>
        <w:t xml:space="preserve">at 2143. Thus, the modern common usage of large capacity magazines prevents restrictions on the right to keep and bear arms. Defendants have not satisfied their burden of meeting the</w:t>
      </w:r>
      <w:r>
        <w:t xml:space="preserve"> </w:t>
      </w:r>
      <w:r>
        <w:rPr>
          <w:i/>
          <w:iCs/>
        </w:rPr>
        <w:t xml:space="preserve">Bruen</w:t>
      </w:r>
      <w:r>
        <w:t xml:space="preserve"> </w:t>
      </w:r>
      <w:r>
        <w:t xml:space="preserve">test.</w:t>
      </w:r>
    </w:p>
    <w:p>
      <w:pPr>
        <w:pStyle w:val="BodyText"/>
      </w:pPr>
      <w:r>
        <w:t xml:space="preserve">Contrary to Defendants’ assertions, the trial courts reliance on the</w:t>
      </w:r>
      <w:r>
        <w:t xml:space="preserve"> </w:t>
      </w:r>
      <w:r>
        <w:rPr>
          <w:i/>
          <w:iCs/>
        </w:rPr>
        <w:t xml:space="preserve">Duncan</w:t>
      </w:r>
      <w:r>
        <w:t xml:space="preserve"> </w:t>
      </w:r>
      <w:r>
        <w:t xml:space="preserve">cases supports this argument. First, in</w:t>
      </w:r>
      <w:r>
        <w:t xml:space="preserve"> </w:t>
      </w:r>
      <w:r>
        <w:rPr>
          <w:i/>
          <w:iCs/>
        </w:rPr>
        <w:t xml:space="preserve">Duncan v. Bacerra</w:t>
      </w:r>
      <w:r>
        <w:t xml:space="preserve">, 970 F.3d 1133, 1149 (9th Cir. 2020), the Ninth Circuit looked to the history of regulations of large capacity magazines, the test that</w:t>
      </w:r>
      <w:r>
        <w:t xml:space="preserve"> </w:t>
      </w:r>
      <w:r>
        <w:rPr>
          <w:i/>
          <w:iCs/>
        </w:rPr>
        <w:t xml:space="preserve">Bruen</w:t>
      </w:r>
      <w:r>
        <w:t xml:space="preserve"> </w:t>
      </w:r>
      <w:r>
        <w:t xml:space="preserve">would later require. The trial court then cites the dissent in</w:t>
      </w:r>
      <w:r>
        <w:t xml:space="preserve"> </w:t>
      </w:r>
      <w:r>
        <w:rPr>
          <w:i/>
          <w:iCs/>
        </w:rPr>
        <w:t xml:space="preserve">Duncan v. Bonta</w:t>
      </w:r>
      <w:r>
        <w:t xml:space="preserve"> </w:t>
      </w:r>
      <w:r>
        <w:t xml:space="preserve">19 F.4th 1087, 1159 (9th Cir.2021) (Bumatay, J., dissenting), the en banc opinion reversing</w:t>
      </w:r>
      <w:r>
        <w:t xml:space="preserve"> </w:t>
      </w:r>
      <w:r>
        <w:rPr>
          <w:i/>
          <w:iCs/>
        </w:rPr>
        <w:t xml:space="preserve">Bacerra</w:t>
      </w:r>
      <w:r>
        <w:t xml:space="preserve">. The fact that the en banc majority opinion in that case was vacated in light of</w:t>
      </w:r>
      <w:r>
        <w:t xml:space="preserve"> </w:t>
      </w:r>
      <w:r>
        <w:rPr>
          <w:i/>
          <w:iCs/>
        </w:rPr>
        <w:t xml:space="preserve">Bruen</w:t>
      </w:r>
      <w:r>
        <w:t xml:space="preserve"> </w:t>
      </w:r>
      <w:r>
        <w:t xml:space="preserve">emphasizes why Judge Bumatay correctly dissented and why the Ninth Circuit got the decision correct in</w:t>
      </w:r>
      <w:r>
        <w:t xml:space="preserve"> </w:t>
      </w:r>
      <w:r>
        <w:rPr>
          <w:i/>
          <w:iCs/>
        </w:rPr>
        <w:t xml:space="preserve">Bacerra</w:t>
      </w:r>
      <w:r>
        <w:t xml:space="preserve">.</w:t>
      </w:r>
    </w:p>
    <w:p>
      <w:pPr>
        <w:pStyle w:val="BodyText"/>
      </w:pPr>
      <w:r>
        <w:t xml:space="preserve">Defendants’ citations to post-</w:t>
      </w:r>
      <w:r>
        <w:rPr>
          <w:i/>
          <w:iCs/>
        </w:rPr>
        <w:t xml:space="preserve">Bruen</w:t>
      </w:r>
      <w:r>
        <w:t xml:space="preserve"> </w:t>
      </w:r>
      <w:r>
        <w:t xml:space="preserve">cases challenging large capacity magazine regulations or bans are unavailing because they are non-controlling federal cases, and they are based on a record not before this court. Moreover, some courts have granted injunctions against the enforcement of such laws.</w:t>
      </w:r>
    </w:p>
    <w:p>
      <w:pPr>
        <w:pStyle w:val="BodyTextNote"/>
      </w:pPr>
      <w:r>
        <w:t xml:space="preserve">In</w:t>
      </w:r>
      <w:r>
        <w:t xml:space="preserve"> </w:t>
      </w:r>
      <w:r>
        <w:rPr>
          <w:i/>
          <w:iCs/>
        </w:rPr>
        <w:t xml:space="preserve">Oregon Firearms Fedn. v. Kotek</w:t>
      </w:r>
      <w:r>
        <w:t xml:space="preserve">, D.Or. No. 2:22-cv</w:t>
      </w:r>
      <w:r>
        <w:noBreakHyphen/>
      </w:r>
      <w:r>
        <w:t xml:space="preserve">01815-IM, 2023 WL 3380663 (May 11, 2023),</w:t>
      </w:r>
      <w:r>
        <w:rPr>
          <w:rStyle w:val="FootnoteReference"/>
        </w:rPr>
        <w:footnoteReference w:id="18"/>
      </w:r>
      <w:r>
        <w:t xml:space="preserve"> </w:t>
      </w:r>
      <w:r>
        <w:t xml:space="preserve">the district court did not find a 30-round magazine ban to be unconstitutional. Instead, the court granted a motion for partial judgment on the pleadings and dismissed claims against defendants in their individual capacities but allowed the case to go forward otherwise. In</w:t>
      </w:r>
      <w:r>
        <w:t xml:space="preserve"> </w:t>
      </w:r>
      <w:r>
        <w:rPr>
          <w:i/>
          <w:iCs/>
        </w:rPr>
        <w:t xml:space="preserve">Oregon Firearms Fedn., Inc. v. Brown</w:t>
      </w:r>
      <w:r>
        <w:t xml:space="preserve">, D.Or. No. 2:22-cv</w:t>
      </w:r>
      <w:r>
        <w:noBreakHyphen/>
      </w:r>
      <w:r>
        <w:t xml:space="preserve">01815-IM, 2022 WL 17454829, *12 (Dec. 6, 2022), the lead case consolidated in</w:t>
      </w:r>
      <w:r>
        <w:t xml:space="preserve"> </w:t>
      </w:r>
      <w:r>
        <w:rPr>
          <w:i/>
          <w:iCs/>
        </w:rPr>
        <w:t xml:space="preserve">Kotek</w:t>
      </w:r>
      <w:r>
        <w:t xml:space="preserve"> </w:t>
      </w:r>
      <w:r>
        <w:t xml:space="preserve">and cited by Defendants, the trial court “reiterate[d] that the record at the TRO stage is a limited one, and [its] finding is made on this limited record alone.”</w:t>
      </w:r>
    </w:p>
    <w:p>
      <w:pPr>
        <w:pStyle w:val="BodyText"/>
      </w:pPr>
      <w:r>
        <w:t xml:space="preserve">In</w:t>
      </w:r>
      <w:r>
        <w:t xml:space="preserve"> </w:t>
      </w:r>
      <w:r>
        <w:rPr>
          <w:i/>
          <w:iCs/>
        </w:rPr>
        <w:t xml:space="preserve">Hanson</w:t>
      </w:r>
      <w:r>
        <w:rPr>
          <w:i/>
          <w:iCs/>
        </w:rPr>
        <w:t xml:space="preserve"> </w:t>
      </w:r>
      <w:r>
        <w:rPr>
          <w:i/>
          <w:iCs/>
        </w:rPr>
        <w:t xml:space="preserve">v. D.C.</w:t>
      </w:r>
      <w:r>
        <w:t xml:space="preserve">, No. 22</w:t>
      </w:r>
      <w:r>
        <w:noBreakHyphen/>
      </w:r>
      <w:r>
        <w:t xml:space="preserve">2256, 2023 WL 3019777, *8 (Apr. 20, 2023), the district court recognized that several circuits pre-</w:t>
      </w:r>
      <w:r>
        <w:rPr>
          <w:i/>
          <w:iCs/>
        </w:rPr>
        <w:t xml:space="preserve">Bruen</w:t>
      </w:r>
      <w:r>
        <w:t xml:space="preserve"> </w:t>
      </w:r>
      <w:r>
        <w:t xml:space="preserve">found magazines to be arms covered by the Second Amendment. However, the court diverged from</w:t>
      </w:r>
      <w:r>
        <w:t xml:space="preserve"> </w:t>
      </w:r>
      <w:r>
        <w:rPr>
          <w:i/>
          <w:iCs/>
        </w:rPr>
        <w:t xml:space="preserve">Bruen</w:t>
      </w:r>
      <w:r>
        <w:t xml:space="preserve">’s requirement to decide whether “the Second Amendment’s plain text covers an individual’s conduct,” and imposed a self-defense requirement on the Second Amendment. While the Court has noted that self-defense is at the core of the Second Amendment, neither the amendment’s text, history, or the Court’s interpretation of such imposes a self-defense requirement.</w:t>
      </w:r>
    </w:p>
    <w:p>
      <w:pPr>
        <w:pStyle w:val="BodyText"/>
      </w:pPr>
      <w:r>
        <w:t xml:space="preserve">In</w:t>
      </w:r>
      <w:r>
        <w:t xml:space="preserve"> </w:t>
      </w:r>
      <w:r>
        <w:rPr>
          <w:i/>
          <w:iCs/>
        </w:rPr>
        <w:t xml:space="preserve">Delaware State Sportsmen’s</w:t>
      </w:r>
      <w:r>
        <w:rPr>
          <w:i/>
          <w:iCs/>
        </w:rPr>
        <w:t xml:space="preserve"> </w:t>
      </w:r>
      <w:r>
        <w:rPr>
          <w:i/>
          <w:iCs/>
        </w:rPr>
        <w:t xml:space="preserve">Ass’n, Inc. v. Delaware Dep’t of Safety &amp; Homeland Sec.</w:t>
      </w:r>
      <w:r>
        <w:t xml:space="preserve">, D.Del. No. CV 22</w:t>
      </w:r>
      <w:r>
        <w:noBreakHyphen/>
      </w:r>
      <w:r>
        <w:t xml:space="preserve">951-RGA, 2023 WL 2655150, *8 (Mar. 27, 2023), the district court found “that LCMs are ‘in common use’ for self-defense.” However, the court wrongly relied on historical regulations of melee weapons, 20th century machine gun regulations, and Brown’s limited evidentiary analysis to determine that the bans could be upheld.</w:t>
      </w:r>
    </w:p>
    <w:p>
      <w:pPr>
        <w:pStyle w:val="BodyText"/>
      </w:pPr>
      <w:r>
        <w:t xml:space="preserve">In</w:t>
      </w:r>
      <w:r>
        <w:t xml:space="preserve"> </w:t>
      </w:r>
      <w:r>
        <w:rPr>
          <w:i/>
          <w:iCs/>
        </w:rPr>
        <w:t xml:space="preserve">Ocean State</w:t>
      </w:r>
      <w:r>
        <w:rPr>
          <w:i/>
          <w:iCs/>
        </w:rPr>
        <w:t xml:space="preserve"> </w:t>
      </w:r>
      <w:r>
        <w:rPr>
          <w:i/>
          <w:iCs/>
        </w:rPr>
        <w:t xml:space="preserve">Tactical, LLC v. Rhode Island</w:t>
      </w:r>
      <w:r>
        <w:t xml:space="preserve">, D.R.I. No. 22-CV</w:t>
      </w:r>
      <w:r>
        <w:noBreakHyphen/>
      </w:r>
      <w:r>
        <w:t xml:space="preserve">246, 2022 WL 17721175, *16 (Dec. 14, 2022), contrary to circuit courts finding otherwise, the district court found that “LCMS are neither ‘Arms’ within the meaning of the Second Amendment’s text, nor weapons of ‘self-defense * * *.” Because of the court’s improper implementation of a self-defense requirement into the Second Amendment, the court did “not investigate whether the LCM Ban’s restrictions are consistent with the regulations of history * * *.”</w:t>
      </w:r>
      <w:r>
        <w:t xml:space="preserve"> </w:t>
      </w:r>
      <w:r>
        <w:rPr>
          <w:i/>
          <w:iCs/>
        </w:rPr>
        <w:t xml:space="preserve">Id.</w:t>
      </w:r>
    </w:p>
    <w:p>
      <w:pPr>
        <w:pStyle w:val="BodyText"/>
      </w:pPr>
      <w:r>
        <w:t xml:space="preserve">In</w:t>
      </w:r>
      <w:r>
        <w:t xml:space="preserve"> </w:t>
      </w:r>
      <w:r>
        <w:rPr>
          <w:i/>
          <w:iCs/>
        </w:rPr>
        <w:t xml:space="preserve">Herrera</w:t>
      </w:r>
      <w:r>
        <w:rPr>
          <w:i/>
          <w:iCs/>
        </w:rPr>
        <w:t xml:space="preserve"> </w:t>
      </w:r>
      <w:r>
        <w:rPr>
          <w:i/>
          <w:iCs/>
        </w:rPr>
        <w:t xml:space="preserve">v. Raoul</w:t>
      </w:r>
      <w:r>
        <w:t xml:space="preserve">, N.D. Ill. No. 23 CV 532, 2023 WL 3074799 (Apr. 25, 2023), and</w:t>
      </w:r>
      <w:r>
        <w:t xml:space="preserve"> </w:t>
      </w:r>
      <w:r>
        <w:rPr>
          <w:i/>
          <w:iCs/>
        </w:rPr>
        <w:t xml:space="preserve">Bevis</w:t>
      </w:r>
      <w:r>
        <w:rPr>
          <w:i/>
          <w:iCs/>
        </w:rPr>
        <w:t xml:space="preserve"> </w:t>
      </w:r>
      <w:r>
        <w:rPr>
          <w:i/>
          <w:iCs/>
        </w:rPr>
        <w:t xml:space="preserve">v. City of Naperville, Illinois</w:t>
      </w:r>
      <w:r>
        <w:t xml:space="preserve">, N.D. Ill. No. 22 C 4775, 2023 WL 2077392 (Feb. 17, 2023), the plaintiffs challenged the Illinois’ Protect Illinois Communities Act (“PICA”), which bans the sale and possession of so-called “assault weapons” and so-called “large capacity magazines.” That district court denied the requested preliminary injunction. However, the Southern District of Illinois disagreed and granted a preliminary injunction prohibiting the State of Illinois from enforcing PICA. In</w:t>
      </w:r>
      <w:r>
        <w:t xml:space="preserve"> </w:t>
      </w:r>
      <w:r>
        <w:rPr>
          <w:i/>
          <w:iCs/>
        </w:rPr>
        <w:t xml:space="preserve">Barnett</w:t>
      </w:r>
      <w:r>
        <w:rPr>
          <w:i/>
          <w:iCs/>
        </w:rPr>
        <w:t xml:space="preserve"> </w:t>
      </w:r>
      <w:r>
        <w:rPr>
          <w:i/>
          <w:iCs/>
        </w:rPr>
        <w:t xml:space="preserve">v. Raoul</w:t>
      </w:r>
      <w:r>
        <w:t xml:space="preserve">, S.D. Ill. No. 3:23-CV</w:t>
      </w:r>
      <w:r>
        <w:noBreakHyphen/>
      </w:r>
      <w:r>
        <w:t xml:space="preserve">00141, 2023 WL 3160285 (Apr. 28, 2023), the court explained that for the government to justify the law, it “must: (1) demonstrate that the ‘arms’ PICA bans are not in ‘common use;’ and (2) ‘identify a well-established and representative historical analogue’ to PICA.” (Emphasis added.)</w:t>
      </w:r>
      <w:r>
        <w:t xml:space="preserve"> </w:t>
      </w:r>
      <w:r>
        <w:rPr>
          <w:i/>
          <w:iCs/>
        </w:rPr>
        <w:t xml:space="preserve">Id.</w:t>
      </w:r>
      <w:r>
        <w:t xml:space="preserve"> </w:t>
      </w:r>
      <w:r>
        <w:t xml:space="preserve">at *9, quoting</w:t>
      </w:r>
      <w:r>
        <w:t xml:space="preserve"> </w:t>
      </w:r>
      <w:r>
        <w:rPr>
          <w:i/>
          <w:iCs/>
        </w:rPr>
        <w:t xml:space="preserve">Bruen</w:t>
      </w:r>
      <w:r>
        <w:t xml:space="preserve">, 142 S.Ct. at 2128, 2133. It then found that both the so-called assault rifles and so-called LCMs (as defined in PICA) “are ‘in common use’ and protected by the Second Amendment.”</w:t>
      </w:r>
      <w:r>
        <w:t xml:space="preserve"> </w:t>
      </w:r>
      <w:r>
        <w:rPr>
          <w:i/>
          <w:iCs/>
        </w:rPr>
        <w:t xml:space="preserve">Id.</w:t>
      </w:r>
      <w:r>
        <w:t xml:space="preserve"> </w:t>
      </w:r>
      <w:r>
        <w:t xml:space="preserve">at *10.</w:t>
      </w:r>
    </w:p>
    <w:p>
      <w:pPr>
        <w:pStyle w:val="BodyText"/>
      </w:pPr>
      <w:r>
        <w:t xml:space="preserve">Further, “Even if there was a requirement that the ‘common use’ of an ‘arm’ be self-defense, AR</w:t>
      </w:r>
      <w:r>
        <w:noBreakHyphen/>
      </w:r>
      <w:r>
        <w:t xml:space="preserve">15 style rifles would meet such a test considering that 34.6% of owners utilize these rifles for self-defense outside of their home and 61.9% utilize them for self-defense at home.”</w:t>
      </w:r>
      <w:r>
        <w:t xml:space="preserve"> </w:t>
      </w:r>
      <w:r>
        <w:rPr>
          <w:i/>
          <w:iCs/>
        </w:rPr>
        <w:t xml:space="preserve">Id.</w:t>
      </w:r>
    </w:p>
    <w:p>
      <w:pPr>
        <w:pStyle w:val="BodyText"/>
      </w:pPr>
      <w:r>
        <w:t xml:space="preserve">Because magazines are essential for the use of a firearm, they must be considered arms under Article I, Section 4. As Defendants’ cited case admits, “No circuit court * * * has considered the issue of large-capacity magazine bans in light of the Supreme Court’s decision in”</w:t>
      </w:r>
      <w:r>
        <w:t xml:space="preserve"> </w:t>
      </w:r>
      <w:r>
        <w:rPr>
          <w:i/>
          <w:iCs/>
        </w:rPr>
        <w:t xml:space="preserve">Bruen</w:t>
      </w:r>
      <w:r>
        <w:t xml:space="preserve">.</w:t>
      </w:r>
      <w:r>
        <w:t xml:space="preserve"> </w:t>
      </w:r>
      <w:r>
        <w:rPr>
          <w:i/>
          <w:iCs/>
        </w:rPr>
        <w:t xml:space="preserve">Kotek</w:t>
      </w:r>
      <w:r>
        <w:t xml:space="preserve">, 2023 WL 3380663, at *2. Federal courts pre-</w:t>
      </w:r>
      <w:r>
        <w:rPr>
          <w:i/>
          <w:iCs/>
        </w:rPr>
        <w:t xml:space="preserve">Bruen</w:t>
      </w:r>
      <w:r>
        <w:t xml:space="preserve"> </w:t>
      </w:r>
      <w:r>
        <w:t xml:space="preserve">found no “evidence that prohibitions on * * * large-capacity magazines are longstanding and thereby deserving of a presumption of validity,”</w:t>
      </w:r>
      <w:r>
        <w:t xml:space="preserve"> </w:t>
      </w:r>
      <w:r>
        <w:rPr>
          <w:i/>
          <w:iCs/>
        </w:rPr>
        <w:t xml:space="preserve">Heller II</w:t>
      </w:r>
      <w:r>
        <w:t xml:space="preserve">, 670 F.3d at 1264, and post-</w:t>
      </w:r>
      <w:r>
        <w:rPr>
          <w:i/>
          <w:iCs/>
        </w:rPr>
        <w:t xml:space="preserve">Bruen</w:t>
      </w:r>
      <w:r>
        <w:t xml:space="preserve">, found that large-capacity magazines “are ‘in common use’ and protected by the Second Amendment,”</w:t>
      </w:r>
      <w:r>
        <w:t xml:space="preserve"> </w:t>
      </w:r>
      <w:r>
        <w:rPr>
          <w:i/>
          <w:iCs/>
        </w:rPr>
        <w:t xml:space="preserve">Barnett</w:t>
      </w:r>
      <w:r>
        <w:t xml:space="preserve"> </w:t>
      </w:r>
      <w:r>
        <w:t xml:space="preserve">at *10. Contrary to Defendants’ assertion that large-capacity magazines are “dangerous and unusual weapons,” there is “no justification for laws restricting the [possession] of weapons that are unquestionably in common use today.”</w:t>
      </w:r>
      <w:r>
        <w:t xml:space="preserve"> </w:t>
      </w:r>
      <w:r>
        <w:rPr>
          <w:i/>
          <w:iCs/>
        </w:rPr>
        <w:t xml:space="preserve">Bruen</w:t>
      </w:r>
      <w:r>
        <w:t xml:space="preserve">, 142 S.Ct. at 2143. The trial court correctly followed</w:t>
      </w:r>
      <w:r>
        <w:t xml:space="preserve"> </w:t>
      </w:r>
      <w:r>
        <w:rPr>
          <w:i/>
          <w:iCs/>
        </w:rPr>
        <w:t xml:space="preserve">Bruen</w:t>
      </w:r>
      <w:r>
        <w:t xml:space="preserve">.</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Ohio</w:t>
      </w:r>
      <w:r>
        <w:rPr>
          <w:b/>
          <w:bCs/>
          <w:i/>
          <w:iCs/>
        </w:rPr>
        <w:t xml:space="preserve"> </w:t>
      </w:r>
      <w:r>
        <w:rPr>
          <w:b/>
          <w:bCs/>
          <w:i/>
          <w:iCs/>
        </w:rPr>
        <w:t xml:space="preserve">Supreme</w:t>
      </w:r>
      <w:r>
        <w:rPr>
          <w:b/>
          <w:bCs/>
          <w:i/>
          <w:iCs/>
        </w:rPr>
        <w:t xml:space="preserve"> </w:t>
      </w:r>
      <w:r>
        <w:rPr>
          <w:b/>
          <w:bCs/>
          <w:i/>
          <w:iCs/>
        </w:rPr>
        <w:t xml:space="preserve">Court</w:t>
      </w:r>
      <w:r>
        <w:rPr>
          <w:b/>
          <w:bCs/>
          <w:i/>
          <w:iCs/>
        </w:rPr>
        <w:t xml:space="preserve"> </w:t>
      </w:r>
      <w:r>
        <w:rPr>
          <w:b/>
          <w:bCs/>
          <w:i/>
          <w:iCs/>
        </w:rPr>
        <w:t xml:space="preserve">has</w:t>
      </w:r>
      <w:r>
        <w:rPr>
          <w:b/>
          <w:bCs/>
          <w:i/>
          <w:iCs/>
        </w:rPr>
        <w:t xml:space="preserve"> </w:t>
      </w:r>
      <w:r>
        <w:rPr>
          <w:b/>
          <w:bCs/>
          <w:i/>
          <w:iCs/>
        </w:rPr>
        <w:t xml:space="preserve">abrogated</w:t>
      </w:r>
      <w:r>
        <w:rPr>
          <w:b/>
          <w:bCs/>
          <w:i/>
          <w:iCs/>
        </w:rPr>
        <w:t xml:space="preserve"> </w:t>
      </w:r>
      <w:r>
        <w:rPr>
          <w:b/>
          <w:bCs/>
          <w:i/>
          <w:iCs/>
        </w:rPr>
        <w:t xml:space="preserve">the</w:t>
      </w:r>
      <w:r>
        <w:rPr>
          <w:b/>
          <w:bCs/>
          <w:i/>
          <w:iCs/>
        </w:rPr>
        <w:t xml:space="preserve"> </w:t>
      </w:r>
      <w:r>
        <w:rPr>
          <w:b/>
          <w:bCs/>
          <w:i/>
          <w:iCs/>
        </w:rPr>
        <w:t xml:space="preserve">reasonableness</w:t>
      </w:r>
      <w:r>
        <w:rPr>
          <w:b/>
          <w:bCs/>
          <w:i/>
          <w:iCs/>
        </w:rPr>
        <w:t xml:space="preserve"> </w:t>
      </w:r>
      <w:r>
        <w:rPr>
          <w:b/>
          <w:bCs/>
          <w:i/>
          <w:iCs/>
        </w:rPr>
        <w:t xml:space="preserve">test</w:t>
      </w:r>
      <w:r>
        <w:rPr>
          <w:b/>
          <w:bCs/>
          <w:i/>
          <w:iCs/>
        </w:rPr>
        <w:t xml:space="preserve"> </w:t>
      </w:r>
      <w:r>
        <w:rPr>
          <w:b/>
          <w:bCs/>
          <w:i/>
          <w:iCs/>
        </w:rPr>
        <w:t xml:space="preserve">for</w:t>
      </w:r>
      <w:r>
        <w:rPr>
          <w:b/>
          <w:bCs/>
          <w:i/>
          <w:iCs/>
        </w:rPr>
        <w:t xml:space="preserve"> </w:t>
      </w:r>
      <w:r>
        <w:rPr>
          <w:b/>
          <w:bCs/>
          <w:i/>
          <w:iCs/>
        </w:rPr>
        <w:t xml:space="preserve">fundamental</w:t>
      </w:r>
      <w:r>
        <w:rPr>
          <w:b/>
          <w:bCs/>
          <w:i/>
          <w:iCs/>
        </w:rPr>
        <w:t xml:space="preserve"> </w:t>
      </w:r>
      <w:r>
        <w:rPr>
          <w:b/>
          <w:bCs/>
          <w:i/>
          <w:iCs/>
        </w:rPr>
        <w:t xml:space="preserve">rights.</w:t>
      </w:r>
    </w:p>
    <w:p>
      <w:pPr>
        <w:pStyle w:val="BodyText"/>
      </w:pPr>
      <w:r>
        <w:t xml:space="preserve">There can be no doubt that Article I, Section 4 guarantees a fundamental right.</w:t>
      </w:r>
      <w:r>
        <w:t xml:space="preserve"> </w:t>
      </w:r>
      <w:r>
        <w:rPr>
          <w:i/>
          <w:iCs/>
        </w:rPr>
        <w:t xml:space="preserve">Arnold</w:t>
      </w:r>
      <w:r>
        <w:t xml:space="preserve">, 67 Ohio St. 3d at 46, 616 N.E.2d 163. In a series of post-</w:t>
      </w:r>
      <w:r>
        <w:rPr>
          <w:i/>
          <w:iCs/>
        </w:rPr>
        <w:t xml:space="preserve">Arnold</w:t>
      </w:r>
      <w:r>
        <w:t xml:space="preserve"> </w:t>
      </w:r>
      <w:r>
        <w:t xml:space="preserve">cases, the Ohio Supreme Court has recognized that “[w]hen legislation infringes upon a fundamental constitutional right or the rights of a suspect class, strict scrutiny applies.” (Emphasis added.)</w:t>
      </w:r>
      <w:r>
        <w:t xml:space="preserve"> </w:t>
      </w:r>
      <w:r>
        <w:rPr>
          <w:i/>
          <w:iCs/>
        </w:rPr>
        <w:t xml:space="preserve">State v. O’Malley</w:t>
      </w:r>
      <w:r>
        <w:t xml:space="preserve">, 169 Ohio St.3d 479, 2022-Ohio</w:t>
      </w:r>
      <w:r>
        <w:noBreakHyphen/>
      </w:r>
      <w:r>
        <w:t xml:space="preserve">3207, 206 N.E.3d 662, ¶ 22, citing</w:t>
      </w:r>
      <w:r>
        <w:t xml:space="preserve"> </w:t>
      </w:r>
      <w:r>
        <w:rPr>
          <w:i/>
          <w:iCs/>
        </w:rPr>
        <w:t xml:space="preserve">Arbino</w:t>
      </w:r>
      <w:r>
        <w:rPr>
          <w:i/>
          <w:iCs/>
        </w:rPr>
        <w:t xml:space="preserve"> </w:t>
      </w:r>
      <w:r>
        <w:rPr>
          <w:i/>
          <w:iCs/>
        </w:rPr>
        <w:t xml:space="preserve">v. Johnson &amp; Johnson</w:t>
      </w:r>
      <w:r>
        <w:t xml:space="preserve">, 116 Ohio St.3d 468, 2007-Ohio</w:t>
      </w:r>
      <w:r>
        <w:noBreakHyphen/>
      </w:r>
      <w:r>
        <w:t xml:space="preserve">6948, 880 N.E.2d 420, ¶ 64.</w:t>
      </w:r>
      <w:r>
        <w:t xml:space="preserve"> </w:t>
      </w:r>
      <w:r>
        <w:rPr>
          <w:i/>
          <w:iCs/>
        </w:rPr>
        <w:t xml:space="preserve">See also Klein</w:t>
      </w:r>
      <w:r>
        <w:rPr>
          <w:i/>
          <w:iCs/>
        </w:rPr>
        <w:t xml:space="preserve"> </w:t>
      </w:r>
      <w:r>
        <w:rPr>
          <w:i/>
          <w:iCs/>
        </w:rPr>
        <w:t xml:space="preserve">v. Leis</w:t>
      </w:r>
      <w:r>
        <w:t xml:space="preserve">, 99 Ohio St.3d 537, 2003-Ohio</w:t>
      </w:r>
      <w:r>
        <w:noBreakHyphen/>
      </w:r>
      <w:r>
        <w:t xml:space="preserve">4779, ¶ 20 (O’Connor, J., dissenting) (Rights that affect the fundamental right to bear arms “should be subjected to intermediate scrutiny”). Only when “neither a fundamental right nor a suspect class is implicated, [does the court] apply a rational-basis test.”</w:t>
      </w:r>
      <w:r>
        <w:t xml:space="preserve"> </w:t>
      </w:r>
      <w:r>
        <w:rPr>
          <w:i/>
          <w:iCs/>
        </w:rPr>
        <w:t xml:space="preserve">O’Malley</w:t>
      </w:r>
      <w:r>
        <w:t xml:space="preserve"> </w:t>
      </w:r>
      <w:r>
        <w:t xml:space="preserve">at ¶ 22. While these cases do not explicitly overrule</w:t>
      </w:r>
      <w:r>
        <w:t xml:space="preserve"> </w:t>
      </w:r>
      <w:r>
        <w:rPr>
          <w:i/>
          <w:iCs/>
        </w:rPr>
        <w:t xml:space="preserve">Arnold</w:t>
      </w:r>
      <w:r>
        <w:t xml:space="preserve">, they certainly abrogate</w:t>
      </w:r>
      <w:r>
        <w:t xml:space="preserve"> </w:t>
      </w:r>
      <w:r>
        <w:rPr>
          <w:i/>
          <w:iCs/>
        </w:rPr>
        <w:t xml:space="preserve">Arnold</w:t>
      </w:r>
      <w:r>
        <w:t xml:space="preserve">’s reasonableness test in favor of a strict scrutiny test. And while</w:t>
      </w:r>
      <w:r>
        <w:t xml:space="preserve"> </w:t>
      </w:r>
      <w:r>
        <w:rPr>
          <w:i/>
          <w:iCs/>
        </w:rPr>
        <w:t xml:space="preserve">O’Malley</w:t>
      </w:r>
      <w:r>
        <w:t xml:space="preserve"> </w:t>
      </w:r>
      <w:r>
        <w:t xml:space="preserve">was an equal protection claim, it applied strict scrutiny to “legislation infring[ing] upon a fundamental constitutional right.”</w:t>
      </w:r>
      <w:r>
        <w:t xml:space="preserve"> </w:t>
      </w:r>
      <w:r>
        <w:rPr>
          <w:i/>
          <w:iCs/>
        </w:rPr>
        <w:t xml:space="preserve">Id.</w:t>
      </w:r>
    </w:p>
    <w:p>
      <w:pPr>
        <w:pStyle w:val="BodyText"/>
      </w:pPr>
      <w:r>
        <w:t xml:space="preserve">The challenged ordinances do not come close to satisfying the strict scrutiny test that the Ohio Supreme Court now applies to laws impinging on fundamental constitutional rights. “Under strict scrutiny, the statute is constitutional if it furthers a compelling governmental interest and the [government’s] chosen means are narrowly tailored to advance that interest.”</w:t>
      </w:r>
      <w:r>
        <w:t xml:space="preserve"> </w:t>
      </w:r>
      <w:r>
        <w:rPr>
          <w:i/>
          <w:iCs/>
        </w:rPr>
        <w:t xml:space="preserve">Weber</w:t>
      </w:r>
      <w:r>
        <w:t xml:space="preserve">, 163 Ohio St. 3d 125, 2020-Ohio</w:t>
      </w:r>
      <w:r>
        <w:noBreakHyphen/>
      </w:r>
      <w:r>
        <w:t xml:space="preserve">6832, 168 N.E.3d 468, 473, at ¶ 17. Even if the City’s purported interest in reducing gun violence is compelling, Defendants have not provided any evidence to show how preventing law-abiding firearms owners from possessing 30-round magazines is narrowly tailored to that end. Nor could they. The justification contained in the ordinances and Defendants’ witness’ testimony all fail to explain how taking 30-round magazines from lawful firearms owners would reduce crime in Columbus. Further, Defendants presented no evidence to justify the firearms storage regulation.</w:t>
      </w:r>
    </w:p>
    <w:p>
      <w:pPr>
        <w:pStyle w:val="BodyText"/>
      </w:pPr>
      <w:r>
        <w:t xml:space="preserve">Under any current constitutional test that the Ohio Supreme Court would apply to this case, the provisions enacted by the ordinances fail.</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ordinances</w:t>
      </w:r>
      <w:r>
        <w:rPr>
          <w:b/>
          <w:bCs/>
          <w:i/>
          <w:iCs/>
        </w:rPr>
        <w:t xml:space="preserve"> </w:t>
      </w:r>
      <w:r>
        <w:rPr>
          <w:b/>
          <w:bCs/>
          <w:i/>
          <w:iCs/>
        </w:rPr>
        <w:t xml:space="preserve">are</w:t>
      </w:r>
      <w:r>
        <w:rPr>
          <w:b/>
          <w:bCs/>
          <w:i/>
          <w:iCs/>
        </w:rPr>
        <w:t xml:space="preserve"> </w:t>
      </w:r>
      <w:r>
        <w:rPr>
          <w:b/>
          <w:bCs/>
          <w:i/>
          <w:iCs/>
        </w:rPr>
        <w:t xml:space="preserve">invalid</w:t>
      </w:r>
      <w:r>
        <w:rPr>
          <w:b/>
          <w:bCs/>
          <w:i/>
          <w:iCs/>
        </w:rPr>
        <w:t xml:space="preserve"> </w:t>
      </w:r>
      <w:r>
        <w:rPr>
          <w:b/>
          <w:bCs/>
          <w:i/>
          <w:iCs/>
        </w:rPr>
        <w:t xml:space="preserve">even</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abrogated</w:t>
      </w:r>
      <w:r>
        <w:rPr>
          <w:b/>
          <w:bCs/>
          <w:i/>
          <w:iCs/>
        </w:rPr>
        <w:t xml:space="preserve"> </w:t>
      </w:r>
      <w:r>
        <w:rPr>
          <w:b/>
          <w:bCs/>
        </w:rPr>
        <w:t xml:space="preserve">Arnold</w:t>
      </w:r>
      <w:r>
        <w:rPr>
          <w:b/>
          <w:bCs/>
          <w:i/>
          <w:iCs/>
        </w:rPr>
        <w:t xml:space="preserve"> </w:t>
      </w:r>
      <w:r>
        <w:rPr>
          <w:b/>
          <w:bCs/>
          <w:i/>
          <w:iCs/>
        </w:rPr>
        <w:t xml:space="preserve">reasonableness</w:t>
      </w:r>
      <w:r>
        <w:rPr>
          <w:b/>
          <w:bCs/>
          <w:i/>
          <w:iCs/>
        </w:rPr>
        <w:t xml:space="preserve"> </w:t>
      </w:r>
      <w:r>
        <w:rPr>
          <w:b/>
          <w:bCs/>
          <w:i/>
          <w:iCs/>
        </w:rPr>
        <w:t xml:space="preserve">test.</w:t>
      </w:r>
    </w:p>
    <w:p>
      <w:pPr>
        <w:pStyle w:val="BodyText"/>
      </w:pPr>
      <w:r>
        <w:rPr>
          <w:i/>
          <w:iCs/>
        </w:rPr>
        <w:t xml:space="preserve">Arnold</w:t>
      </w:r>
      <w:r>
        <w:t xml:space="preserve"> </w:t>
      </w:r>
      <w:r>
        <w:t xml:space="preserve">originally invoked the following test:</w:t>
      </w:r>
    </w:p>
    <w:p>
      <w:pPr>
        <w:pStyle w:val="XdQuoteOnly"/>
      </w:pPr>
      <w:r>
        <w:t xml:space="preserve">Laws or ordinances passed by virtue of the police power which limit or abrogate constitutionally guaranteed rights must not be arbitrary, discriminatory, capricious or unreasonable and must bear a real and substantial relation to the object sought to be obtained, namely, the health, safety, morals or general welfare of the public.</w:t>
      </w:r>
    </w:p>
    <w:p>
      <w:pPr>
        <w:pStyle w:val="BodyText"/>
      </w:pPr>
      <w:r>
        <w:t xml:space="preserve">(Emphasis added.)</w:t>
      </w:r>
      <w:r>
        <w:t xml:space="preserve"> </w:t>
      </w:r>
      <w:r>
        <w:rPr>
          <w:i/>
          <w:iCs/>
        </w:rPr>
        <w:t xml:space="preserve">Arnold</w:t>
      </w:r>
      <w:r>
        <w:t xml:space="preserve">, 67 Ohio St.3d at 46, 616 N.E.2d 163. Even</w:t>
      </w:r>
      <w:r>
        <w:t xml:space="preserve"> </w:t>
      </w:r>
      <w:r>
        <w:rPr>
          <w:i/>
          <w:iCs/>
        </w:rPr>
        <w:t xml:space="preserve">Klein</w:t>
      </w:r>
      <w:r>
        <w:rPr>
          <w:i/>
          <w:iCs/>
        </w:rPr>
        <w:t xml:space="preserve"> </w:t>
      </w:r>
      <w:r>
        <w:rPr>
          <w:i/>
          <w:iCs/>
        </w:rPr>
        <w:t xml:space="preserve">v. Leis</w:t>
      </w:r>
      <w:r>
        <w:t xml:space="preserve">, previously cited by Defendants, requires that the “goal and the means to obtain it” must be reasonable.</w:t>
      </w:r>
      <w:r>
        <w:t xml:space="preserve"> </w:t>
      </w:r>
      <w:r>
        <w:rPr>
          <w:i/>
          <w:iCs/>
        </w:rPr>
        <w:t xml:space="preserve">Klein</w:t>
      </w:r>
      <w:r>
        <w:t xml:space="preserve">, 99 Ohio St.3d 537, 2003-Ohio</w:t>
      </w:r>
      <w:r>
        <w:noBreakHyphen/>
      </w:r>
      <w:r>
        <w:t xml:space="preserve">4779, at ¶ 15.</w:t>
      </w:r>
    </w:p>
    <w:p>
      <w:pPr>
        <w:pStyle w:val="BodyTextNote"/>
      </w:pPr>
      <w:r>
        <w:t xml:space="preserve">Importantly, “rational-basis review [] under Ohio constitutional principles * * * does not mean toothless scrutiny.”</w:t>
      </w:r>
      <w:r>
        <w:t xml:space="preserve"> </w:t>
      </w:r>
      <w:r>
        <w:rPr>
          <w:i/>
          <w:iCs/>
        </w:rPr>
        <w:t xml:space="preserve">State v. Mole</w:t>
      </w:r>
      <w:r>
        <w:t xml:space="preserve">, 149 Ohio St.3d 215, 2016-Ohio</w:t>
      </w:r>
      <w:r>
        <w:noBreakHyphen/>
      </w:r>
      <w:r>
        <w:t xml:space="preserve">5124, 74 N.E.3d 368, ¶ 28, citing</w:t>
      </w:r>
      <w:r>
        <w:t xml:space="preserve"> </w:t>
      </w:r>
      <w:r>
        <w:rPr>
          <w:i/>
          <w:iCs/>
        </w:rPr>
        <w:t xml:space="preserve">Mathews</w:t>
      </w:r>
      <w:r>
        <w:rPr>
          <w:i/>
          <w:iCs/>
        </w:rPr>
        <w:t xml:space="preserve"> </w:t>
      </w:r>
      <w:r>
        <w:rPr>
          <w:i/>
          <w:iCs/>
        </w:rPr>
        <w:t xml:space="preserve">v. Lucas</w:t>
      </w:r>
      <w:r>
        <w:t xml:space="preserve">, 427 U.S. 495 (1976). “And the rational-basis test requires that the classification must bear a rational relationship to a legitimate government interest or that reasonable grounds must exist for drawing the distinction.”</w:t>
      </w:r>
      <w:r>
        <w:t xml:space="preserve"> </w:t>
      </w:r>
      <w:r>
        <w:rPr>
          <w:i/>
          <w:iCs/>
        </w:rPr>
        <w:t xml:space="preserve">Id.</w:t>
      </w:r>
      <w:r>
        <w:t xml:space="preserve">, citing</w:t>
      </w:r>
      <w:r>
        <w:t xml:space="preserve"> </w:t>
      </w:r>
      <w:r>
        <w:rPr>
          <w:i/>
          <w:iCs/>
        </w:rPr>
        <w:t xml:space="preserve">Holeton</w:t>
      </w:r>
      <w:r>
        <w:rPr>
          <w:i/>
          <w:iCs/>
        </w:rPr>
        <w:t xml:space="preserve"> </w:t>
      </w:r>
      <w:r>
        <w:rPr>
          <w:i/>
          <w:iCs/>
        </w:rPr>
        <w:t xml:space="preserve">v. Crouse Cartage Co.</w:t>
      </w:r>
      <w:r>
        <w:t xml:space="preserve">, 92 Ohio St.3d 115, 131, 748 N.E.2d 1111 (2001). The Ohio Supreme Court has insisted that the legislature’s “classifications must have a reasonable basis and may not ‘subject individuals to an arbitrary exercise of power.’”</w:t>
      </w:r>
      <w:r>
        <w:t xml:space="preserve"> </w:t>
      </w:r>
      <w:r>
        <w:rPr>
          <w:i/>
          <w:iCs/>
        </w:rPr>
        <w:t xml:space="preserve">Id.</w:t>
      </w:r>
      <w:r>
        <w:t xml:space="preserve">, quoting</w:t>
      </w:r>
      <w:r>
        <w:t xml:space="preserve"> </w:t>
      </w:r>
      <w:r>
        <w:rPr>
          <w:i/>
          <w:iCs/>
        </w:rPr>
        <w:t xml:space="preserve">Conley</w:t>
      </w:r>
      <w:r>
        <w:rPr>
          <w:i/>
          <w:iCs/>
        </w:rPr>
        <w:t xml:space="preserve"> </w:t>
      </w:r>
      <w:r>
        <w:rPr>
          <w:i/>
          <w:iCs/>
        </w:rPr>
        <w:t xml:space="preserve">v. Shearer</w:t>
      </w:r>
      <w:r>
        <w:t xml:space="preserve">, 64 Ohio St.3d 284, 288, 595 N.E.2d 862 (1992).</w:t>
      </w:r>
      <w:r>
        <w:rPr>
          <w:rStyle w:val="FootnoteReference"/>
        </w:rPr>
        <w:footnoteReference w:id="19"/>
      </w:r>
    </w:p>
    <w:p>
      <w:pPr>
        <w:pStyle w:val="BodyText"/>
      </w:pPr>
      <w:r>
        <w:t xml:space="preserve">At the preliminary injunction hearing, Defendants tried to present evidence that the ban of 30-round magazines is not “arbitrary, discriminatory, capricious or unreasonable” and that it “bear[s] a real and substantial relation to the object sought to be obtained, namely, the health, safety, morals or general welfare of the public.”</w:t>
      </w:r>
      <w:r>
        <w:t xml:space="preserve"> </w:t>
      </w:r>
      <w:r>
        <w:rPr>
          <w:i/>
          <w:iCs/>
        </w:rPr>
        <w:t xml:space="preserve">See Arnold</w:t>
      </w:r>
      <w:r>
        <w:t xml:space="preserve"> </w:t>
      </w:r>
      <w:r>
        <w:t xml:space="preserve">at 46. The object sought in this case is the reduction in crime within the city of Columbus. Instead, the evidence—notably Mr. Gripshover’s testimony—showed that the 30-round cutoff is arbitrary and has no rational relationship to the objective of reducing crime or gun violence.</w:t>
      </w:r>
      <w:r>
        <w:t xml:space="preserve"> </w:t>
      </w:r>
      <w:r>
        <w:rPr>
          <w:i/>
          <w:iCs/>
        </w:rPr>
        <w:t xml:space="preserve">See</w:t>
      </w:r>
      <w:r>
        <w:t xml:space="preserve"> </w:t>
      </w:r>
      <w:r>
        <w:t xml:space="preserve">Tr. at 15–17.</w:t>
      </w:r>
    </w:p>
    <w:p>
      <w:pPr>
        <w:pStyle w:val="BodyTextNote"/>
      </w:pPr>
      <w:r>
        <w:t xml:space="preserve">Mr. Gripshover provided his observations of “large capacity magazines” being used in crime but then testified that when he was referring to “large capacity magazines,” he meant magazines holding 31 or more rounds of ammunition. Tr. at 46. By contrast, the ordinances refer to 30-round magazines. Defendants provided no evidence of any rationale or reasonable basis for choosing 30 rounds as the dangerous number. And the witness confirmed that 30-round magazines have been in civilian usage for a “long time,” Tr. at 30, and that “there are very valid reasons why someone might want to have a high-capacity magazine.” Tr. at 25. Moreover, Defendants failed to articulate any cogent reason why 29 rounds is OK, but 30 is not. Thirty is simply an arbitrary number, untethered to any evidence.</w:t>
      </w:r>
      <w:r>
        <w:rPr>
          <w:rStyle w:val="FootnoteReference"/>
        </w:rPr>
        <w:footnoteReference w:id="20"/>
      </w:r>
    </w:p>
    <w:p>
      <w:pPr>
        <w:pStyle w:val="BodyTextNote"/>
      </w:pPr>
      <w:r>
        <w:t xml:space="preserve">Finally, in an effort to claim that the Ohio Supreme Court had already approved magazine bans, Defendants’ counsel has repeatedly asserted that</w:t>
      </w:r>
      <w:r>
        <w:t xml:space="preserve"> </w:t>
      </w:r>
      <w:r>
        <w:rPr>
          <w:i/>
          <w:iCs/>
        </w:rPr>
        <w:t xml:space="preserve">Arnold</w:t>
      </w:r>
      <w:r>
        <w:rPr>
          <w:i/>
          <w:iCs/>
        </w:rPr>
        <w:t xml:space="preserve"> </w:t>
      </w:r>
      <w:r>
        <w:rPr>
          <w:i/>
          <w:iCs/>
        </w:rPr>
        <w:t xml:space="preserve">v. Cleveland</w:t>
      </w:r>
      <w:r>
        <w:t xml:space="preserve"> </w:t>
      </w:r>
      <w:r>
        <w:t xml:space="preserve">banned magazines. It did not; it banned certain firearms with detachable magazines.</w:t>
      </w:r>
      <w:r>
        <w:rPr>
          <w:rStyle w:val="FootnoteReference"/>
        </w:rPr>
        <w:footnoteReference w:id="21"/>
      </w:r>
      <w:r>
        <w:t xml:space="preserve"> </w:t>
      </w:r>
      <w:r>
        <w:rPr>
          <w:i/>
          <w:iCs/>
        </w:rPr>
        <w:t xml:space="preserve">Arnold</w:t>
      </w:r>
      <w:r>
        <w:t xml:space="preserve">, 67 Ohio St. 3d at 36 n.1, 616 N.E.2d 163. In any event, as the law has developed post-</w:t>
      </w:r>
      <w:r>
        <w:rPr>
          <w:i/>
          <w:iCs/>
        </w:rPr>
        <w:t xml:space="preserve">Arnold</w:t>
      </w:r>
      <w:r>
        <w:t xml:space="preserve">, that Cleveland gun ban—if it still existed—could not withstand constitutional scrutiny and would be barred by R.C. 9.68.</w:t>
      </w:r>
    </w:p>
    <w:p>
      <w:pPr>
        <w:pStyle w:val="BodyText"/>
      </w:pPr>
      <w:r>
        <w:t xml:space="preserve">Ultimately, Defendants presented no evidence or cogent arguments showing that a ban on 30-round magazines is reasonable or that it “bear[s] a real and substantial relation to the reduction of crime.” (Emphasis added.)</w:t>
      </w:r>
      <w:r>
        <w:t xml:space="preserve"> </w:t>
      </w:r>
      <w:r>
        <w:rPr>
          <w:i/>
          <w:iCs/>
        </w:rPr>
        <w:t xml:space="preserve">Arnold</w:t>
      </w:r>
      <w:r>
        <w:t xml:space="preserve"> </w:t>
      </w:r>
      <w:r>
        <w:t xml:space="preserve">at 46. Similarly, Defendants presented no evidence showing how the firearms storage regulation would reduce crime or firearms misuse. As such, Plaintiffs are substantially likely to prevail on their claims.</w:t>
      </w:r>
    </w:p>
    <w:p>
      <w:pPr>
        <w:keepNext/>
        <w:keepLines/>
        <w:spacing w:before="240" w:after="192" w:line="276" w:lineRule="exact"/>
        <w:ind w:left="720" w:hanging="720"/>
        <w:jc w:val="left"/>
      </w:pPr>
      <w:r>
        <w:rPr>
          <w:b/>
          <w:bCs/>
        </w:rPr>
        <w:t xml:space="preserve">D.</w:t>
      </w:r>
      <w:r>
        <w:rPr>
          <w:b/>
          <w:bCs/>
        </w:rPr>
        <w:t xml:space="preserve"> </w:t>
      </w:r>
      <w:r>
        <w:rPr>
          <w:b/>
          <w:bCs/>
        </w:rPr>
        <w:t xml:space="preserve">Plaintiffs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prevail</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claims</w:t>
      </w:r>
      <w:r>
        <w:rPr>
          <w:b/>
          <w:bCs/>
        </w:rPr>
        <w:t xml:space="preserve"> </w:t>
      </w:r>
      <w:r>
        <w:rPr>
          <w:b/>
          <w:bCs/>
        </w:rPr>
        <w:t xml:space="preserve">under</w:t>
      </w:r>
      <w:r>
        <w:rPr>
          <w:b/>
          <w:bCs/>
        </w:rPr>
        <w:t xml:space="preserve"> </w:t>
      </w:r>
      <w:r>
        <w:rPr>
          <w:b/>
          <w:bCs/>
        </w:rPr>
        <w:t xml:space="preserve">R.C.</w:t>
      </w:r>
      <w:r>
        <w:rPr>
          <w:b/>
          <w:bCs/>
        </w:rPr>
        <w:t xml:space="preserve"> </w:t>
      </w:r>
      <w:r>
        <w:rPr>
          <w:b/>
          <w:bCs/>
        </w:rPr>
        <w:t xml:space="preserve">9.68.</w:t>
      </w:r>
    </w:p>
    <w:p>
      <w:pPr>
        <w:pStyle w:val="BodyText"/>
      </w:pPr>
      <w:r>
        <w:t xml:space="preserve">This court must affirm the trial court’s decision based on R.C. 9.68</w:t>
      </w:r>
      <w:r>
        <w:t xml:space="preserve"> </w:t>
      </w:r>
      <w:r>
        <w:t xml:space="preserve">unless the court abused its discretion.</w:t>
      </w:r>
      <w:r>
        <w:t xml:space="preserve"> </w:t>
      </w:r>
      <w:r>
        <w:rPr>
          <w:i/>
          <w:iCs/>
        </w:rPr>
        <w:t xml:space="preserve">See Avery Dennison</w:t>
      </w:r>
      <w:r>
        <w:rPr>
          <w:i/>
          <w:iCs/>
        </w:rPr>
        <w:t xml:space="preserve"> </w:t>
      </w:r>
      <w:r>
        <w:rPr>
          <w:i/>
          <w:iCs/>
        </w:rPr>
        <w:t xml:space="preserve">Corp.</w:t>
      </w:r>
      <w:r>
        <w:t xml:space="preserve">, 11th Dist. Lake No. 2012-L</w:t>
      </w:r>
      <w:r>
        <w:noBreakHyphen/>
      </w:r>
      <w:r>
        <w:t xml:space="preserve">132, 2013-Ohio</w:t>
      </w:r>
      <w:r>
        <w:noBreakHyphen/>
      </w:r>
      <w:r>
        <w:t xml:space="preserve">4551, at ¶ 13. Defendants do not argue that he trial court abused its discretion or provide any reasoned argument why Plaintiffs are not likely to succeed on their R.C. 9.68</w:t>
      </w:r>
      <w:r>
        <w:t xml:space="preserve"> </w:t>
      </w:r>
      <w:r>
        <w:t xml:space="preserve">claim. Instead, Defendants argue that this court should rely on the Franklin County Court of Common Pleas finding R.C. 9.68</w:t>
      </w:r>
      <w:r>
        <w:t xml:space="preserve"> </w:t>
      </w:r>
      <w:r>
        <w:t xml:space="preserve">unconstitutional rather than the Ohio Supreme Court’s two recent decisions confirming the constitutionality of R.C. 9.68.</w:t>
      </w:r>
      <w:r>
        <w:t xml:space="preserve"> </w:t>
      </w:r>
      <w:r>
        <w:rPr>
          <w:i/>
          <w:iCs/>
        </w:rPr>
        <w:t xml:space="preserve">See Ohioans for Concealed Carry, Inc. v. Clyde</w:t>
      </w:r>
      <w:r>
        <w:t xml:space="preserve">, 120 Ohio St.3d 96, 2008-Ohio</w:t>
      </w:r>
      <w:r>
        <w:noBreakHyphen/>
      </w:r>
      <w:r>
        <w:t xml:space="preserve">4605, 896 N.E.2d 967;</w:t>
      </w:r>
      <w:r>
        <w:t xml:space="preserve"> </w:t>
      </w:r>
      <w:r>
        <w:rPr>
          <w:i/>
          <w:iCs/>
        </w:rPr>
        <w:t xml:space="preserve">Cleveland v. State</w:t>
      </w:r>
      <w:r>
        <w:t xml:space="preserve">, 128 Ohio St.3d 135, 2010-Ohio</w:t>
      </w:r>
      <w:r>
        <w:noBreakHyphen/>
      </w:r>
      <w:r>
        <w:t xml:space="preserve">6318, 942 N.E.2d 370. The Franklin County court’s decision to grant a preliminary injunction on R.C. 9.68—which</w:t>
      </w:r>
      <w:r>
        <w:t xml:space="preserve"> </w:t>
      </w:r>
      <w:r>
        <w:t xml:space="preserve">has already been criticized by the Tenth District—was stayed pending appeal at the time Plaintiffs filed their suit. Thus, contrary to Defendants’ claims, the law in Franklin County is the same as the entire state of Ohio, R.C. 9.68</w:t>
      </w:r>
      <w:r>
        <w:t xml:space="preserve"> </w:t>
      </w:r>
      <w:r>
        <w:t xml:space="preserve">prevails.</w:t>
      </w:r>
    </w:p>
    <w:p>
      <w:pPr>
        <w:pStyle w:val="BodyText"/>
      </w:pPr>
      <w:r>
        <w:t xml:space="preserve">Defendants continue to incorrectly assert that Plaintiffs are only challenging the ordinances as applied to their homes—not activity outside their homes. In fact, Plaintiffs averred that “[t]he regulations enacted by the Ordinance, which ban the so called ‘large-capacity magazines,’ place a substantial burden on Plaintiffs’ ability to defend themselves, not only in their homes located within the city, but also while in the city for any other lawful purpose.” (Emphasis added.) Am. Compl. at 4. “Plaintiffs continue to possess the banned magazines within the City of Columbus and intend to continue possessing those magazines within the City of Columbus. [Am. Compl.] Ex. C–G. All of the Plaintiffs wish to continue owning and possessing the magazines in Columbus.” Am. Compl. at 6.</w:t>
      </w:r>
    </w:p>
    <w:p>
      <w:pPr>
        <w:pStyle w:val="BodyTextNote"/>
      </w:pPr>
      <w:r>
        <w:t xml:space="preserve">Defendants’ failure to address the merits of Plaintiffs R.C. 9.68</w:t>
      </w:r>
      <w:r>
        <w:t xml:space="preserve"> </w:t>
      </w:r>
      <w:r>
        <w:t xml:space="preserve">claim suggests that they cannot do so and supports Plaintiffs’ argument that Plaintiffs are substantially likely to succeed on this claim. Under Ohio’s constitutional system of limited home rule, municipalities may exercise police powers within their limits to the extent that such regulations do not conflict with general laws. Ohio Const., Sec. 3, Art. XVIII;</w:t>
      </w:r>
      <w:r>
        <w:t xml:space="preserve"> </w:t>
      </w:r>
      <w:r>
        <w:rPr>
          <w:i/>
          <w:iCs/>
        </w:rPr>
        <w:t xml:space="preserve">Cleveland</w:t>
      </w:r>
      <w:r>
        <w:t xml:space="preserve"> </w:t>
      </w:r>
      <w:r>
        <w:t xml:space="preserve">at ¶ 10. Here, the regulations enacted by the ordinances directly conflict with R.C. 9.68</w:t>
      </w:r>
      <w:r>
        <w:rPr>
          <w:rStyle w:val="FootnoteReference"/>
        </w:rPr>
        <w:footnoteReference w:id="22"/>
      </w:r>
      <w:r>
        <w:t xml:space="preserve">—a statute that the Ohio Supreme Court has repeatedly affirmed as constitutional. As Defendants have well noted, common pleas courts “are bound by the doctrine of stare decisis to apply Ohio Supreme Court’s precedent.” Defs.’ Mem. Contra Pls.’ Renewed Mot. at 9; Br. of Appellants at 18.</w:t>
      </w:r>
    </w:p>
    <w:p>
      <w:pPr>
        <w:pStyle w:val="BodyText"/>
      </w:pPr>
      <w:r>
        <w:t xml:space="preserve">During the preliminary injunction hearing, Defendants’ witness, John Gripshover, provided examples of firearm laws of the city of Columbus. Some pass muster under R.C. 9.68</w:t>
      </w:r>
      <w:r>
        <w:t xml:space="preserve"> </w:t>
      </w:r>
      <w:r>
        <w:t xml:space="preserve">and some do not. The regulations enacted by the ordinances banning large-capacity magazines impose restrictions that the General Assembly has expressly rejected. Mr. Gripshover confirmed that although the State at one time regulated “large capacity magazines” (most recently magazines holding 31 or more rounds), “it no longer does.” Tr. at 41. Mr. Gripshover’s testimony simply confirms that R.C. 9.68</w:t>
      </w:r>
      <w:r>
        <w:t xml:space="preserve"> </w:t>
      </w:r>
      <w:r>
        <w:t xml:space="preserve">preempts the magazine ban enacted by Defendants. Further, Defendants’ briefing confirms that Defendants believe that the magazine ban goes further than what is allowed by state and federal law. Defs.’ Mem. Contra Pls.’ Renewed Mot. at 23–25 (“While there was once there is no longer a ‘standalone charge under state law’ for the possession of a large capacity magazine * * *.” “Simply put, Columbus’s ordinances fill gaps in existing Ohio law.” “[I]t is not uncommon for municipalities to have ordinances that differ from state law.”). Because the General Assembly made a policy decision in R.C. 9.68</w:t>
      </w:r>
      <w:r>
        <w:t xml:space="preserve"> </w:t>
      </w:r>
      <w:r>
        <w:t xml:space="preserve">to remove any such restrictions, Defendants cannot ban what the State “no longer does.”</w:t>
      </w:r>
    </w:p>
    <w:p>
      <w:pPr>
        <w:pStyle w:val="BodyText"/>
      </w:pPr>
      <w:r>
        <w:t xml:space="preserve">The same holds true for Defendants’ safe storage ordinance.</w:t>
      </w:r>
    </w:p>
    <w:p>
      <w:pPr>
        <w:pStyle w:val="BodyText"/>
      </w:pPr>
      <w:r>
        <w:t xml:space="preserve">Because the Ohio Supreme Court has upheld R.C. 9.68</w:t>
      </w:r>
      <w:r>
        <w:t xml:space="preserve"> </w:t>
      </w:r>
      <w:r>
        <w:t xml:space="preserve">and Defendants ordinances conflict with the state statute, Plaintiffs are substantially likely to succeed on their R.C. 9.68</w:t>
      </w:r>
      <w:r>
        <w:t xml:space="preserve"> </w:t>
      </w:r>
      <w:r>
        <w:t xml:space="preserve">claims.</w:t>
      </w:r>
    </w:p>
    <w:p>
      <w:pPr>
        <w:keepNext/>
        <w:keepLines/>
        <w:spacing w:before="240" w:after="192" w:line="276" w:lineRule="exact"/>
        <w:ind w:left="720" w:hanging="720"/>
        <w:jc w:val="left"/>
      </w:pPr>
      <w:r>
        <w:rPr>
          <w:b/>
          <w:bCs/>
        </w:rPr>
        <w:t xml:space="preserve">E.</w:t>
      </w:r>
      <w:r>
        <w:rPr>
          <w:b/>
          <w:bCs/>
        </w:rPr>
        <w:t xml:space="preserve"> </w:t>
      </w:r>
      <w:r>
        <w:rPr>
          <w:b/>
          <w:bCs/>
        </w:rPr>
        <w:t xml:space="preserve">Plaintiffs</w:t>
      </w:r>
      <w:r>
        <w:rPr>
          <w:b/>
          <w:bCs/>
        </w:rPr>
        <w:t xml:space="preserve"> </w:t>
      </w:r>
      <w:r>
        <w:rPr>
          <w:b/>
          <w:bCs/>
        </w:rPr>
        <w:t xml:space="preserve">face</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without</w:t>
      </w:r>
      <w:r>
        <w:rPr>
          <w:b/>
          <w:bCs/>
        </w:rPr>
        <w:t xml:space="preserve"> </w:t>
      </w:r>
      <w:r>
        <w:rPr>
          <w:b/>
          <w:bCs/>
        </w:rPr>
        <w:t xml:space="preserve">an</w:t>
      </w:r>
      <w:r>
        <w:rPr>
          <w:b/>
          <w:bCs/>
        </w:rPr>
        <w:t xml:space="preserve"> </w:t>
      </w:r>
      <w:r>
        <w:rPr>
          <w:b/>
          <w:bCs/>
        </w:rPr>
        <w:t xml:space="preserve">injunction.</w:t>
      </w:r>
    </w:p>
    <w:p>
      <w:pPr>
        <w:pStyle w:val="BodyText"/>
      </w:pPr>
      <w:r>
        <w:t xml:space="preserve">“An irreparable injury is one for the redress of which, after its occurrence, there could be no plain, adequate and complete remedy at law, and for which restitution in specie (money) would be impossible, difficult or incomplete.”</w:t>
      </w:r>
      <w:r>
        <w:t xml:space="preserve"> </w:t>
      </w:r>
      <w:r>
        <w:rPr>
          <w:i/>
          <w:iCs/>
        </w:rPr>
        <w:t xml:space="preserve">Cleveland v. Cleveland Elec. Illum.</w:t>
      </w:r>
      <w:r>
        <w:rPr>
          <w:i/>
          <w:iCs/>
        </w:rPr>
        <w:t xml:space="preserve"> </w:t>
      </w:r>
      <w:r>
        <w:rPr>
          <w:i/>
          <w:iCs/>
        </w:rPr>
        <w:t xml:space="preserve">Co.</w:t>
      </w:r>
      <w:r>
        <w:t xml:space="preserve">, 115 Ohio App.3d 1, 12, 684 N.E.2d 343 (8th Dist.1996) (internal quotation marks and citation omitted). Defendants are threatening the Plaintiffs with arrest and prosecution, which—if unlawful—is irreparable. Irreparable harm is presumed from the nature of a constitutional deprivation.</w:t>
      </w:r>
      <w:r>
        <w:t xml:space="preserve"> </w:t>
      </w:r>
      <w:r>
        <w:rPr>
          <w:i/>
          <w:iCs/>
        </w:rPr>
        <w:t xml:space="preserve">Elrod</w:t>
      </w:r>
      <w:r>
        <w:rPr>
          <w:i/>
          <w:iCs/>
        </w:rPr>
        <w:t xml:space="preserve"> </w:t>
      </w:r>
      <w:r>
        <w:rPr>
          <w:i/>
          <w:iCs/>
        </w:rPr>
        <w:t xml:space="preserve">v. Burns</w:t>
      </w:r>
      <w:r>
        <w:t xml:space="preserve">, 427 U.S. 347, 373 (1976);</w:t>
      </w:r>
      <w:r>
        <w:t xml:space="preserve"> </w:t>
      </w:r>
      <w:r>
        <w:rPr>
          <w:i/>
          <w:iCs/>
        </w:rPr>
        <w:t xml:space="preserve">Magda</w:t>
      </w:r>
      <w:r>
        <w:rPr>
          <w:i/>
          <w:iCs/>
        </w:rPr>
        <w:t xml:space="preserve"> </w:t>
      </w:r>
      <w:r>
        <w:rPr>
          <w:i/>
          <w:iCs/>
        </w:rPr>
        <w:t xml:space="preserve">v. Ohio Elections Comm.</w:t>
      </w:r>
      <w:r>
        <w:t xml:space="preserve">, 2016-Ohio</w:t>
      </w:r>
      <w:r>
        <w:noBreakHyphen/>
      </w:r>
      <w:r>
        <w:t xml:space="preserve">5043, 58 N.E.3d 1188, ¶ 38 (10th Dist.). Defendants do not deny the fact that they intend to deprive Plaintiffs of their firearm magazines and, if they do not give them up, to arrest Plaintiffs. Plaintiffs are also prohibited by the safe storage provision from having quick access in an emergency to their firearms. This violation of Plaintiffs fundamental rights, including the right to protect themselves,</w:t>
      </w:r>
      <w:r>
        <w:t xml:space="preserve"> </w:t>
      </w:r>
      <w:r>
        <w:rPr>
          <w:i/>
          <w:iCs/>
        </w:rPr>
        <w:t xml:space="preserve">see</w:t>
      </w:r>
      <w:r>
        <w:t xml:space="preserve"> </w:t>
      </w:r>
      <w:r>
        <w:t xml:space="preserve">Pls.’ Renewed Mot. at 20–21, is irreparable. Furthermore, the violation of Plaintiffs’ rights protected by state law cannot be redressed through money damages.</w:t>
      </w:r>
    </w:p>
    <w:p>
      <w:pPr>
        <w:keepNext/>
        <w:keepLines/>
        <w:spacing w:before="240" w:after="192" w:line="276" w:lineRule="exact"/>
        <w:ind w:left="720" w:hanging="720"/>
        <w:jc w:val="left"/>
      </w:pPr>
      <w:r>
        <w:rPr>
          <w:b/>
          <w:bCs/>
        </w:rPr>
        <w:t xml:space="preserve">F.</w:t>
      </w:r>
      <w:r>
        <w:rPr>
          <w:b/>
          <w:bCs/>
        </w:rPr>
        <w:t xml:space="preserve"> </w:t>
      </w:r>
      <w:r>
        <w:rPr>
          <w:b/>
          <w:bCs/>
        </w:rPr>
        <w:t xml:space="preserve">Defendants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that</w:t>
      </w:r>
      <w:r>
        <w:rPr>
          <w:b/>
          <w:bCs/>
        </w:rPr>
        <w:t xml:space="preserve"> </w:t>
      </w:r>
      <w:r>
        <w:rPr>
          <w:b/>
          <w:bCs/>
        </w:rPr>
        <w:t xml:space="preserve">an</w:t>
      </w:r>
      <w:r>
        <w:rPr>
          <w:b/>
          <w:bCs/>
        </w:rPr>
        <w:t xml:space="preserve"> </w:t>
      </w:r>
      <w:r>
        <w:rPr>
          <w:b/>
          <w:bCs/>
        </w:rPr>
        <w:t xml:space="preserve">injunction</w:t>
      </w:r>
      <w:r>
        <w:rPr>
          <w:b/>
          <w:bCs/>
        </w:rPr>
        <w:t xml:space="preserve"> </w:t>
      </w:r>
      <w:r>
        <w:rPr>
          <w:b/>
          <w:bCs/>
        </w:rPr>
        <w:t xml:space="preserve">would</w:t>
      </w:r>
      <w:r>
        <w:rPr>
          <w:b/>
          <w:bCs/>
        </w:rPr>
        <w:t xml:space="preserve"> </w:t>
      </w:r>
      <w:r>
        <w:rPr>
          <w:b/>
          <w:bCs/>
        </w:rPr>
        <w:t xml:space="preserve">harm</w:t>
      </w:r>
      <w:r>
        <w:rPr>
          <w:b/>
          <w:bCs/>
        </w:rPr>
        <w:t xml:space="preserve"> </w:t>
      </w:r>
      <w:r>
        <w:rPr>
          <w:b/>
          <w:bCs/>
        </w:rPr>
        <w:t xml:space="preserve">Defendants</w:t>
      </w:r>
      <w:r>
        <w:rPr>
          <w:b/>
          <w:bCs/>
        </w:rPr>
        <w:t xml:space="preserve"> </w:t>
      </w:r>
      <w:r>
        <w:rPr>
          <w:b/>
          <w:bCs/>
        </w:rPr>
        <w:t xml:space="preserve">or</w:t>
      </w:r>
      <w:r>
        <w:rPr>
          <w:b/>
          <w:bCs/>
        </w:rPr>
        <w:t xml:space="preserve"> </w:t>
      </w:r>
      <w:r>
        <w:rPr>
          <w:b/>
          <w:bCs/>
        </w:rPr>
        <w:t xml:space="preserve">third</w:t>
      </w:r>
      <w:r>
        <w:rPr>
          <w:b/>
          <w:bCs/>
        </w:rPr>
        <w:t xml:space="preserve"> </w:t>
      </w:r>
      <w:r>
        <w:rPr>
          <w:b/>
          <w:bCs/>
        </w:rPr>
        <w:t xml:space="preserve">parties.</w:t>
      </w:r>
    </w:p>
    <w:p>
      <w:pPr>
        <w:pStyle w:val="BodyText"/>
      </w:pPr>
      <w:r>
        <w:t xml:space="preserve">There was inadequate evidence—if any—below that an injunction would harm Defendants or the public. First, Defendants’ “evidence that it has been using its safe storage law to protect minors” does not show what Defendants’ claim. Defendants’ ability to charge an individual after a crime has been committed says nothing about its deterring effect. This is evident from Defendants own relied upon exhibit, which shows that Defendants initially charged the individual under state law—not the new city firearms storage ordinance. Prelim. Inj. Hr’g Defs.’ Ex. 3. This evidence also rebuts Defendants’ claim that they are unable to “bring charges in similar situations.” Further, Defendants’ attempt to submit evidence now is impermissible. Even that is not persuasive—the video shows a situation where the adults were already violating state law, R.C. 2919.22,</w:t>
      </w:r>
      <w:r>
        <w:t xml:space="preserve"> </w:t>
      </w:r>
      <w:r>
        <w:t xml:space="preserve">and there is no evidence that another law prohibiting the same conduct would have changed the adults’ behavior.</w:t>
      </w:r>
    </w:p>
    <w:p>
      <w:pPr>
        <w:pStyle w:val="BodyText"/>
      </w:pPr>
      <w:r>
        <w:t xml:space="preserve">Second, Defendants undersupplying of their police force says nothing about the magazine ban. First, the magazine ban exempts law enforcement, so the city can supply the magazines to the police. Second, criminals misusing firearms are already committing a crime—regardless of the magazine capacity of the misused firearm. Further, Defendants failure provide LCMs to their officers, does not justify invading city residents’ constitutional rights.</w:t>
      </w:r>
      <w:r>
        <w:t xml:space="preserve"> </w:t>
      </w:r>
      <w:r>
        <w:rPr>
          <w:i/>
          <w:iCs/>
        </w:rPr>
        <w:t xml:space="preserve">See</w:t>
      </w:r>
      <w:r>
        <w:t xml:space="preserve"> </w:t>
      </w:r>
      <w:r>
        <w:t xml:space="preserve">Welsh-Huggins,</w:t>
      </w:r>
      <w:r>
        <w:t xml:space="preserve"> </w:t>
      </w:r>
      <w:r>
        <w:t xml:space="preserve">Judge orders Columbus police to alter tactics for protests, PBS (Apr. 30, 2021), https://​tinyurl.​com/​alter-​tactics-​for-​protests (“[A] newly released report found that Columbus was unprepared for the size and energy of the protests and that most police officers felt abandoned by city leadership during that time.”).</w:t>
      </w:r>
    </w:p>
    <w:p>
      <w:pPr>
        <w:keepNext/>
        <w:keepLines/>
        <w:spacing w:before="288" w:after="192" w:line="276" w:lineRule="exact"/>
        <w:ind w:left="0" w:firstLine="0"/>
        <w:jc w:val="left"/>
      </w:pPr>
      <w:r>
        <w:rPr>
          <w:b/>
          <w:bCs/>
        </w:rPr>
        <w:t xml:space="preserve">CONCLUSION</w:t>
      </w:r>
    </w:p>
    <w:p>
      <w:pPr>
        <w:pStyle w:val="BodyText"/>
      </w:pPr>
      <w:r>
        <w:t xml:space="preserve">Accordingly, Plaintiffs request this Court affirm the common pleas court’s granting of a preliminary injunction.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4608" w:firstLine="0"/>
              <w:jc w:val="left"/>
            </w:pPr>
            <w:r>
              <w:rPr>
                <w:u w:val="single"/>
              </w:rPr>
              <w:t xml:space="preserve">/s/</w:t>
            </w:r>
            <w:r>
              <w:rPr>
                <w:u w:val="single"/>
              </w:rPr>
              <w:t xml:space="preserve"> </w:t>
            </w:r>
            <w:r>
              <w:rPr>
                <w:i/>
                <w:iCs/>
                <w:u w:val="single"/>
              </w:rPr>
              <w:t xml:space="preserve">David</w:t>
            </w:r>
            <w:r>
              <w:rPr>
                <w:i/>
                <w:iCs/>
                <w:u w:val="single"/>
              </w:rPr>
              <w:t xml:space="preserve"> </w:t>
            </w:r>
            <w:r>
              <w:rPr>
                <w:i/>
                <w:iCs/>
                <w:u w:val="single"/>
              </w:rPr>
              <w:t xml:space="preserve">C.</w:t>
            </w:r>
            <w:r>
              <w:rPr>
                <w:i/>
                <w:iCs/>
                <w:u w:val="single"/>
              </w:rPr>
              <w:t xml:space="preserve"> </w:t>
            </w:r>
            <w:r>
              <w:rPr>
                <w:i/>
                <w:iCs/>
                <w:u w:val="single"/>
              </w:rPr>
              <w:t xml:space="preserve">Tryon</w:t>
            </w:r>
            <w:r>
              <w:rPr>
                <w:i/>
                <w:iCs/>
                <w:u w:val="single"/>
              </w:rPr>
              <w:t xml:space="preserve"> </w:t>
            </w:r>
            <w:r>
              <w:rPr>
                <w:i/>
                <w:iCs/>
                <w:u w:val="single"/>
              </w:rPr>
              <w:t xml:space="preserve">(0028954)</w:t>
            </w:r>
          </w:p>
          <w:p>
            <w:pPr>
              <w:spacing w:before="0" w:after="0" w:line="276" w:lineRule="exact"/>
              <w:ind w:left="4608" w:firstLine="0"/>
              <w:jc w:val="left"/>
            </w:pPr>
            <w:r>
              <w:t xml:space="preserve">David</w:t>
            </w:r>
            <w:r>
              <w:t xml:space="preserve"> </w:t>
            </w:r>
            <w:r>
              <w:t xml:space="preserve">C.</w:t>
            </w:r>
            <w:r>
              <w:t xml:space="preserve"> </w:t>
            </w:r>
            <w:r>
              <w:t xml:space="preserve">Tryon</w:t>
            </w:r>
            <w:r>
              <w:t xml:space="preserve"> </w:t>
            </w:r>
            <w:r>
              <w:t xml:space="preserve">(0028954)</w:t>
            </w:r>
          </w:p>
          <w:p>
            <w:pPr>
              <w:spacing w:before="0" w:after="0" w:line="276" w:lineRule="exact"/>
              <w:ind w:left="4608" w:firstLine="0"/>
              <w:jc w:val="left"/>
            </w:pPr>
            <w:r>
              <w:t xml:space="preserve">Robert</w:t>
            </w:r>
            <w:r>
              <w:t xml:space="preserve"> </w:t>
            </w:r>
            <w:r>
              <w:t xml:space="preserve">D.</w:t>
            </w:r>
            <w:r>
              <w:t xml:space="preserve"> </w:t>
            </w:r>
            <w:r>
              <w:t xml:space="preserve">Alt</w:t>
            </w:r>
            <w:r>
              <w:t xml:space="preserve"> </w:t>
            </w:r>
            <w:r>
              <w:t xml:space="preserve">(0091753)</w:t>
            </w:r>
          </w:p>
          <w:p>
            <w:pPr>
              <w:spacing w:before="0" w:after="0" w:line="276" w:lineRule="exact"/>
              <w:ind w:left="4608" w:firstLine="0"/>
              <w:jc w:val="left"/>
            </w:pPr>
            <w:r>
              <w:t xml:space="preserve">Jay</w:t>
            </w:r>
            <w:r>
              <w:t xml:space="preserve"> </w:t>
            </w:r>
            <w:r>
              <w:t xml:space="preserve">R.</w:t>
            </w:r>
            <w:r>
              <w:t xml:space="preserve"> </w:t>
            </w:r>
            <w:r>
              <w:t xml:space="preserve">Carson</w:t>
            </w:r>
            <w:r>
              <w:t xml:space="preserve"> </w:t>
            </w:r>
            <w:r>
              <w:t xml:space="preserve">(0068526)</w:t>
            </w:r>
          </w:p>
          <w:p>
            <w:pPr>
              <w:spacing w:before="0" w:after="0" w:line="276" w:lineRule="exact"/>
              <w:ind w:left="4608" w:firstLine="0"/>
              <w:jc w:val="left"/>
            </w:pPr>
            <w:r>
              <w:t xml:space="preserve">Alex</w:t>
            </w:r>
            <w:r>
              <w:t xml:space="preserve"> </w:t>
            </w:r>
            <w:r>
              <w:t xml:space="preserve">M.</w:t>
            </w:r>
            <w:r>
              <w:t xml:space="preserve"> </w:t>
            </w:r>
            <w:r>
              <w:t xml:space="preserve">Certo</w:t>
            </w:r>
            <w:r>
              <w:t xml:space="preserve"> </w:t>
            </w:r>
            <w:r>
              <w:t xml:space="preserve">(0102790)</w:t>
            </w:r>
          </w:p>
          <w:p>
            <w:pPr>
              <w:spacing w:before="0" w:after="0" w:line="276" w:lineRule="exact"/>
              <w:ind w:left="4608" w:firstLine="0"/>
              <w:jc w:val="left"/>
            </w:pPr>
            <w:r>
              <w:t xml:space="preserve">The</w:t>
            </w:r>
            <w:r>
              <w:t xml:space="preserve"> </w:t>
            </w:r>
            <w:r>
              <w:t xml:space="preserve">Buckeye</w:t>
            </w:r>
            <w:r>
              <w:t xml:space="preserve"> </w:t>
            </w:r>
            <w:r>
              <w:t xml:space="preserve">Institute</w:t>
            </w:r>
          </w:p>
          <w:p>
            <w:pPr>
              <w:spacing w:before="0" w:after="0" w:line="276" w:lineRule="exact"/>
              <w:ind w:left="4608" w:firstLine="0"/>
              <w:jc w:val="left"/>
            </w:pPr>
            <w:r>
              <w:t xml:space="preserve">88</w:t>
            </w:r>
            <w:r>
              <w:t xml:space="preserve"> </w:t>
            </w:r>
            <w:r>
              <w:t xml:space="preserve">East</w:t>
            </w:r>
            <w:r>
              <w:t xml:space="preserve"> </w:t>
            </w:r>
            <w:r>
              <w:t xml:space="preserve">Broad</w:t>
            </w:r>
            <w:r>
              <w:t xml:space="preserve"> </w:t>
            </w:r>
            <w:r>
              <w:t xml:space="preserve">Street,</w:t>
            </w:r>
            <w:r>
              <w:t xml:space="preserve"> </w:t>
            </w:r>
            <w:r>
              <w:t xml:space="preserve">Suite</w:t>
            </w:r>
            <w:r>
              <w:t xml:space="preserve"> </w:t>
            </w:r>
            <w:r>
              <w:t xml:space="preserve">1300</w:t>
            </w:r>
          </w:p>
          <w:p>
            <w:pPr>
              <w:spacing w:before="0" w:after="0" w:line="276" w:lineRule="exact"/>
              <w:ind w:left="4608" w:firstLine="0"/>
              <w:jc w:val="left"/>
            </w:pPr>
            <w:r>
              <w:t xml:space="preserve">Columbus,</w:t>
            </w:r>
            <w:r>
              <w:t xml:space="preserve"> </w:t>
            </w:r>
            <w:r>
              <w:t xml:space="preserve">Ohio</w:t>
            </w:r>
            <w:r>
              <w:t xml:space="preserve"> </w:t>
            </w:r>
            <w:r>
              <w:t xml:space="preserve">43215</w:t>
            </w:r>
          </w:p>
          <w:p>
            <w:pPr>
              <w:spacing w:before="0" w:after="0" w:line="276" w:lineRule="exact"/>
              <w:ind w:left="4608" w:firstLine="0"/>
              <w:jc w:val="left"/>
            </w:pPr>
            <w:r>
              <w:t xml:space="preserve">(614)</w:t>
            </w:r>
            <w:r>
              <w:t xml:space="preserve"> </w:t>
            </w:r>
            <w:r>
              <w:t xml:space="preserve">224</w:t>
              <w:noBreakHyphen/>
              <w:t xml:space="preserve">4422</w:t>
            </w:r>
          </w:p>
          <w:p>
            <w:pPr>
              <w:spacing w:before="0" w:after="0" w:line="276" w:lineRule="exact"/>
              <w:ind w:left="4608" w:firstLine="0"/>
              <w:jc w:val="left"/>
            </w:pPr>
            <w:r>
              <w:t xml:space="preserve">Email:</w:t>
            </w:r>
            <w:r>
              <w:t xml:space="preserve"> </w:t>
            </w:r>
            <w:r>
              <w:t xml:space="preserve">d.tryon@buckeyeinstitute.org</w:t>
            </w:r>
          </w:p>
          <w:p>
            <w:pPr>
              <w:spacing w:before="0" w:after="0" w:line="276"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Plaintiffs-Appellees</w:t>
            </w:r>
          </w:p>
        </w:tc>
      </w:tr>
    </w:tbl>
    <w:p>
      <w:pPr>
        <w:pageBreakBefore/>
        <w:spacing w:before="0" w:after="0" w:line="1" w:lineRule="exact"/>
      </w:pPr>
    </w:p>
    <w:p>
      <w:pPr>
        <w:spacing w:before="0" w:after="19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This</w:t>
      </w:r>
      <w:r>
        <w:t xml:space="preserve"> </w:t>
      </w:r>
      <w:r>
        <w:t xml:space="preserve">will</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Appellees’</w:t>
      </w:r>
      <w:r>
        <w:t xml:space="preserve"> </w:t>
      </w:r>
      <w:r>
        <w:t xml:space="preserve">Brief</w:t>
      </w:r>
      <w:r>
        <w:t xml:space="preserve"> </w:t>
      </w:r>
      <w:r>
        <w:t xml:space="preserve">has</w:t>
      </w:r>
      <w:r>
        <w:t xml:space="preserve"> </w:t>
      </w:r>
      <w:r>
        <w:t xml:space="preserve">been</w:t>
      </w:r>
      <w:r>
        <w:t xml:space="preserve"> </w:t>
      </w:r>
      <w:r>
        <w:t xml:space="preserve">sent</w:t>
      </w:r>
      <w:r>
        <w:t xml:space="preserve"> </w:t>
      </w:r>
      <w:r>
        <w:t xml:space="preserve">to</w:t>
      </w:r>
      <w:r>
        <w:t xml:space="preserve"> </w:t>
      </w:r>
      <w:r>
        <w:t xml:space="preserve">the</w:t>
      </w:r>
      <w:r>
        <w:t xml:space="preserve"> </w:t>
      </w:r>
      <w:r>
        <w:t xml:space="preserve">Clerk</w:t>
      </w:r>
      <w:r>
        <w:t xml:space="preserve"> </w:t>
      </w:r>
      <w:r>
        <w:t xml:space="preserve">of</w:t>
      </w:r>
      <w:r>
        <w:t xml:space="preserve"> </w:t>
      </w:r>
      <w:r>
        <w:t xml:space="preserve">Courts</w:t>
      </w:r>
      <w:r>
        <w:t xml:space="preserve"> </w:t>
      </w:r>
      <w:r>
        <w:t xml:space="preserve">by</w:t>
      </w:r>
      <w:r>
        <w:t xml:space="preserve"> </w:t>
      </w:r>
      <w:r>
        <w:t xml:space="preserve">means</w:t>
      </w:r>
      <w:r>
        <w:t xml:space="preserve"> </w:t>
      </w:r>
      <w:r>
        <w:t xml:space="preserve">of</w:t>
      </w:r>
      <w:r>
        <w:t xml:space="preserve"> </w:t>
      </w:r>
      <w:r>
        <w:t xml:space="preserve">UPS</w:t>
      </w:r>
      <w:r>
        <w:t xml:space="preserve"> </w:t>
      </w:r>
      <w:r>
        <w:t xml:space="preserve">for</w:t>
      </w:r>
      <w:r>
        <w:t xml:space="preserve"> </w:t>
      </w:r>
      <w:r>
        <w:t xml:space="preserve">next</w:t>
      </w:r>
      <w:r>
        <w:t xml:space="preserve"> </w:t>
      </w:r>
      <w:r>
        <w:t xml:space="preserve">day</w:t>
      </w:r>
      <w:r>
        <w:t xml:space="preserve"> </w:t>
      </w:r>
      <w:r>
        <w:t xml:space="preserve">filing</w:t>
      </w:r>
      <w:r>
        <w:t xml:space="preserve"> </w:t>
      </w:r>
      <w:r>
        <w:t xml:space="preserve">and</w:t>
      </w:r>
      <w:r>
        <w:t xml:space="preserve"> </w:t>
      </w:r>
      <w:r>
        <w:t xml:space="preserve">served</w:t>
      </w:r>
      <w:r>
        <w:t xml:space="preserve"> </w:t>
      </w:r>
      <w:r>
        <w:t xml:space="preserve">via</w:t>
      </w:r>
      <w:r>
        <w:t xml:space="preserve"> </w:t>
      </w:r>
      <w:r>
        <w:t xml:space="preserve">e-mail</w:t>
      </w:r>
      <w:r>
        <w:t xml:space="preserve"> </w:t>
      </w:r>
      <w:r>
        <w:t xml:space="preserve">on</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August</w:t>
      </w:r>
      <w:r>
        <w:t xml:space="preserve"> </w:t>
      </w:r>
      <w:r>
        <w:t xml:space="preserve">2023</w:t>
      </w:r>
      <w:r>
        <w:t xml:space="preserve"> </w:t>
      </w:r>
      <w:r>
        <w:t xml:space="preserve">upon</w:t>
      </w:r>
      <w:r>
        <w:t xml:space="preserve"> </w:t>
      </w:r>
      <w:r>
        <w:t xml:space="preserve">the</w:t>
      </w:r>
      <w:r>
        <w:t xml:space="preserve"> </w:t>
      </w:r>
      <w:r>
        <w:t xml:space="preserve">following</w:t>
      </w:r>
      <w:r>
        <w:t xml:space="preserve"> </w:t>
      </w:r>
      <w:r>
        <w:t xml:space="preserve">counsel:</w:t>
      </w:r>
    </w:p>
    <w:p>
      <w:pPr>
        <w:spacing w:before="240" w:after="0" w:line="276" w:lineRule="exact"/>
        <w:ind w:left="720" w:firstLine="0"/>
        <w:jc w:val="left"/>
      </w:pPr>
      <w:r>
        <w:t xml:space="preserve">Richard</w:t>
      </w:r>
      <w:r>
        <w:t xml:space="preserve"> </w:t>
      </w:r>
      <w:r>
        <w:t xml:space="preserve">N.</w:t>
      </w:r>
      <w:r>
        <w:t xml:space="preserve"> </w:t>
      </w:r>
      <w:r>
        <w:t xml:space="preserve">Coglianese</w:t>
      </w:r>
    </w:p>
    <w:p>
      <w:pPr>
        <w:spacing w:before="0" w:after="0" w:line="276" w:lineRule="exact"/>
        <w:ind w:left="720" w:firstLine="0"/>
        <w:jc w:val="left"/>
      </w:pPr>
      <w:r>
        <w:t xml:space="preserve">rncoglianese@columbus.gov</w:t>
      </w:r>
    </w:p>
    <w:p>
      <w:pPr>
        <w:spacing w:before="0" w:after="0" w:line="276" w:lineRule="exact"/>
        <w:ind w:left="720" w:firstLine="0"/>
        <w:jc w:val="left"/>
      </w:pPr>
      <w:r>
        <w:t xml:space="preserve">Assistant</w:t>
      </w:r>
      <w:r>
        <w:t xml:space="preserve"> </w:t>
      </w:r>
      <w:r>
        <w:t xml:space="preserve">City</w:t>
      </w:r>
      <w:r>
        <w:t xml:space="preserve"> </w:t>
      </w:r>
      <w:r>
        <w:t xml:space="preserve">Attorneys,</w:t>
      </w:r>
      <w:r>
        <w:t xml:space="preserve"> </w:t>
      </w:r>
      <w:r>
        <w:t xml:space="preserve">City</w:t>
      </w:r>
      <w:r>
        <w:t xml:space="preserve"> </w:t>
      </w:r>
      <w:r>
        <w:t xml:space="preserve">of</w:t>
      </w:r>
      <w:r>
        <w:t xml:space="preserve"> </w:t>
      </w:r>
      <w:r>
        <w:t xml:space="preserve">Columbus,</w:t>
      </w:r>
      <w:r>
        <w:t xml:space="preserve"> </w:t>
      </w:r>
      <w:r>
        <w:t xml:space="preserve">Department</w:t>
      </w:r>
      <w:r>
        <w:t xml:space="preserve"> </w:t>
      </w:r>
      <w:r>
        <w:t xml:space="preserve">of</w:t>
      </w:r>
      <w:r>
        <w:t xml:space="preserve"> </w:t>
      </w:r>
      <w:r>
        <w:t xml:space="preserve">Law,</w:t>
      </w:r>
      <w:r>
        <w:t xml:space="preserve"> </w:t>
      </w:r>
      <w:r>
        <w:t xml:space="preserve">77</w:t>
      </w:r>
      <w:r>
        <w:t xml:space="preserve"> </w:t>
      </w:r>
      <w:r>
        <w:t xml:space="preserve">N.</w:t>
      </w:r>
      <w:r>
        <w:t xml:space="preserve"> </w:t>
      </w:r>
      <w:r>
        <w:t xml:space="preserve">Front</w:t>
      </w:r>
      <w:r>
        <w:t xml:space="preserve"> </w:t>
      </w:r>
      <w:r>
        <w:t xml:space="preserve">Street,</w:t>
      </w:r>
      <w:r>
        <w:t xml:space="preserve"> </w:t>
      </w:r>
      <w:r>
        <w:t xml:space="preserve">4th</w:t>
      </w:r>
      <w:r>
        <w:t xml:space="preserve"> </w:t>
      </w:r>
      <w:r>
        <w:t xml:space="preserve">Floor,</w:t>
      </w:r>
      <w:r>
        <w:t xml:space="preserve"> </w:t>
      </w:r>
      <w:r>
        <w:t xml:space="preserve">Columbus,</w:t>
      </w:r>
      <w:r>
        <w:t xml:space="preserve"> </w:t>
      </w:r>
      <w:r>
        <w:t xml:space="preserve">Ohio</w:t>
      </w:r>
      <w:r>
        <w:t xml:space="preserve"> </w:t>
      </w:r>
      <w:r>
        <w:t xml:space="preserve">43215</w:t>
      </w:r>
    </w:p>
    <w:p>
      <w:pPr>
        <w:spacing w:before="240" w:after="0" w:line="276" w:lineRule="exact"/>
        <w:ind w:left="720" w:firstLine="0"/>
        <w:jc w:val="left"/>
      </w:pPr>
      <w:r>
        <w:t xml:space="preserve">Matthew</w:t>
      </w:r>
      <w:r>
        <w:t xml:space="preserve"> </w:t>
      </w:r>
      <w:r>
        <w:t xml:space="preserve">D.</w:t>
      </w:r>
      <w:r>
        <w:t xml:space="preserve"> </w:t>
      </w:r>
      <w:r>
        <w:t xml:space="preserve">Sturtz</w:t>
      </w:r>
    </w:p>
    <w:p>
      <w:pPr>
        <w:spacing w:before="0" w:after="0" w:line="276" w:lineRule="exact"/>
        <w:ind w:left="720" w:firstLine="0"/>
        <w:jc w:val="left"/>
      </w:pPr>
      <w:r>
        <w:t xml:space="preserve">mdsturtz@columbus.gov</w:t>
      </w:r>
    </w:p>
    <w:p>
      <w:pPr>
        <w:spacing w:before="0" w:after="0" w:line="276" w:lineRule="exact"/>
        <w:ind w:left="720" w:firstLine="0"/>
        <w:jc w:val="left"/>
      </w:pPr>
      <w:r>
        <w:t xml:space="preserve">Assistant</w:t>
      </w:r>
      <w:r>
        <w:t xml:space="preserve"> </w:t>
      </w:r>
      <w:r>
        <w:t xml:space="preserve">City</w:t>
      </w:r>
      <w:r>
        <w:t xml:space="preserve"> </w:t>
      </w:r>
      <w:r>
        <w:t xml:space="preserve">Attorneys,</w:t>
      </w:r>
      <w:r>
        <w:t xml:space="preserve"> </w:t>
      </w:r>
      <w:r>
        <w:t xml:space="preserve">City</w:t>
      </w:r>
      <w:r>
        <w:t xml:space="preserve"> </w:t>
      </w:r>
      <w:r>
        <w:t xml:space="preserve">of</w:t>
      </w:r>
      <w:r>
        <w:t xml:space="preserve"> </w:t>
      </w:r>
      <w:r>
        <w:t xml:space="preserve">Columbus,</w:t>
      </w:r>
      <w:r>
        <w:t xml:space="preserve"> </w:t>
      </w:r>
      <w:r>
        <w:t xml:space="preserve">Department</w:t>
      </w:r>
      <w:r>
        <w:t xml:space="preserve"> </w:t>
      </w:r>
      <w:r>
        <w:t xml:space="preserve">of</w:t>
      </w:r>
      <w:r>
        <w:t xml:space="preserve"> </w:t>
      </w:r>
      <w:r>
        <w:t xml:space="preserve">Law,</w:t>
      </w:r>
      <w:r>
        <w:t xml:space="preserve"> </w:t>
      </w:r>
      <w:r>
        <w:t xml:space="preserve">77</w:t>
      </w:r>
      <w:r>
        <w:t xml:space="preserve"> </w:t>
      </w:r>
      <w:r>
        <w:t xml:space="preserve">N.</w:t>
      </w:r>
      <w:r>
        <w:t xml:space="preserve"> </w:t>
      </w:r>
      <w:r>
        <w:t xml:space="preserve">Front</w:t>
      </w:r>
      <w:r>
        <w:t xml:space="preserve"> </w:t>
      </w:r>
      <w:r>
        <w:t xml:space="preserve">Street,</w:t>
      </w:r>
      <w:r>
        <w:t xml:space="preserve"> </w:t>
      </w:r>
      <w:r>
        <w:t xml:space="preserve">4th</w:t>
      </w:r>
      <w:r>
        <w:t xml:space="preserve"> </w:t>
      </w:r>
      <w:r>
        <w:t xml:space="preserve">Floor,</w:t>
      </w:r>
      <w:r>
        <w:t xml:space="preserve"> </w:t>
      </w:r>
      <w:r>
        <w:t xml:space="preserve">Columbus,</w:t>
      </w:r>
      <w:r>
        <w:t xml:space="preserve"> </w:t>
      </w:r>
      <w:r>
        <w:t xml:space="preserve">Ohio</w:t>
      </w:r>
      <w:r>
        <w:t xml:space="preserve"> </w:t>
      </w:r>
      <w:r>
        <w:t xml:space="preserve">43215</w:t>
      </w:r>
    </w:p>
    <w:p>
      <w:pPr>
        <w:spacing w:before="240" w:after="0" w:line="276" w:lineRule="exact"/>
        <w:ind w:left="720" w:firstLine="0"/>
        <w:jc w:val="left"/>
      </w:pPr>
      <w:r>
        <w:t xml:space="preserve">Aaron</w:t>
      </w:r>
      <w:r>
        <w:t xml:space="preserve"> </w:t>
      </w:r>
      <w:r>
        <w:t xml:space="preserve">D.</w:t>
      </w:r>
      <w:r>
        <w:t xml:space="preserve"> </w:t>
      </w:r>
      <w:r>
        <w:t xml:space="preserve">Epstein</w:t>
      </w:r>
    </w:p>
    <w:p>
      <w:pPr>
        <w:spacing w:before="0" w:after="0" w:line="276" w:lineRule="exact"/>
        <w:ind w:left="720" w:firstLine="0"/>
        <w:jc w:val="left"/>
      </w:pPr>
      <w:r>
        <w:t xml:space="preserve">adepstein@columbus.gov</w:t>
      </w:r>
    </w:p>
    <w:p>
      <w:pPr>
        <w:spacing w:before="0" w:after="0" w:line="276" w:lineRule="exact"/>
        <w:ind w:left="720" w:firstLine="0"/>
        <w:jc w:val="left"/>
      </w:pPr>
      <w:r>
        <w:t xml:space="preserve">Assistant</w:t>
      </w:r>
      <w:r>
        <w:t xml:space="preserve"> </w:t>
      </w:r>
      <w:r>
        <w:t xml:space="preserve">City</w:t>
      </w:r>
      <w:r>
        <w:t xml:space="preserve"> </w:t>
      </w:r>
      <w:r>
        <w:t xml:space="preserve">Attorneys,</w:t>
      </w:r>
      <w:r>
        <w:t xml:space="preserve"> </w:t>
      </w:r>
      <w:r>
        <w:t xml:space="preserve">City</w:t>
      </w:r>
      <w:r>
        <w:t xml:space="preserve"> </w:t>
      </w:r>
      <w:r>
        <w:t xml:space="preserve">of</w:t>
      </w:r>
      <w:r>
        <w:t xml:space="preserve"> </w:t>
      </w:r>
      <w:r>
        <w:t xml:space="preserve">Columbus,</w:t>
      </w:r>
      <w:r>
        <w:t xml:space="preserve"> </w:t>
      </w:r>
      <w:r>
        <w:t xml:space="preserve">Department</w:t>
      </w:r>
      <w:r>
        <w:t xml:space="preserve"> </w:t>
      </w:r>
      <w:r>
        <w:t xml:space="preserve">of</w:t>
      </w:r>
      <w:r>
        <w:t xml:space="preserve"> </w:t>
      </w:r>
      <w:r>
        <w:t xml:space="preserve">Law,</w:t>
      </w:r>
      <w:r>
        <w:t xml:space="preserve"> </w:t>
      </w:r>
      <w:r>
        <w:t xml:space="preserve">77</w:t>
      </w:r>
      <w:r>
        <w:t xml:space="preserve"> </w:t>
      </w:r>
      <w:r>
        <w:t xml:space="preserve">N.</w:t>
      </w:r>
      <w:r>
        <w:t xml:space="preserve"> </w:t>
      </w:r>
      <w:r>
        <w:t xml:space="preserve">Front</w:t>
      </w:r>
      <w:r>
        <w:t xml:space="preserve"> </w:t>
      </w:r>
      <w:r>
        <w:t xml:space="preserve">Street,</w:t>
      </w:r>
      <w:r>
        <w:t xml:space="preserve"> </w:t>
      </w:r>
      <w:r>
        <w:t xml:space="preserve">4th</w:t>
      </w:r>
      <w:r>
        <w:t xml:space="preserve"> </w:t>
      </w:r>
      <w:r>
        <w:t xml:space="preserve">Floor,</w:t>
      </w:r>
      <w:r>
        <w:t xml:space="preserve"> </w:t>
      </w:r>
      <w:r>
        <w:t xml:space="preserve">Columbus,</w:t>
      </w:r>
      <w:r>
        <w:t xml:space="preserve"> </w:t>
      </w:r>
      <w:r>
        <w:t xml:space="preserve">Ohio</w:t>
      </w:r>
      <w:r>
        <w:t xml:space="preserve"> </w:t>
      </w:r>
      <w:r>
        <w:t xml:space="preserve">43215</w:t>
      </w:r>
    </w:p>
    <w:p>
      <w:pPr>
        <w:spacing w:before="276" w:after="0" w:line="276" w:lineRule="exact"/>
        <w:ind w:left="4608" w:firstLine="0"/>
        <w:jc w:val="left"/>
      </w:pPr>
      <w:r>
        <w:rPr>
          <w:u w:val="single"/>
        </w:rPr>
        <w:t xml:space="preserve">/s/</w:t>
      </w:r>
      <w:r>
        <w:rPr>
          <w:u w:val="single"/>
        </w:rPr>
        <w:t xml:space="preserve"> </w:t>
      </w:r>
      <w:r>
        <w:rPr>
          <w:i/>
          <w:iCs/>
          <w:u w:val="single"/>
        </w:rPr>
        <w:t xml:space="preserve">David</w:t>
      </w:r>
      <w:r>
        <w:rPr>
          <w:i/>
          <w:iCs/>
          <w:u w:val="single"/>
        </w:rPr>
        <w:t xml:space="preserve"> </w:t>
      </w:r>
      <w:r>
        <w:rPr>
          <w:i/>
          <w:iCs/>
          <w:u w:val="single"/>
        </w:rPr>
        <w:t xml:space="preserve">C.</w:t>
      </w:r>
      <w:r>
        <w:rPr>
          <w:i/>
          <w:iCs/>
          <w:u w:val="single"/>
        </w:rPr>
        <w:t xml:space="preserve"> </w:t>
      </w:r>
      <w:r>
        <w:rPr>
          <w:i/>
          <w:iCs/>
          <w:u w:val="single"/>
        </w:rPr>
        <w:t xml:space="preserve">Tryon</w:t>
      </w:r>
      <w:r>
        <w:rPr>
          <w:i/>
          <w:iCs/>
          <w:u w:val="single"/>
        </w:rPr>
        <w:t xml:space="preserve"> </w:t>
      </w:r>
      <w:r>
        <w:rPr>
          <w:i/>
          <w:iCs/>
          <w:u w:val="single"/>
        </w:rPr>
        <w:t xml:space="preserve">(0028954)</w:t>
      </w:r>
    </w:p>
    <w:p>
      <w:pPr>
        <w:spacing w:before="0" w:after="0" w:line="276" w:lineRule="exact"/>
        <w:ind w:left="4608" w:firstLine="0"/>
        <w:jc w:val="left"/>
      </w:pPr>
      <w:r>
        <w:t xml:space="preserve">David</w:t>
      </w:r>
      <w:r>
        <w:t xml:space="preserve"> </w:t>
      </w:r>
      <w:r>
        <w:t xml:space="preserve">C.</w:t>
      </w:r>
      <w:r>
        <w:t xml:space="preserve"> </w:t>
      </w:r>
      <w:r>
        <w:t xml:space="preserve">Tryon</w:t>
      </w:r>
      <w:r>
        <w:t xml:space="preserve"> </w:t>
      </w:r>
      <w:r>
        <w:t xml:space="preserve">(0028954)</w:t>
      </w:r>
    </w:p>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Defendants repeatedly refer to Plaintiffs as fictitious rather than as anonymous. Defendants either do not know the difference or they are simply being disingenuous. Plaintiffs are real as the undersigned counsel, as officers of the court, have represented and as six different notaries public have attested.</w:t>
      </w:r>
    </w:p>
  </w:footnote>
  <w:footnote w:id="10">
    <w:p>
      <w:pPr>
        <w:pStyle w:val="FootnoteText"/>
      </w:pPr>
      <w:r>
        <w:rPr>
          <w:rStyle w:val="FootnoteReference"/>
        </w:rPr>
        <w:footnoteRef/>
      </w:r>
      <w:r>
        <w:t xml:space="preserve"> </w:t>
      </w:r>
      <w:r>
        <w:t xml:space="preserve">Further, forcing Plaintiffs to reveal their names and addresses would make them choose between their fundamental right against self-incrimination and their fundamental right to access the courts.</w:t>
      </w:r>
    </w:p>
  </w:footnote>
  <w:footnote w:id="11">
    <w:p>
      <w:pPr>
        <w:pStyle w:val="FootnoteText"/>
      </w:pPr>
      <w:r>
        <w:rPr>
          <w:rStyle w:val="FootnoteReference"/>
        </w:rPr>
        <w:footnoteRef/>
      </w:r>
      <w:r>
        <w:t xml:space="preserve"> </w:t>
      </w:r>
      <w:r>
        <w:t xml:space="preserve">Perhaps most famously, see</w:t>
      </w:r>
      <w:r>
        <w:t xml:space="preserve"> </w:t>
      </w:r>
      <w:r>
        <w:rPr>
          <w:i/>
          <w:iCs/>
        </w:rPr>
        <w:t xml:space="preserve">Roe v. Wade</w:t>
      </w:r>
      <w:r>
        <w:t xml:space="preserve">, 410 U.S. 113 (1973). There, the trial court found jurisdiction and explained that “Plaintiffs Roe and Doe have adopted pseudonyms for purposes of anonymity.”</w:t>
      </w:r>
      <w:r>
        <w:t xml:space="preserve"> </w:t>
      </w:r>
      <w:r>
        <w:rPr>
          <w:i/>
          <w:iCs/>
        </w:rPr>
        <w:t xml:space="preserve">Roe v. Wade</w:t>
      </w:r>
      <w:r>
        <w:t xml:space="preserve">, 314 F. Supp. 1217, 1219 (N.D. Tex. 1970), aff’d in part, rev’d in part, 410 U.S. 113 (1973).</w:t>
      </w:r>
    </w:p>
  </w:footnote>
  <w:footnote w:id="12">
    <w:p>
      <w:pPr>
        <w:pStyle w:val="FootnoteText"/>
      </w:pPr>
      <w:r>
        <w:rPr>
          <w:rStyle w:val="FootnoteReference"/>
        </w:rPr>
        <w:footnoteRef/>
      </w:r>
      <w:r>
        <w:t xml:space="preserve"> </w:t>
      </w:r>
      <w:r>
        <w:t xml:space="preserve">A notary violating the oath of office may lose his or her commission and become ineligible for recommission, R.C. 147.032,</w:t>
      </w:r>
      <w:r>
        <w:t xml:space="preserve"> </w:t>
      </w:r>
      <w:r>
        <w:t xml:space="preserve">and may “be fined not more than one hundred dollars or imprisoned not more than thirty days, or both,” R.C. 147.99.</w:t>
      </w:r>
    </w:p>
  </w:footnote>
  <w:footnote w:id="13">
    <w:p>
      <w:pPr>
        <w:pStyle w:val="FootnoteText"/>
      </w:pPr>
      <w:r>
        <w:rPr>
          <w:rStyle w:val="FootnoteReference"/>
        </w:rPr>
        <w:footnoteRef/>
      </w:r>
      <w:r>
        <w:t xml:space="preserve"> </w:t>
      </w:r>
      <w:r>
        <w:t xml:space="preserve">Defendants’ repeated claims that “the Plaintiffs in Delaware are fictitious” and may not “even exist[]” are disrespectful to opposing counsel and unjustifiably question the trial court’s legitimacy. Defendants’ continuing attacks on the Plaintiffs’ anonymity for the apparent purpose of intimidating Plaintiffs to drop this case is prejudicial to the administration of justice.</w:t>
      </w:r>
    </w:p>
  </w:footnote>
  <w:footnote w:id="14">
    <w:p>
      <w:pPr>
        <w:pStyle w:val="FootnoteText"/>
      </w:pPr>
      <w:r>
        <w:rPr>
          <w:rStyle w:val="FootnoteReference"/>
        </w:rPr>
        <w:footnoteRef/>
      </w:r>
      <w:r>
        <w:t xml:space="preserve"> </w:t>
      </w:r>
      <w:r>
        <w:t xml:space="preserve">Even</w:t>
      </w:r>
      <w:r>
        <w:t xml:space="preserve"> </w:t>
      </w:r>
      <w:r>
        <w:rPr>
          <w:i/>
          <w:iCs/>
        </w:rPr>
        <w:t xml:space="preserve">Yocom</w:t>
      </w:r>
      <w:r>
        <w:t xml:space="preserve">, Defendants’ lead case, explained regarded the issue as one of personal jurisdiction—but only where permission to proceed has not been granted. “Where no permission is granted, ‘the federal courts lack jurisdiction over the unnamed parties [i.e., personal jurisdiction], as a case has not been commenced with respect to them.’”</w:t>
      </w:r>
      <w:r>
        <w:t xml:space="preserve"> </w:t>
      </w:r>
      <w:r>
        <w:rPr>
          <w:i/>
          <w:iCs/>
        </w:rPr>
        <w:t xml:space="preserve">Yocom</w:t>
      </w:r>
      <w:r>
        <w:t xml:space="preserve">, 257 F.3d at 1172 (citation omitted).</w:t>
      </w:r>
    </w:p>
  </w:footnote>
  <w:footnote w:id="15">
    <w:p>
      <w:pPr>
        <w:pStyle w:val="FootnoteText"/>
      </w:pPr>
      <w:r>
        <w:rPr>
          <w:rStyle w:val="FootnoteReference"/>
        </w:rPr>
        <w:footnoteRef/>
      </w:r>
      <w:r>
        <w:t xml:space="preserve"> </w:t>
      </w:r>
      <w:r>
        <w:t xml:space="preserve">Defendants claim for the first time on appeal and without support that the court cannot proceed without knowing the Plaintiffs’ identities because the court cannot tell if it has an ethical conflict. But an ethical conflict would result from knowingly favoring one party based on a personal relationship, which knowledge would not exist here.</w:t>
      </w:r>
      <w:r>
        <w:t xml:space="preserve"> </w:t>
      </w:r>
      <w:r>
        <w:rPr>
          <w:i/>
          <w:iCs/>
        </w:rPr>
        <w:t xml:space="preserve">Shanahan</w:t>
      </w:r>
      <w:r>
        <w:t xml:space="preserve"> </w:t>
      </w:r>
      <w:r>
        <w:t xml:space="preserve">imposed no such requirement.</w:t>
      </w:r>
    </w:p>
  </w:footnote>
  <w:footnote w:id="16">
    <w:p>
      <w:pPr>
        <w:pStyle w:val="FootnoteText"/>
      </w:pPr>
      <w:r>
        <w:rPr>
          <w:rStyle w:val="FootnoteReference"/>
        </w:rPr>
        <w:footnoteRef/>
      </w:r>
      <w:r>
        <w:t xml:space="preserve"> </w:t>
      </w:r>
      <w:r>
        <w:t xml:space="preserve">Defendants’ speculation that Plaintiffs “are employees of the Ohio Attorney General’s Office or have specifically coordinated this litigation with that office” is wrong and irrelevant. First, Defendants did not raise this defense below and so have waived it. Second, they have no evidence to support their supposition. Defendants’ cite to an e-mail chain between the Ohio Attorney General’s Office and outside individuals—none of whom is a party herein or counsel herein. And, Plaintiffs’ counsel are not even referenced in the email chain as other attorneys are. Third, Plaintiffs’ counsel attests that no Plaintiff is an employee of the Ohio Attorney General’s Office. Finally, even if Plaintiffs were employed by the Attorney General’s Office, state employees enjoy the same fundamental rights outside of their employment as any other Ohio citizen.</w:t>
      </w:r>
    </w:p>
  </w:footnote>
  <w:footnote w:id="17">
    <w:p>
      <w:pPr>
        <w:pStyle w:val="FootnoteText"/>
      </w:pPr>
      <w:r>
        <w:rPr>
          <w:rStyle w:val="FootnoteReference"/>
        </w:rPr>
        <w:footnoteRef/>
      </w:r>
      <w:r>
        <w:t xml:space="preserve"> </w:t>
      </w:r>
      <w:r>
        <w:t xml:space="preserve">The government, not Plaintiffs, has the burden to show that its laws do not violate the</w:t>
      </w:r>
      <w:r>
        <w:t xml:space="preserve"> </w:t>
      </w:r>
      <w:r>
        <w:rPr>
          <w:i/>
          <w:iCs/>
        </w:rPr>
        <w:t xml:space="preserve">Bruen</w:t>
      </w:r>
      <w:r>
        <w:t xml:space="preserve"> </w:t>
      </w:r>
      <w:r>
        <w:t xml:space="preserve">standard.</w:t>
      </w:r>
    </w:p>
  </w:footnote>
  <w:footnote w:id="18">
    <w:p>
      <w:pPr>
        <w:pStyle w:val="FootnoteText"/>
      </w:pPr>
      <w:r>
        <w:rPr>
          <w:rStyle w:val="FootnoteReference"/>
        </w:rPr>
        <w:footnoteRef/>
      </w:r>
      <w:r>
        <w:t xml:space="preserve"> </w:t>
      </w:r>
      <w:r>
        <w:t xml:space="preserve">Beyond it being inapplicable, Defendants’ claim that the trial court ignored this case is incorrect considering it was decided after the trial court ruled on the preliminary injunction.</w:t>
      </w:r>
    </w:p>
  </w:footnote>
  <w:footnote w:id="19">
    <w:p>
      <w:pPr>
        <w:pStyle w:val="FootnoteText"/>
      </w:pPr>
      <w:r>
        <w:rPr>
          <w:rStyle w:val="FootnoteReference"/>
        </w:rPr>
        <w:footnoteRef/>
      </w:r>
      <w:r>
        <w:t xml:space="preserve"> </w:t>
      </w:r>
      <w:r>
        <w:t xml:space="preserve">Defendants have cited several cases to try to claim that the Ohio Supreme Court would endorse the subject magazine ban.</w:t>
      </w:r>
      <w:r>
        <w:t xml:space="preserve"> </w:t>
      </w:r>
      <w:r>
        <w:rPr>
          <w:i/>
          <w:iCs/>
        </w:rPr>
        <w:t xml:space="preserve">See State v. Nieto</w:t>
      </w:r>
      <w:r>
        <w:t xml:space="preserve">, 101 ohio St. 409, 130 N.E. 663 (1920);</w:t>
      </w:r>
      <w:r>
        <w:t xml:space="preserve"> </w:t>
      </w:r>
      <w:r>
        <w:rPr>
          <w:i/>
          <w:iCs/>
        </w:rPr>
        <w:t xml:space="preserve">Mosher</w:t>
      </w:r>
      <w:r>
        <w:rPr>
          <w:i/>
          <w:iCs/>
        </w:rPr>
        <w:t xml:space="preserve"> </w:t>
      </w:r>
      <w:r>
        <w:rPr>
          <w:i/>
          <w:iCs/>
        </w:rPr>
        <w:t xml:space="preserve">v. Dayton</w:t>
      </w:r>
      <w:r>
        <w:t xml:space="preserve">, 48 Ohio St.2d 243, 358 N.E.2d 540 (1976); and</w:t>
      </w:r>
      <w:r>
        <w:t xml:space="preserve"> </w:t>
      </w:r>
      <w:r>
        <w:rPr>
          <w:i/>
          <w:iCs/>
        </w:rPr>
        <w:t xml:space="preserve">Klein</w:t>
      </w:r>
      <w:r>
        <w:t xml:space="preserve">, 99 Ohio St.3d 537, 2003-Ohio</w:t>
      </w:r>
      <w:r>
        <w:noBreakHyphen/>
      </w:r>
      <w:r>
        <w:t xml:space="preserve">4779. But these are all pre-</w:t>
      </w:r>
      <w:r>
        <w:rPr>
          <w:i/>
          <w:iCs/>
        </w:rPr>
        <w:t xml:space="preserve">Bruen</w:t>
      </w:r>
      <w:r>
        <w:t xml:space="preserve"> </w:t>
      </w:r>
      <w:r>
        <w:t xml:space="preserve">(2022), pre-</w:t>
      </w:r>
      <w:r>
        <w:rPr>
          <w:i/>
          <w:iCs/>
        </w:rPr>
        <w:t xml:space="preserve">O’Malley</w:t>
      </w:r>
      <w:r>
        <w:t xml:space="preserve"> </w:t>
      </w:r>
      <w:r>
        <w:t xml:space="preserve">(2022), and pre-</w:t>
      </w:r>
      <w:r>
        <w:rPr>
          <w:i/>
          <w:iCs/>
        </w:rPr>
        <w:t xml:space="preserve">Weber</w:t>
      </w:r>
      <w:r>
        <w:t xml:space="preserve"> </w:t>
      </w:r>
      <w:r>
        <w:t xml:space="preserve">(2020), and they address laws regarding concealed carry of firearms or firearms registration laws. As such, none are relevant here.</w:t>
      </w:r>
    </w:p>
  </w:footnote>
  <w:footnote w:id="20">
    <w:p>
      <w:pPr>
        <w:pStyle w:val="FootnoteText"/>
      </w:pPr>
      <w:r>
        <w:rPr>
          <w:rStyle w:val="FootnoteReference"/>
        </w:rPr>
        <w:footnoteRef/>
      </w:r>
      <w:r>
        <w:t xml:space="preserve"> </w:t>
      </w:r>
      <w:r>
        <w:t xml:space="preserve">Reportedly, on or about March 2, 2023, Defendant Klein</w:t>
      </w:r>
      <w:r>
        <w:t xml:space="preserve"> </w:t>
      </w:r>
      <w:r>
        <w:t xml:space="preserve">stated that the City chose the number 30 because “we felt comfortable with the number 30.” Lacey Crisp,</w:t>
      </w:r>
      <w:r>
        <w:t xml:space="preserve"> </w:t>
      </w:r>
      <w:r>
        <w:t xml:space="preserve">Columbus gun owners have until July 1 to get rid of high-capacity magazines, 10WBNS (March 2, 2023), https://​www.​10tv.​com/​article/​news/​local/​columbus-​gun-​owners-​have-​until-​july</w:t>
      </w:r>
      <w:r>
        <w:noBreakHyphen/>
      </w:r>
      <w:r>
        <w:t xml:space="preserve">1-​get-​rid-​of-​high-​capacity-​magazines/​530</w:t>
      </w:r>
      <w:r>
        <w:noBreakHyphen/>
      </w:r>
      <w:r>
        <w:t xml:space="preserve">51c6811f</w:t>
      </w:r>
      <w:r>
        <w:noBreakHyphen/>
      </w:r>
      <w:r>
        <w:t xml:space="preserve">60a5</w:t>
      </w:r>
      <w:r>
        <w:noBreakHyphen/>
      </w:r>
      <w:r>
        <w:t xml:space="preserve">4c1d-​b567-​f3e553da77fb. But feelings are not evidence; they are not data supporting an ordinance impinging on a fundamental constitutional right. This further confirms that “30” is nothing more than an arbitrary number.</w:t>
      </w:r>
    </w:p>
  </w:footnote>
  <w:footnote w:id="21">
    <w:p>
      <w:pPr>
        <w:pStyle w:val="FootnoteText"/>
      </w:pPr>
      <w:r>
        <w:rPr>
          <w:rStyle w:val="FootnoteReference"/>
        </w:rPr>
        <w:footnoteRef/>
      </w:r>
      <w:r>
        <w:t xml:space="preserve"> </w:t>
      </w:r>
      <w:r>
        <w:t xml:space="preserve">That law no longer exists.</w:t>
      </w:r>
    </w:p>
  </w:footnote>
  <w:footnote w:id="22">
    <w:p>
      <w:pPr>
        <w:pStyle w:val="FootnoteText"/>
      </w:pPr>
      <w:r>
        <w:rPr>
          <w:rStyle w:val="FootnoteReference"/>
        </w:rPr>
        <w:footnoteRef/>
      </w:r>
      <w:r>
        <w:t xml:space="preserve"> </w:t>
      </w:r>
      <w:r>
        <w:t xml:space="preserve">“Except as specifically provided by the United States Constitution, Ohio Constitution, state law, or federal law, a person, without further license, permission, restriction, delay, or process, including by any ordinance, rule, regulation, resolution, practice, or other action or any threat of citation, prosecution, or other legal process, may own, possess, purchase, acquire, transport, store * * * or keep any firearm, part of a firearm, [and] its components * * *. Any such further license, permission, restriction, delay, or process interferes with the fundamental individual right described in this division * * * and the state by this section preempts, supersedes, and declares null and void any such further license, permission, restriction, delay, or process.” (Emphasis added.) R.C. 9.68.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