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BANKRUPTCY COURT</w:t>
      </w:r>
    </w:p>
    <w:p>
      <w:pPr>
        <w:pStyle w:val="Centered"/>
        <w:spacing w:before="0" w:after="360"/>
      </w:pPr>
      <w:r>
        <w:rPr>
          <w:b/>
        </w:rPr>
        <w:t xml:space="preserve">WESTERN DISTRICT OF WISCONSIN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360"/>
        <w:gridCol w:w="4104"/>
      </w:tblGrid>
      <w:tr>
        <w:trPr>
          <w:cantSplit/>
        </w:trPr>
        <w:tc>
          <w:tcPr>
            <w:tcW w:w="4896" w:type="dxa"/>
            <w:tcBorders>
              <w:bottom w:val="single" w:sz="6" w:space="0" w:color="000000"/>
              <w:right w:val="single" w:sz="6" w:space="0" w:color="000000"/>
            </w:tcBorders>
            <w:tcMar>
              <w:bottom w:w="200" w:type="dxa"/>
              <w:right w:w="200" w:type="dxa"/>
            </w:tcMar>
          </w:tcPr>
          <w:p>
            <w:pPr>
              <w:pStyle w:val="Single"/>
            </w:pPr>
            <w:r>
              <w:rPr/>
              <w:t xml:space="preserve">In re:</w:t>
            </w:r>
          </w:p>
          <w:p>
            <w:pPr>
              <w:pStyle w:val="Single"/>
            </w:pPr>
            <w:r>
              <w:rPr/>
              <w:t xml:space="preserve">THEODORE</w:t>
            </w:r>
            <w:r>
              <w:rPr/>
              <w:t xml:space="preserve"> </w:t>
            </w:r>
            <w:r>
              <w:rPr/>
              <w:t xml:space="preserve">CHARLES</w:t>
            </w:r>
            <w:r>
              <w:rPr/>
              <w:t xml:space="preserve"> </w:t>
            </w:r>
            <w:r>
              <w:rPr/>
              <w:t xml:space="preserve">WENZEL</w:t>
            </w:r>
          </w:p>
          <w:p>
            <w:pPr>
              <w:pStyle w:val="Single"/>
            </w:pPr>
            <w:r>
              <w:rPr/>
              <w:t xml:space="preserve">Case No. 13-15445</w:t>
            </w:r>
          </w:p>
          <w:p>
            <w:pPr>
              <w:pStyle w:val="Single"/>
            </w:pPr>
            <w:r>
              <w:rPr/>
              <w:t xml:space="preserve">Chapter 7</w:t>
            </w:r>
          </w:p>
          <w:p>
            <w:pPr>
              <w:pStyle w:val="Single"/>
              <w:spacing w:before="288"/>
            </w:pPr>
            <w:r>
              <w:rPr/>
              <w:t xml:space="preserve">THEODORE</w:t>
            </w:r>
            <w:r>
              <w:rPr/>
              <w:t xml:space="preserve"> </w:t>
            </w:r>
            <w:r>
              <w:rPr/>
              <w:t xml:space="preserve">CHARLES</w:t>
            </w:r>
            <w:r>
              <w:rPr/>
              <w:t xml:space="preserve"> </w:t>
            </w:r>
            <w:r>
              <w:rPr/>
              <w:t xml:space="preserve">WENZEL</w:t>
            </w:r>
          </w:p>
          <w:p>
            <w:pPr>
              <w:pStyle w:val="Single"/>
            </w:pPr>
            <w:r>
              <w:rPr/>
              <w:t xml:space="preserve">2203</w:t>
            </w:r>
            <w:r>
              <w:rPr/>
              <w:t xml:space="preserve"> </w:t>
            </w:r>
            <w:r>
              <w:rPr/>
              <w:t xml:space="preserve">S.</w:t>
            </w:r>
            <w:r>
              <w:rPr/>
              <w:t xml:space="preserve"> </w:t>
            </w:r>
            <w:r>
              <w:rPr/>
              <w:t xml:space="preserve">Osborne</w:t>
            </w:r>
            <w:r>
              <w:rPr/>
              <w:t xml:space="preserve"> </w:t>
            </w:r>
            <w:r>
              <w:rPr/>
              <w:t xml:space="preserve">Ave.</w:t>
            </w:r>
          </w:p>
          <w:p>
            <w:pPr>
              <w:pStyle w:val="Single"/>
            </w:pPr>
            <w:r>
              <w:rPr/>
              <w:t xml:space="preserve">Janesville,</w:t>
            </w:r>
            <w:r>
              <w:rPr/>
              <w:t xml:space="preserve"> </w:t>
            </w:r>
            <w:r>
              <w:rPr/>
              <w:t xml:space="preserve">WI</w:t>
            </w:r>
            <w:r>
              <w:rPr/>
              <w:t xml:space="preserve"> </w:t>
            </w:r>
            <w:r>
              <w:rPr/>
              <w:t xml:space="preserve">53546,</w:t>
            </w:r>
          </w:p>
          <w:p>
            <w:pPr>
              <w:pStyle w:val="Single"/>
              <w:spacing w:before="120"/>
              <w:ind w:left="0" w:right="576" w:firstLine="0"/>
              <w:jc w:val="right"/>
            </w:pPr>
            <w:r>
              <w:rPr/>
              <w:t xml:space="preserve">Plaintiff,</w:t>
            </w:r>
          </w:p>
          <w:p>
            <w:pPr>
              <w:pStyle w:val="Single"/>
              <w:spacing w:before="192" w:after="192"/>
              <w:jc w:val="left"/>
            </w:pPr>
            <w:r>
              <w:rPr/>
              <w:t xml:space="preserve">v.</w:t>
            </w:r>
          </w:p>
          <w:p>
            <w:pPr>
              <w:pStyle w:val="Single"/>
            </w:pPr>
            <w:r>
              <w:rPr/>
              <w:t xml:space="preserve">GREEN</w:t>
            </w:r>
            <w:r>
              <w:rPr/>
              <w:t xml:space="preserve"> </w:t>
            </w:r>
            <w:r>
              <w:rPr/>
              <w:t xml:space="preserve">TREE</w:t>
            </w:r>
            <w:r>
              <w:rPr/>
              <w:t xml:space="preserve"> </w:t>
            </w:r>
            <w:r>
              <w:rPr/>
              <w:t xml:space="preserve">SERVICING</w:t>
            </w:r>
            <w:r>
              <w:rPr/>
              <w:t xml:space="preserve"> </w:t>
            </w:r>
            <w:r>
              <w:rPr/>
              <w:t xml:space="preserve">LLC</w:t>
            </w:r>
          </w:p>
          <w:p>
            <w:pPr>
              <w:pStyle w:val="Single"/>
            </w:pPr>
            <w:r>
              <w:rPr/>
              <w:t xml:space="preserve">as</w:t>
            </w:r>
            <w:r>
              <w:rPr/>
              <w:t xml:space="preserve"> </w:t>
            </w:r>
            <w:r>
              <w:rPr/>
              <w:t xml:space="preserve">authorized</w:t>
            </w:r>
            <w:r>
              <w:rPr/>
              <w:t xml:space="preserve"> </w:t>
            </w:r>
            <w:r>
              <w:rPr/>
              <w:t xml:space="preserve">servicer</w:t>
            </w:r>
            <w:r>
              <w:rPr/>
              <w:t xml:space="preserve"> </w:t>
            </w:r>
            <w:r>
              <w:rPr/>
              <w:t xml:space="preserve">for</w:t>
            </w:r>
            <w:r>
              <w:rPr/>
              <w:t xml:space="preserve"> </w:t>
            </w:r>
            <w:r>
              <w:rPr/>
              <w:t xml:space="preserve">Fannie</w:t>
            </w:r>
            <w:r>
              <w:rPr/>
              <w:t xml:space="preserve"> </w:t>
            </w:r>
            <w:r>
              <w:rPr/>
              <w:t xml:space="preserve">Mae</w:t>
            </w:r>
          </w:p>
          <w:p>
            <w:pPr>
              <w:pStyle w:val="Single"/>
            </w:pPr>
            <w:r>
              <w:rPr/>
              <w:t xml:space="preserve">P.O.</w:t>
            </w:r>
            <w:r>
              <w:rPr/>
              <w:t xml:space="preserve"> </w:t>
            </w:r>
            <w:r>
              <w:rPr/>
              <w:t xml:space="preserve">Box</w:t>
            </w:r>
            <w:r>
              <w:rPr/>
              <w:t xml:space="preserve"> </w:t>
            </w:r>
            <w:r>
              <w:rPr/>
              <w:t xml:space="preserve">6154</w:t>
            </w:r>
          </w:p>
          <w:p>
            <w:pPr>
              <w:pStyle w:val="Single"/>
            </w:pPr>
            <w:r>
              <w:rPr/>
              <w:t xml:space="preserve">Rapid</w:t>
            </w:r>
            <w:r>
              <w:rPr/>
              <w:t xml:space="preserve"> </w:t>
            </w:r>
            <w:r>
              <w:rPr/>
              <w:t xml:space="preserve">City,</w:t>
            </w:r>
            <w:r>
              <w:rPr/>
              <w:t xml:space="preserve"> </w:t>
            </w:r>
            <w:r>
              <w:rPr/>
              <w:t xml:space="preserve">SD</w:t>
            </w:r>
            <w:r>
              <w:rPr/>
              <w:t xml:space="preserve"> </w:t>
            </w:r>
            <w:r>
              <w:rPr/>
              <w:t xml:space="preserve">57709-6154,</w:t>
            </w:r>
          </w:p>
          <w:p>
            <w:pPr>
              <w:pStyle w:val="Single"/>
              <w:spacing w:before="120"/>
              <w:ind w:left="0" w:right="576" w:firstLine="0"/>
              <w:jc w:val="right"/>
            </w:pPr>
            <w:r>
              <w:rPr/>
              <w:t xml:space="preserve">Defendant.</w:t>
            </w:r>
          </w:p>
        </w:tc>
        <w:tc>
          <w:tcPr>
            <w:tcW w:w="360" w:type="dxa"/>
          </w:tcPr>
          <w:p>
            <w:pPr>
              <w:pStyle w:val="Single"/>
            </w:pPr>
          </w:p>
        </w:tc>
        <w:tc>
          <w:tcPr>
            <w:tcW w:w="4104" w:type="dxa"/>
          </w:tcPr>
          <w:p>
            <w:pPr>
              <w:pStyle w:val="Single"/>
              <w:spacing w:before="48"/>
            </w:pPr>
            <w:r>
              <w:rPr>
                <w:b/>
              </w:rPr>
              <w:t xml:space="preserve">Adversary Case No.</w:t>
            </w:r>
            <w:r>
              <w:rPr/>
              <w:t xml:space="preserve">  </w:t>
            </w:r>
            <w:r>
              <w:rPr/>
              <w:t xml:space="preserve">___________________</w:t>
            </w:r>
          </w:p>
        </w:tc>
      </w:tr>
    </w:tbl>
    <w:p>
      <w:pPr>
        <w:pStyle w:val="Centered"/>
        <w:spacing w:before="360" w:after="360"/>
      </w:pPr>
      <w:r>
        <w:rPr>
          <w:b/>
        </w:rPr>
        <w:t xml:space="preserve">COMPLAINT DETERMINING THE VALIDITY OF A CLAIMED LIEN UNDER RULE 7001(2)</w:t>
      </w:r>
    </w:p>
    <w:bookmarkStart w:id="20" w:name="parties"/>
    <w:p>
      <w:pPr>
        <w:pStyle w:val="Heading1"/>
      </w:pPr>
      <w:r>
        <w:t xml:space="preserve">PARTIES</w:t>
      </w:r>
    </w:p>
    <w:p>
      <w:pPr>
        <w:pStyle w:val="Numbered"/>
      </w:pPr>
      <w:r>
        <w:t xml:space="preserve">1.</w:t>
      </w:r>
      <w:r>
        <w:tab/>
      </w:r>
      <w:r>
        <w:t xml:space="preserve">Theodore Charles Wenzel (the</w:t>
      </w:r>
      <w:r>
        <w:t xml:space="preserve"> </w:t>
      </w:r>
      <w:r>
        <w:t xml:space="preserve">“Plaintiff”</w:t>
      </w:r>
      <w:r>
        <w:t xml:space="preserve">) is the Debtor in these bankruptcy proceedings.</w:t>
      </w:r>
    </w:p>
    <w:p>
      <w:pPr>
        <w:pStyle w:val="Numbered"/>
      </w:pPr>
      <w:r>
        <w:t xml:space="preserve">2.</w:t>
      </w:r>
      <w:r>
        <w:tab/>
      </w:r>
      <w:r>
        <w:t xml:space="preserve">Green Tree Servicing LLC as authorized servicer for Fannie Mae (the</w:t>
      </w:r>
      <w:r>
        <w:t xml:space="preserve"> </w:t>
      </w:r>
      <w:r>
        <w:t xml:space="preserve">“Defendant”</w:t>
      </w:r>
      <w:r>
        <w:t xml:space="preserve">) upon information and belief is a banking corporation licensed to do business under the laws of the State of Wisconsin.</w:t>
      </w:r>
    </w:p>
    <w:bookmarkEnd w:id="20"/>
    <w:bookmarkStart w:id="21" w:name="jurisdiction"/>
    <w:p>
      <w:pPr>
        <w:pStyle w:val="Heading1"/>
      </w:pPr>
      <w:r>
        <w:t xml:space="preserve">JURISDICTION</w:t>
      </w:r>
    </w:p>
    <w:p>
      <w:pPr>
        <w:pStyle w:val="Numbered"/>
      </w:pPr>
      <w:r>
        <w:t xml:space="preserve">3.</w:t>
      </w:r>
      <w:r>
        <w:tab/>
      </w:r>
      <w:r>
        <w:t xml:space="preserve">This is an adversary proceeding brought pursuant to the Federal Rules of Bankruptcy Procedure 7001 and 11 U.S.C. §542.</w:t>
      </w:r>
    </w:p>
    <w:p>
      <w:pPr>
        <w:pStyle w:val="Numbered"/>
      </w:pPr>
      <w:r>
        <w:t xml:space="preserve">4.</w:t>
      </w:r>
      <w:r>
        <w:tab/>
      </w:r>
      <w:r>
        <w:t xml:space="preserve">This is a core proceeding as defined by 28 U.S.C. §157.</w:t>
      </w:r>
    </w:p>
    <w:p>
      <w:pPr>
        <w:pStyle w:val="Numbered"/>
      </w:pPr>
      <w:r>
        <w:t xml:space="preserve">5.</w:t>
      </w:r>
      <w:r>
        <w:tab/>
      </w:r>
      <w:r>
        <w:t xml:space="preserve">Plaintiff does not consent to the entry of final orders or judgment by the bankruptcy court.</w:t>
      </w:r>
    </w:p>
    <w:p>
      <w:pPr>
        <w:pStyle w:val="Numbered"/>
      </w:pPr>
      <w:r>
        <w:t xml:space="preserve">6.</w:t>
      </w:r>
      <w:r>
        <w:tab/>
      </w:r>
      <w:r>
        <w:t xml:space="preserve">Venue is proper in this district and division pursuant to 28 U.S.C. § 1409.</w:t>
      </w:r>
    </w:p>
    <w:p>
      <w:pPr>
        <w:pStyle w:val="Numbered"/>
      </w:pPr>
      <w:r>
        <w:t xml:space="preserve">7.</w:t>
      </w:r>
      <w:r>
        <w:tab/>
      </w:r>
      <w:r>
        <w:t xml:space="preserve">The Court has jurisdiction over the subject matter of this adversary proceeding pursuant to 28 U.S.C. §157 and §1334(a), (b) and (e) including jurisdiction over all property, wherever located, of the Debtor as of the commencement of this case and of the property of the estate.</w:t>
      </w:r>
    </w:p>
    <w:p>
      <w:pPr>
        <w:pStyle w:val="Numbered"/>
      </w:pPr>
      <w:r>
        <w:t xml:space="preserve">8.</w:t>
      </w:r>
      <w:r>
        <w:tab/>
      </w:r>
      <w:r>
        <w:t xml:space="preserve">Pursuant to 11 U.S.C. § 105 this Court may issue any order, process of judgment that is necessary or appropriate to carry out the provisions of the Bankruptcy Code.</w:t>
      </w:r>
    </w:p>
    <w:bookmarkEnd w:id="21"/>
    <w:bookmarkStart w:id="22" w:name="factual-allegations"/>
    <w:p>
      <w:pPr>
        <w:pStyle w:val="Heading1"/>
      </w:pPr>
      <w:r>
        <w:t xml:space="preserve">FACTUAL ALLEGATIONS</w:t>
      </w:r>
    </w:p>
    <w:p>
      <w:pPr>
        <w:pStyle w:val="Numbered"/>
      </w:pPr>
      <w:r>
        <w:t xml:space="preserve">9.</w:t>
      </w:r>
      <w:r>
        <w:tab/>
      </w:r>
      <w:r>
        <w:t xml:space="preserve">The Debtor filed a voluntary petition under Chapter 7 of Title 11, United States Code on November 8, 2013 (the</w:t>
      </w:r>
      <w:r>
        <w:t xml:space="preserve"> </w:t>
      </w:r>
      <w:r>
        <w:t xml:space="preserve">“Petition Date”</w:t>
      </w:r>
      <w:r>
        <w:t xml:space="preserve">) in the United States Bankruptcy Court for the Western District of Wisconsin as Case No. 13-15445.</w:t>
      </w:r>
    </w:p>
    <w:p>
      <w:pPr>
        <w:pStyle w:val="Numbered"/>
      </w:pPr>
      <w:r>
        <w:t xml:space="preserve">10.</w:t>
      </w:r>
      <w:r>
        <w:tab/>
      </w:r>
      <w:r>
        <w:t xml:space="preserve">The property of the estate includes the Debtor’s residence at 2203 S. Osborne Avenue, Janesville, Wisconsin.</w:t>
      </w:r>
    </w:p>
    <w:p>
      <w:pPr>
        <w:pStyle w:val="Numbered"/>
      </w:pPr>
      <w:r>
        <w:t xml:space="preserve">11.</w:t>
      </w:r>
      <w:r>
        <w:tab/>
      </w:r>
      <w:r>
        <w:t xml:space="preserve">The mortgage on the property was prepared by Countrywide Bank. It did not contain a legal description.</w:t>
      </w:r>
    </w:p>
    <w:p>
      <w:pPr>
        <w:pStyle w:val="Numbered"/>
      </w:pPr>
      <w:r>
        <w:t xml:space="preserve">12.</w:t>
      </w:r>
      <w:r>
        <w:tab/>
      </w:r>
      <w:r>
        <w:t xml:space="preserve">The above-referenced mortgage made reference to an Exhibit A, but there was no Exhibit A attached to the mortgage and no document with a legal description was ever filed with the Register of Deeds Office in the county in question.</w:t>
      </w:r>
    </w:p>
    <w:p>
      <w:pPr>
        <w:pStyle w:val="Numbered"/>
      </w:pPr>
      <w:r>
        <w:t xml:space="preserve">13.</w:t>
      </w:r>
      <w:r>
        <w:tab/>
      </w:r>
      <w:r>
        <w:t xml:space="preserve">Regarding the above mortgage, there is no chain of title sufficient to establish constructive notice of the existence of the claimed lien.</w:t>
      </w:r>
    </w:p>
    <w:p>
      <w:pPr>
        <w:pStyle w:val="Numbered"/>
      </w:pPr>
      <w:r>
        <w:t xml:space="preserve">14.</w:t>
      </w:r>
      <w:r>
        <w:tab/>
      </w:r>
      <w:r>
        <w:t xml:space="preserve">That at the time of the filing of the bankruptcy petition, the property was not subject to a valid lien. The value of the property is approximately $85,000.00 after deducting anticipated sale costs, and the Debtor is entitled to exempt $75,000.00 of the property value.</w:t>
      </w:r>
    </w:p>
    <w:p>
      <w:pPr>
        <w:pStyle w:val="Numbered"/>
      </w:pPr>
      <w:r>
        <w:t xml:space="preserve">15.</w:t>
      </w:r>
      <w:r>
        <w:tab/>
      </w:r>
      <w:r>
        <w:t xml:space="preserve">The Debtor has agreed to pay to the estate $8,536.00 to purchase the property from the estate as per the attached stipulation.</w:t>
      </w:r>
    </w:p>
    <w:p>
      <w:pPr>
        <w:pStyle w:val="Numbered"/>
      </w:pPr>
      <w:r>
        <w:t xml:space="preserve">16.</w:t>
      </w:r>
      <w:r>
        <w:tab/>
      </w:r>
      <w:r>
        <w:t xml:space="preserve">On May 14, 2014, Green Tree Servicing LLC, as authorized servicer for Fannie Mae, filed a proof of claim asserting a security interest in the property.</w:t>
      </w:r>
    </w:p>
    <w:p>
      <w:pPr>
        <w:pStyle w:val="Numbered"/>
      </w:pPr>
      <w:r>
        <w:t xml:space="preserve">17.</w:t>
      </w:r>
      <w:r>
        <w:tab/>
      </w:r>
      <w:r>
        <w:t xml:space="preserve">Said claim was objected to by the Debtor, no response was made by Green Tree Servicing LLC, and an Order Denying Claim was filed on December 2, 2014.</w:t>
      </w:r>
    </w:p>
    <w:p>
      <w:pPr>
        <w:pStyle w:val="Numbered"/>
      </w:pPr>
      <w:r>
        <w:t xml:space="preserve">18.</w:t>
      </w:r>
      <w:r>
        <w:tab/>
      </w:r>
      <w:r>
        <w:t xml:space="preserve">This adversary proceeding is brought by the Debtor to determine that the lien is not valid and the Debtor would own the property free and clear of all encumbrances upon completion of his obligations under the attached stipulation with the trustee.</w:t>
      </w:r>
    </w:p>
    <w:p>
      <w:pPr>
        <w:pStyle w:val="FirstParagraph"/>
      </w:pPr>
      <w:r>
        <w:t xml:space="preserve">WHEREFORE, Plaintiff demands judgment against the Defendant as follows:</w:t>
      </w:r>
    </w:p>
    <w:p>
      <w:pPr>
        <w:pStyle w:val="ListItem"/>
      </w:pPr>
      <w:r>
        <w:t xml:space="preserve">(a)</w:t>
      </w:r>
      <w:r>
        <w:tab/>
      </w:r>
      <w:r>
        <w:t xml:space="preserve">Determining that the Defendant’s claimed lien is invalid.</w:t>
      </w:r>
    </w:p>
    <w:p>
      <w:pPr>
        <w:pStyle w:val="ListItem"/>
      </w:pPr>
      <w:r>
        <w:t xml:space="preserve">(b)</w:t>
      </w:r>
      <w:r>
        <w:tab/>
      </w:r>
      <w:r>
        <w:t xml:space="preserve">For an order awarding the Plaintiff title to the property free and clear of any and all encumbrances of the Defendant and forever barring the Defendant from making any claim to the property.</w:t>
      </w:r>
    </w:p>
    <w:p>
      <w:pPr>
        <w:pStyle w:val="ListItem"/>
      </w:pPr>
      <w:r>
        <w:t xml:space="preserve">(c)</w:t>
      </w:r>
      <w:r>
        <w:tab/>
      </w:r>
      <w:r>
        <w:t xml:space="preserve">For such other and further relief as the Court deems just and equitable.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4464"/>
      </w:tblGrid>
      <w:tr>
        <w:trPr>
          <w:cantSplit/>
        </w:trPr>
        <w:tc>
          <w:tcPr>
            <w:tcW w:w="4896" w:type="dxa"/>
          </w:tcPr>
          <w:p>
            <w:pPr>
              <w:pStyle w:val="Single"/>
              <w:spacing w:before="648"/>
            </w:pPr>
            <w:r>
              <w:rPr/>
              <w:t xml:space="preserve">Dated</w:t>
            </w:r>
            <w:r>
              <w:rPr/>
              <w:t xml:space="preserve"> </w:t>
            </w:r>
            <w:r>
              <w:rPr/>
              <w:t xml:space="preserve">this</w:t>
            </w:r>
            <w:r>
              <w:rPr/>
              <w:t xml:space="preserve"> </w:t>
            </w:r>
            <w:r>
              <w:rPr/>
              <w:t xml:space="preserve">17th</w:t>
            </w:r>
            <w:r>
              <w:rPr/>
              <w:t xml:space="preserve"> </w:t>
            </w:r>
            <w:r>
              <w:rPr/>
              <w:t xml:space="preserve">day</w:t>
            </w:r>
            <w:r>
              <w:rPr/>
              <w:t xml:space="preserve"> </w:t>
            </w:r>
            <w:r>
              <w:rPr/>
              <w:t xml:space="preserve">of</w:t>
            </w:r>
            <w:r>
              <w:rPr/>
              <w:t xml:space="preserve"> </w:t>
            </w:r>
            <w:r>
              <w:rPr/>
              <w:t xml:space="preserve">July,</w:t>
            </w:r>
            <w:r>
              <w:rPr/>
              <w:t xml:space="preserve"> </w:t>
            </w:r>
            <w:r>
              <w:rPr/>
              <w:t xml:space="preserve">2015.</w:t>
            </w:r>
          </w:p>
        </w:tc>
        <w:tc>
          <w:tcPr>
            <w:tcW w:w="4464" w:type="dxa"/>
          </w:tcPr>
          <w:p>
            <w:pPr>
              <w:pStyle w:val="Single"/>
              <w:spacing w:before="648"/>
            </w:pPr>
            <w:r>
              <w:rPr>
                <w:b/>
              </w:rPr>
              <w:t xml:space="preserve">MERRY LAW OFFICES</w:t>
            </w:r>
          </w:p>
          <w:p>
            <w:pPr>
              <w:pStyle w:val="Single"/>
              <w:spacing w:before="120" w:after="648"/>
            </w:pPr>
            <w:r>
              <w:rPr/>
              <w:t xml:space="preserve">Respectfully submitted,</w:t>
            </w:r>
          </w:p>
          <w:p>
            <w:pPr>
              <w:pStyle w:val="Single"/>
            </w:pPr>
            <w:r>
              <w:rPr/>
              <w:t xml:space="preserve">/s/ __________________________</w:t>
            </w:r>
          </w:p>
          <w:p>
            <w:pPr>
              <w:pStyle w:val="Single"/>
              <w:spacing w:before="48"/>
            </w:pPr>
            <w:r>
              <w:rPr/>
              <w:t xml:space="preserve">Roger</w:t>
            </w:r>
            <w:r>
              <w:rPr/>
              <w:t xml:space="preserve"> </w:t>
            </w:r>
            <w:r>
              <w:rPr/>
              <w:t xml:space="preserve">Merry</w:t>
            </w:r>
          </w:p>
          <w:p>
            <w:pPr>
              <w:pStyle w:val="Single"/>
            </w:pPr>
            <w:r>
              <w:rPr/>
              <w:t xml:space="preserve">Attorney</w:t>
            </w:r>
            <w:r>
              <w:rPr/>
              <w:t xml:space="preserve"> </w:t>
            </w:r>
            <w:r>
              <w:rPr/>
              <w:t xml:space="preserve">for</w:t>
            </w:r>
            <w:r>
              <w:rPr/>
              <w:t xml:space="preserve"> </w:t>
            </w:r>
            <w:r>
              <w:rPr/>
              <w:t xml:space="preserve">Debtor/Plaintiff</w:t>
            </w:r>
          </w:p>
          <w:p>
            <w:pPr>
              <w:pStyle w:val="Single"/>
            </w:pPr>
            <w:r>
              <w:rPr/>
              <w:t xml:space="preserve">State</w:t>
            </w:r>
            <w:r>
              <w:rPr/>
              <w:t xml:space="preserve"> </w:t>
            </w:r>
            <w:r>
              <w:rPr/>
              <w:t xml:space="preserve">Bar</w:t>
            </w:r>
            <w:r>
              <w:rPr/>
              <w:t xml:space="preserve"> </w:t>
            </w:r>
            <w:r>
              <w:rPr/>
              <w:t xml:space="preserve">No. 1000954</w:t>
            </w:r>
          </w:p>
          <w:p>
            <w:pPr>
              <w:pStyle w:val="Single"/>
            </w:pPr>
            <w:r>
              <w:rPr/>
              <w:t xml:space="preserve">1518</w:t>
            </w:r>
            <w:r>
              <w:rPr/>
              <w:t xml:space="preserve"> </w:t>
            </w:r>
            <w:r>
              <w:rPr/>
              <w:t xml:space="preserve">11th</w:t>
            </w:r>
            <w:r>
              <w:rPr/>
              <w:t xml:space="preserve"> </w:t>
            </w:r>
            <w:r>
              <w:rPr/>
              <w:t xml:space="preserve">St.,</w:t>
            </w:r>
            <w:r>
              <w:rPr/>
              <w:t xml:space="preserve"> </w:t>
            </w:r>
            <w:r>
              <w:rPr/>
              <w:t xml:space="preserve">Suite</w:t>
            </w:r>
            <w:r>
              <w:rPr/>
              <w:t xml:space="preserve"> </w:t>
            </w:r>
            <w:r>
              <w:rPr/>
              <w:t xml:space="preserve">1-1</w:t>
            </w:r>
          </w:p>
          <w:p>
            <w:pPr>
              <w:pStyle w:val="Single"/>
            </w:pPr>
            <w:r>
              <w:rPr/>
              <w:t xml:space="preserve">Monroe,</w:t>
            </w:r>
            <w:r>
              <w:rPr/>
              <w:t xml:space="preserve"> </w:t>
            </w:r>
            <w:r>
              <w:rPr/>
              <w:t xml:space="preserve">WI</w:t>
            </w:r>
            <w:r>
              <w:rPr/>
              <w:t xml:space="preserve"> </w:t>
            </w:r>
            <w:r>
              <w:rPr/>
              <w:t xml:space="preserve">53566</w:t>
            </w:r>
          </w:p>
          <w:p>
            <w:pPr>
              <w:pStyle w:val="Single"/>
            </w:pPr>
            <w:r>
              <w:rPr/>
              <w:t xml:space="preserve">(608)</w:t>
            </w:r>
            <w:r>
              <w:rPr/>
              <w:t xml:space="preserve"> </w:t>
            </w:r>
            <w:r>
              <w:rPr/>
              <w:t xml:space="preserve">325-2065</w:t>
            </w:r>
          </w:p>
        </w:tc>
      </w:tr>
    </w:tbl>
    <w:p>
      <w:pPr>
        <w:pStyle w:val="Single"/>
      </w:pPr>
    </w:p>
    <w:bookmarkEnd w:id="22"/>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left="0"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qFormat/>
    <w:pPr>
      <w:widowControl/>
      <w:spacing w:after="0" w:before="0" w:line="480" w:lineRule="exact"/>
      <w:ind w:firstLine="720" w:left="0" w:right="0"/>
    </w:pPr>
  </w:style>
  <w:style w:customStyle="1" w:styleId="FirstParagraph" w:type="paragraph">
    <w:name w:val="First Paragraph"/>
    <w:basedOn w:val="BodyText"/>
    <w:next w:val="BodyText"/>
    <w:qFormat/>
    <w:pPr>
      <w:widowControl/>
      <w:spacing w:after="0" w:before="0" w:line="480" w:lineRule="exact"/>
      <w:ind w:firstLine="720" w:left="0" w:right="0"/>
    </w:pPr>
  </w:style>
  <w:style w:customStyle="1" w:styleId="Compact" w:type="paragraph">
    <w:name w:val="Compact"/>
    <w:basedOn w:val="BodyText"/>
    <w:qFormat/>
    <w:pPr>
      <w:spacing w:after="0" w:before="0" w:line="480" w:lineRule="exact"/>
      <w:ind w:firstLine="0"/>
    </w:pPr>
  </w:style>
  <w:style w:styleId="BlockText" w:type="paragraph">
    <w:name w:val="Block Text"/>
    <w:basedOn w:val="BodyText"/>
    <w:next w:val="BodyText"/>
    <w:qFormat/>
    <w:pPr>
      <w:spacing w:after="276" w:before="0" w:line="276" w:lineRule="exact"/>
      <w:ind w:firstLine="0" w:left="720" w:right="720"/>
    </w:pPr>
  </w:style>
  <w:style w:styleId="Heading1" w:type="paragraph">
    <w:name w:val="heading 1"/>
    <w:basedOn w:val="Normal"/>
    <w:next w:val="BodyText"/>
    <w:uiPriority w:val="9"/>
    <w:qFormat/>
    <w:pPr>
      <w:keepNext/>
      <w:keepLines/>
      <w:spacing w:after="144" w:before="288" w:line="240" w:lineRule="auto"/>
      <w:ind w:firstLine="0" w:left="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uiPriority w:val="9"/>
    <w:unhideWhenUsed/>
    <w:qFormat/>
    <w:pPr>
      <w:keepNext/>
      <w:keepLines/>
      <w:spacing w:after="120" w:before="240" w:line="240" w:lineRule="auto"/>
      <w:ind w:firstLine="0" w:left="0"/>
      <w:jc w:val="left"/>
      <w:outlineLvl w:val="1"/>
    </w:pPr>
    <w:rPr>
      <w:rFonts w:ascii="EB Garamond" w:cs="EB Garamond" w:eastAsia="EB Garamond" w:hAnsi="EB Garamond"/>
      <w:b/>
      <w:bCs/>
      <w:color w:val="000000"/>
      <w:sz w:val="24"/>
      <w:szCs w:val="24"/>
    </w:rPr>
  </w:style>
  <w:style w:styleId="FootnoteText" w:type="paragraph">
    <w:name w:val="footnote text"/>
    <w:basedOn w:val="Normal"/>
    <w:uiPriority w:val="99"/>
    <w:pPr>
      <w:spacing w:after="120" w:before="0" w:line="240" w:lineRule="auto"/>
      <w:ind w:firstLine="0" w:left="0"/>
    </w:pPr>
    <w:rPr>
      <w:sz w:val="20"/>
      <w:szCs w:val="20"/>
    </w:rPr>
  </w:style>
  <w:style w:customStyle="1" w:styleId="Centered" w:type="paragraph">
    <w:name w:val="Centered"/>
    <w:basedOn w:val="Normal"/>
    <w:qFormat/>
    <w:pPr>
      <w:keepLines/>
      <w:spacing w:after="0" w:before="0" w:line="276" w:lineRule="exact"/>
      <w:ind w:firstLine="0" w:left="0" w:right="0"/>
      <w:jc w:val="center"/>
    </w:pPr>
  </w:style>
  <w:style w:customStyle="1" w:styleId="Single" w:type="paragraph">
    <w:name w:val="Single"/>
    <w:basedOn w:val="Normal"/>
    <w:qFormat/>
    <w:pPr>
      <w:keepLines/>
      <w:spacing w:after="0" w:before="0" w:line="276" w:lineRule="exact"/>
      <w:ind w:firstLine="0" w:left="0" w:right="0"/>
      <w:jc w:val="left"/>
    </w:pPr>
  </w:style>
  <w:style w:customStyle="1" w:styleId="Numbered" w:type="paragraph">
    <w:name w:val="Numbered"/>
    <w:basedOn w:val="BodyText"/>
    <w:qFormat/>
    <w:pPr>
      <w:tabs>
        <w:tab w:pos="1440" w:val="left"/>
      </w:tabs>
      <w:spacing w:after="0" w:before="0" w:line="480" w:lineRule="exact"/>
      <w:ind w:firstLine="720" w:left="0"/>
    </w:pPr>
  </w:style>
  <w:style w:customStyle="1" w:styleId="ListItem" w:type="paragraph">
    <w:name w:val="List Item"/>
    <w:basedOn w:val="BodyText"/>
    <w:qFormat/>
    <w:pPr>
      <w:tabs>
        <w:tab w:pos="1296" w:val="left"/>
      </w:tabs>
      <w:spacing w:after="0" w:before="0" w:line="480" w:lineRule="exact"/>
      <w:ind w:firstLine="0" w:hanging="576" w:left="1296"/>
    </w:pPr>
  </w:style>
  <w:style w:type="paragraph" w:customStyle="1" w:styleId="FirstParagraph">
    <w:name w:val="FirstParagraph"/>
    <w:basedOn w:val="BodyText"/>
    <w:qFormat/>
  </w:style>
  <w:style w:type="paragraph" w:customStyle="1" w:styleId="ListItem">
    <w:name w:val="List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2026-10-15T12:38:51Z</dcterms:created>
  <dcterms:modified xsi:type="dcterms:W3CDTF">2026-10-15T12:38:51Z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ankruptcy_case">
    <vt:lpwstr>13-15445</vt:lpwstr>
  </property>
  <property fmtid="{D5CDD505-2E9C-101B-9397-08002B2CF9AE}" pid="4" name="caption">
    <vt:lpwstr/>
  </property>
  <property fmtid="{D5CDD505-2E9C-101B-9397-08002B2CF9AE}" pid="5" name="chapter">
    <vt:lpwstr>7</vt:lpwstr>
  </property>
  <property fmtid="{D5CDD505-2E9C-101B-9397-08002B2CF9AE}" pid="6" name="counsel_role">
    <vt:lpwstr>Attorney for Debtor/Plaintiff</vt:lpwstr>
  </property>
  <property fmtid="{D5CDD505-2E9C-101B-9397-08002B2CF9AE}" pid="7" name="debtor">
    <vt:lpwstr>THEODORE CHARLES WENZEL</vt:lpwstr>
  </property>
  <property fmtid="{D5CDD505-2E9C-101B-9397-08002B2CF9AE}" pid="8" name="signature">
    <vt:lpwstr/>
  </property>
</Properties>
</file>