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72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3888"/>
        <w:gridCol w:w="3312"/>
      </w:tblGrid>
      <w:tr>
        <w:trPr>
          <w:cantSplit/>
        </w:trPr>
        <w:tc>
          <w:tcPr>
            <w:tcW w:w="3888" w:type="dxa"/>
          </w:tcPr>
          <w:p>
            <w:pPr>
              <w:spacing w:before="0" w:after="0" w:line="322" w:lineRule="exact"/>
              <w:ind w:left="0" w:firstLine="0"/>
              <w:jc w:val="left"/>
            </w:pPr>
            <w:r>
              <w:t xml:space="preserve">FREDERICK</w:t>
            </w:r>
            <w:r>
              <w:t xml:space="preserve"> </w:t>
            </w:r>
            <w:r>
              <w:t xml:space="preserve">K.</w:t>
            </w:r>
            <w:r>
              <w:t xml:space="preserve"> </w:t>
            </w:r>
            <w:r>
              <w:t xml:space="preserve">POLINDER,</w:t>
            </w:r>
            <w:r>
              <w:t xml:space="preserve"> </w:t>
            </w:r>
            <w:r>
              <w:t xml:space="preserve">III,</w:t>
            </w:r>
            <w:r>
              <w:t xml:space="preserve"> </w:t>
            </w:r>
            <w:r>
              <w:t xml:space="preserve">as</w:t>
            </w:r>
            <w:r>
              <w:t xml:space="preserve"> </w:t>
            </w:r>
            <w:r>
              <w:t xml:space="preserve">the</w:t>
            </w:r>
            <w:r>
              <w:t xml:space="preserve"> </w:t>
            </w:r>
            <w:r>
              <w:t xml:space="preserve">Executor</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LEE</w:t>
            </w:r>
            <w:r>
              <w:t xml:space="preserve"> </w:t>
            </w:r>
            <w:r>
              <w:t xml:space="preserve">V.</w:t>
            </w:r>
            <w:r>
              <w:t xml:space="preserve"> </w:t>
            </w:r>
            <w:r>
              <w:t xml:space="preserve">HETTERLY,</w:t>
            </w:r>
          </w:p>
          <w:p>
            <w:pPr>
              <w:spacing w:before="0" w:after="0" w:line="322" w:lineRule="exact"/>
              <w:ind w:left="720" w:firstLine="0"/>
              <w:jc w:val="left"/>
            </w:pPr>
            <w:r>
              <w:rPr>
                <w:i/>
                <w:iCs/>
              </w:rPr>
              <w:t xml:space="preserve">Plaintiffs/​Respondents,</w:t>
            </w:r>
          </w:p>
          <w:p>
            <w:pPr>
              <w:spacing w:before="84" w:after="84" w:line="322" w:lineRule="exact"/>
              <w:ind w:left="0" w:firstLine="0"/>
              <w:jc w:val="center"/>
            </w:pPr>
            <w:r>
              <w:t xml:space="preserve">vs.</w:t>
            </w:r>
          </w:p>
          <w:p>
            <w:pPr>
              <w:spacing w:before="0" w:after="0" w:line="322" w:lineRule="exact"/>
              <w:ind w:left="0" w:firstLine="0"/>
              <w:jc w:val="left"/>
            </w:pPr>
            <w:r>
              <w:t xml:space="preserve">BRAND</w:t>
            </w:r>
            <w:r>
              <w:t xml:space="preserve"> </w:t>
            </w:r>
            <w:r>
              <w:t xml:space="preserve">INSULATION,</w:t>
            </w:r>
            <w:r>
              <w:t xml:space="preserve"> </w:t>
            </w:r>
            <w:r>
              <w:t xml:space="preserve">INC.,</w:t>
            </w:r>
          </w:p>
          <w:p>
            <w:pPr>
              <w:spacing w:before="0" w:after="0" w:line="322" w:lineRule="exact"/>
              <w:ind w:left="720" w:firstLine="0"/>
              <w:jc w:val="left"/>
            </w:pPr>
            <w:r>
              <w:rPr>
                <w:i/>
                <w:iCs/>
              </w:rPr>
              <w:t xml:space="preserve">Defendant/​Petitioner.</w:t>
            </w:r>
          </w:p>
        </w:tc>
        <w:tc>
          <w:tcPr>
            <w:tcW w:w="3312" w:type="dxa"/>
            <w:tcMar>
              <w:left w:w="576" w:type="dxa"/>
            </w:tcMar>
            <w:vAlign w:val="center"/>
          </w:tcPr>
          <w:p>
            <w:pPr>
              <w:spacing w:before="0" w:after="0" w:line="322" w:lineRule="exact"/>
              <w:ind w:left="0" w:firstLine="0"/>
              <w:jc w:val="left"/>
            </w:pPr>
            <w:r>
              <w:t xml:space="preserve">No.</w:t>
            </w:r>
            <w:r>
              <w:t xml:space="preserve"> </w:t>
            </w:r>
            <w:r>
              <w:t xml:space="preserve">102782</w:t>
              <w:noBreakHyphen/>
              <w:t xml:space="preserve">6</w:t>
            </w:r>
          </w:p>
          <w:p>
            <w:pPr>
              <w:spacing w:before="322" w:after="0" w:line="322" w:lineRule="exact"/>
              <w:ind w:left="0" w:firstLine="0"/>
              <w:jc w:val="left"/>
            </w:pPr>
            <w:r>
              <w:t xml:space="preserve">BRAND</w:t>
            </w:r>
            <w:r>
              <w:t xml:space="preserve"> </w:t>
            </w:r>
            <w:r>
              <w:t xml:space="preserve">INSULATION,</w:t>
            </w:r>
            <w:r>
              <w:t xml:space="preserve"> </w:t>
            </w:r>
            <w:r>
              <w:t xml:space="preserve">INC.’S</w:t>
            </w:r>
            <w:r>
              <w:t xml:space="preserve"> </w:t>
            </w:r>
            <w:r>
              <w:t xml:space="preserve">MOTION</w:t>
            </w:r>
            <w:r>
              <w:t xml:space="preserve"> </w:t>
            </w:r>
            <w:r>
              <w:t xml:space="preserve">FOR</w:t>
            </w:r>
            <w:r>
              <w:t xml:space="preserve"> </w:t>
            </w:r>
            <w:r>
              <w:t xml:space="preserve">DISCRETIONARY</w:t>
            </w:r>
            <w:r>
              <w:t xml:space="preserve"> </w:t>
            </w:r>
            <w:r>
              <w:t xml:space="preserve">REVIEW</w:t>
            </w:r>
          </w:p>
        </w:tc>
      </w:tr>
    </w:tbl>
    <w:p>
      <w:pPr>
        <w:spacing w:before="0" w:after="0" w:line="5325" w:lineRule="exact"/>
      </w:pPr>
    </w:p>
    <w:p>
      <w:pPr>
        <w:spacing w:before="0" w:after="0" w:line="322" w:lineRule="exact"/>
        <w:ind w:left="0" w:firstLine="0"/>
        <w:jc w:val="left"/>
      </w:pPr>
      <w:r>
        <w:rPr>
          <w:b/>
          <w:bCs/>
        </w:rPr>
        <w:t xml:space="preserve">DAVID</w:t>
      </w:r>
      <w:r>
        <w:rPr>
          <w:b/>
          <w:bCs/>
        </w:rPr>
        <w:t xml:space="preserve"> </w:t>
      </w:r>
      <w:r>
        <w:rPr>
          <w:b/>
          <w:bCs/>
        </w:rPr>
        <w:t xml:space="preserve">A.</w:t>
      </w:r>
      <w:r>
        <w:rPr>
          <w:b/>
          <w:bCs/>
        </w:rPr>
        <w:t xml:space="preserve"> </w:t>
      </w:r>
      <w:r>
        <w:rPr>
          <w:b/>
          <w:bCs/>
        </w:rPr>
        <w:t xml:space="preserve">SHAW,</w:t>
      </w:r>
      <w:r>
        <w:rPr>
          <w:b/>
          <w:bCs/>
        </w:rPr>
        <w:t xml:space="preserve"> </w:t>
      </w:r>
      <w:r>
        <w:rPr>
          <w:b/>
          <w:bCs/>
        </w:rPr>
        <w:t xml:space="preserve">WSBA</w:t>
      </w:r>
      <w:r>
        <w:rPr>
          <w:b/>
          <w:bCs/>
        </w:rPr>
        <w:t xml:space="preserve"> </w:t>
      </w:r>
      <w:r>
        <w:rPr>
          <w:b/>
          <w:bCs/>
        </w:rPr>
        <w:t xml:space="preserve">No.</w:t>
      </w:r>
      <w:r>
        <w:rPr>
          <w:b/>
          <w:bCs/>
        </w:rPr>
        <w:t xml:space="preserve"> </w:t>
      </w:r>
      <w:r>
        <w:rPr>
          <w:b/>
          <w:bCs/>
        </w:rPr>
        <w:t xml:space="preserve">08788</w:t>
      </w:r>
    </w:p>
    <w:p>
      <w:pPr>
        <w:spacing w:before="0" w:after="0" w:line="322" w:lineRule="exact"/>
        <w:ind w:left="0" w:firstLine="0"/>
        <w:jc w:val="left"/>
      </w:pPr>
      <w:r>
        <w:rPr>
          <w:b/>
          <w:bCs/>
        </w:rPr>
        <w:t xml:space="preserve">TYLER</w:t>
      </w:r>
      <w:r>
        <w:rPr>
          <w:b/>
          <w:bCs/>
        </w:rPr>
        <w:t xml:space="preserve"> </w:t>
      </w:r>
      <w:r>
        <w:rPr>
          <w:b/>
          <w:bCs/>
        </w:rPr>
        <w:t xml:space="preserve">J.</w:t>
      </w:r>
      <w:r>
        <w:rPr>
          <w:b/>
          <w:bCs/>
        </w:rPr>
        <w:t xml:space="preserve"> </w:t>
      </w:r>
      <w:r>
        <w:rPr>
          <w:b/>
          <w:bCs/>
        </w:rPr>
        <w:t xml:space="preserve">HERMSEN,</w:t>
      </w:r>
      <w:r>
        <w:rPr>
          <w:b/>
          <w:bCs/>
        </w:rPr>
        <w:t xml:space="preserve"> </w:t>
      </w:r>
      <w:r>
        <w:rPr>
          <w:b/>
          <w:bCs/>
        </w:rPr>
        <w:t xml:space="preserve">WSBA</w:t>
      </w:r>
      <w:r>
        <w:rPr>
          <w:b/>
          <w:bCs/>
        </w:rPr>
        <w:t xml:space="preserve"> </w:t>
      </w:r>
      <w:r>
        <w:rPr>
          <w:b/>
          <w:bCs/>
        </w:rPr>
        <w:t xml:space="preserve">No.</w:t>
      </w:r>
      <w:r>
        <w:rPr>
          <w:b/>
          <w:bCs/>
        </w:rPr>
        <w:t xml:space="preserve"> </w:t>
      </w:r>
      <w:r>
        <w:rPr>
          <w:b/>
          <w:bCs/>
        </w:rPr>
        <w:t xml:space="preserve">43665</w:t>
      </w:r>
    </w:p>
    <w:p>
      <w:pPr>
        <w:spacing w:before="0" w:after="0" w:line="322" w:lineRule="exact"/>
        <w:ind w:left="0" w:firstLine="0"/>
        <w:jc w:val="left"/>
      </w:pPr>
      <w:r>
        <w:t xml:space="preserve">WILLIAMS,</w:t>
      </w:r>
      <w:r>
        <w:t xml:space="preserve"> </w:t>
      </w:r>
      <w:r>
        <w:t xml:space="preserve">KASTNER</w:t>
      </w:r>
      <w:r>
        <w:t xml:space="preserve"> </w:t>
      </w:r>
      <w:r>
        <w:t xml:space="preserve">&amp;</w:t>
      </w:r>
      <w:r>
        <w:t xml:space="preserve"> </w:t>
      </w:r>
      <w:r>
        <w:t xml:space="preserve">GIBBS</w:t>
      </w:r>
      <w:r>
        <w:t xml:space="preserve"> </w:t>
      </w:r>
      <w:r>
        <w:t xml:space="preserve">PLLC</w:t>
      </w:r>
    </w:p>
    <w:p>
      <w:pPr>
        <w:spacing w:before="0" w:after="0" w:line="322" w:lineRule="exact"/>
        <w:ind w:left="0" w:firstLine="0"/>
        <w:jc w:val="left"/>
      </w:pPr>
      <w:r>
        <w:t xml:space="preserve">601</w:t>
      </w:r>
      <w:r>
        <w:t xml:space="preserve"> </w:t>
      </w:r>
      <w:r>
        <w:t xml:space="preserve">Union</w:t>
      </w:r>
      <w:r>
        <w:t xml:space="preserve"> </w:t>
      </w:r>
      <w:r>
        <w:t xml:space="preserve">Street,</w:t>
      </w:r>
      <w:r>
        <w:t xml:space="preserve"> </w:t>
      </w:r>
      <w:r>
        <w:t xml:space="preserve">Suite</w:t>
      </w:r>
      <w:r>
        <w:t xml:space="preserve"> </w:t>
      </w:r>
      <w:r>
        <w:t xml:space="preserve">4100</w:t>
      </w:r>
    </w:p>
    <w:p>
      <w:pPr>
        <w:spacing w:before="0" w:after="0" w:line="322" w:lineRule="exact"/>
        <w:ind w:left="0" w:firstLine="0"/>
        <w:jc w:val="left"/>
      </w:pPr>
      <w:r>
        <w:t xml:space="preserve">Seattle,</w:t>
      </w:r>
      <w:r>
        <w:t xml:space="preserve"> </w:t>
      </w:r>
      <w:r>
        <w:t xml:space="preserve">WA</w:t>
      </w:r>
      <w:r>
        <w:t xml:space="preserve"> </w:t>
      </w:r>
      <w:r>
        <w:t xml:space="preserve">98101</w:t>
        <w:noBreakHyphen/>
        <w:t xml:space="preserve">2380</w:t>
      </w:r>
    </w:p>
    <w:p>
      <w:pPr>
        <w:spacing w:before="0" w:after="0" w:line="322" w:lineRule="exact"/>
        <w:ind w:left="0" w:firstLine="0"/>
        <w:jc w:val="left"/>
      </w:pPr>
      <w:r>
        <w:t xml:space="preserve">Telephone:</w:t>
      </w:r>
      <w:r>
        <w:t xml:space="preserve"> </w:t>
      </w:r>
      <w:r>
        <w:t xml:space="preserve">(206)</w:t>
      </w:r>
      <w:r>
        <w:t xml:space="preserve"> </w:t>
      </w:r>
      <w:r>
        <w:t xml:space="preserve">628</w:t>
        <w:noBreakHyphen/>
        <w:t xml:space="preserve">6600</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Defendant/​Petitioner</w:t>
      </w:r>
      <w:r>
        <w:rPr>
          <w:i/>
          <w:iCs/>
        </w:rPr>
        <w:t xml:space="preserve"> </w:t>
      </w:r>
      <w:r>
        <w:rPr>
          <w:i/>
          <w:iCs/>
        </w:rPr>
        <w:t xml:space="preserve">Brand</w:t>
      </w:r>
      <w:r>
        <w:rPr>
          <w:i/>
          <w:iCs/>
        </w:rPr>
        <w:t xml:space="preserve"> </w:t>
      </w:r>
      <w:r>
        <w:rPr>
          <w:i/>
          <w:iCs/>
        </w:rPr>
        <w:t xml:space="preserve">Insulation,</w:t>
      </w:r>
      <w:r>
        <w:rPr>
          <w:i/>
          <w:iCs/>
        </w:rPr>
        <w:t xml:space="preserve"> </w:t>
      </w:r>
      <w:r>
        <w:rPr>
          <w:i/>
          <w:iCs/>
        </w:rPr>
        <w:t xml:space="preserve">Inc.</w:t>
      </w:r>
    </w:p>
    <w:p>
      <w:pPr>
        <w:spacing w:before="0" w:after="0" w:line="1" w:lineRule="exact"/>
        <w:sectPr>
          <w:footerReference w:type="default" r:id="rIdXdNone"/>
          <w:pgSz w:w="12240" w:h="15840"/>
          <w:pgMar w:top="2160" w:right="2160" w:bottom="2304" w:left="2880" w:header="720" w:footer="1291"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200"/>
        </w:tabs>
        <w:spacing w:before="252" w:after="0" w:line="322" w:lineRule="exact"/>
        <w:ind w:left="420" w:right="720" w:hanging="420"/>
      </w:pPr>
      <w:r>
        <w:t xml:space="preserve">I.</w:t>
      </w:r>
      <w:r>
        <w:t xml:space="preserve"> </w:t>
      </w:r>
      <w:r>
        <w:t xml:space="preserve">IDENTITY</w:t>
      </w:r>
      <w:r>
        <w:t xml:space="preserve"> </w:t>
      </w:r>
      <w:r>
        <w:t xml:space="preserve">OF</w:t>
      </w:r>
      <w:r>
        <w:t xml:space="preserve"> </w:t>
      </w:r>
      <w:r>
        <w:t xml:space="preserve">PETITIONER</w:t>
      </w:r>
      <w:r>
        <w:t xml:space="preserve">   </w:t>
      </w:r>
      <w:r>
        <w:tab/>
      </w:r>
      <w:r>
        <w:t xml:space="preserve">1</w:t>
      </w:r>
    </w:p>
    <w:p>
      <w:pPr>
        <w:keepLines/>
        <w:tabs>
          <w:tab w:val="right" w:leader="dot" w:pos="7200"/>
        </w:tabs>
        <w:spacing w:before="252" w:after="0" w:line="322" w:lineRule="exact"/>
        <w:ind w:left="420" w:right="720" w:hanging="420"/>
      </w:pPr>
      <w:r>
        <w:t xml:space="preserve">II.</w:t>
      </w:r>
      <w:r>
        <w:t xml:space="preserve"> </w:t>
      </w:r>
      <w:r>
        <w:t xml:space="preserve">DECISION</w:t>
      </w:r>
      <w:r>
        <w:t xml:space="preserve"> </w:t>
      </w:r>
      <w:r>
        <w:t xml:space="preserve">SOUGHT</w:t>
      </w:r>
      <w:r>
        <w:t xml:space="preserve"> </w:t>
      </w:r>
      <w:r>
        <w:t xml:space="preserve">TO</w:t>
      </w:r>
      <w:r>
        <w:t xml:space="preserve"> </w:t>
      </w:r>
      <w:r>
        <w:t xml:space="preserve">BE</w:t>
      </w:r>
      <w:r>
        <w:t xml:space="preserve"> </w:t>
      </w:r>
      <w:r>
        <w:t xml:space="preserve">REVIEWED</w:t>
      </w:r>
      <w:r>
        <w:t xml:space="preserve">   </w:t>
      </w:r>
      <w:r>
        <w:tab/>
      </w:r>
      <w:r>
        <w:t xml:space="preserve">1</w:t>
      </w:r>
    </w:p>
    <w:p>
      <w:pPr>
        <w:keepLines/>
        <w:tabs>
          <w:tab w:val="right" w:leader="dot" w:pos="7200"/>
        </w:tabs>
        <w:spacing w:before="252" w:after="0" w:line="322" w:lineRule="exact"/>
        <w:ind w:left="420" w:right="720" w:hanging="420"/>
      </w:pPr>
      <w:r>
        <w:t xml:space="preserve">III.</w:t>
      </w:r>
      <w:r>
        <w:t xml:space="preserve"> </w:t>
      </w:r>
      <w:r>
        <w:t xml:space="preserve">ISSUE</w:t>
      </w:r>
      <w:r>
        <w:t xml:space="preserve"> </w:t>
      </w:r>
      <w:r>
        <w:t xml:space="preserve">PRESENTED</w:t>
      </w:r>
      <w:r>
        <w:t xml:space="preserve"> </w:t>
      </w:r>
      <w:r>
        <w:t xml:space="preserve">FOR</w:t>
      </w:r>
      <w:r>
        <w:t xml:space="preserve"> </w:t>
      </w:r>
      <w:r>
        <w:t xml:space="preserve">REVIEW</w:t>
      </w:r>
      <w:r>
        <w:t xml:space="preserve">   </w:t>
      </w:r>
      <w:r>
        <w:tab/>
      </w:r>
      <w:r>
        <w:t xml:space="preserve">1</w:t>
      </w:r>
    </w:p>
    <w:p>
      <w:pPr>
        <w:keepLines/>
        <w:tabs>
          <w:tab w:val="right" w:leader="dot" w:pos="7200"/>
        </w:tabs>
        <w:spacing w:before="252" w:after="0" w:line="322" w:lineRule="exact"/>
        <w:ind w:left="420" w:right="720" w:hanging="420"/>
      </w:pPr>
      <w:r>
        <w:t xml:space="preserve">IV.</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7200"/>
        </w:tabs>
        <w:spacing w:before="252" w:after="0" w:line="322" w:lineRule="exact"/>
        <w:ind w:left="840" w:right="720" w:hanging="420"/>
      </w:pPr>
      <w:r>
        <w:t xml:space="preserve">A.</w:t>
      </w:r>
      <w:r>
        <w:t xml:space="preserve"> </w:t>
      </w:r>
      <w:r>
        <w:t xml:space="preserve">Plaintiff’s</w:t>
      </w:r>
      <w:r>
        <w:t xml:space="preserve"> </w:t>
      </w:r>
      <w:r>
        <w:t xml:space="preserve">allegations</w:t>
      </w:r>
      <w:r>
        <w:t xml:space="preserve"> </w:t>
      </w:r>
      <w:r>
        <w:t xml:space="preserve">pertaining</w:t>
      </w:r>
      <w:r>
        <w:t xml:space="preserve"> </w:t>
      </w:r>
      <w:r>
        <w:t xml:space="preserve">to</w:t>
      </w:r>
      <w:r>
        <w:t xml:space="preserve"> </w:t>
      </w:r>
      <w:r>
        <w:t xml:space="preserve">Brand.</w:t>
      </w:r>
      <w:r>
        <w:t xml:space="preserve">   </w:t>
      </w:r>
      <w:r>
        <w:tab/>
      </w:r>
      <w:r>
        <w:t xml:space="preserve">2</w:t>
      </w:r>
    </w:p>
    <w:p>
      <w:pPr>
        <w:keepLines/>
        <w:tabs>
          <w:tab w:val="right" w:leader="dot" w:pos="7200"/>
        </w:tabs>
        <w:spacing w:before="252" w:after="0" w:line="322" w:lineRule="exact"/>
        <w:ind w:left="840" w:right="720" w:hanging="420"/>
      </w:pPr>
      <w:r>
        <w:t xml:space="preserve">B.</w:t>
      </w:r>
      <w:r>
        <w:t xml:space="preserve"> </w:t>
      </w:r>
      <w:r>
        <w:t xml:space="preserve">Respondent’s</w:t>
      </w:r>
      <w:r>
        <w:t xml:space="preserve"> </w:t>
      </w:r>
      <w:r>
        <w:t xml:space="preserve">claims</w:t>
      </w:r>
      <w:r>
        <w:t xml:space="preserve"> </w:t>
      </w:r>
      <w:r>
        <w:t xml:space="preserve">against</w:t>
      </w:r>
      <w:r>
        <w:t xml:space="preserve"> </w:t>
      </w:r>
      <w:r>
        <w:t xml:space="preserve">Brand</w:t>
      </w:r>
      <w:r>
        <w:t xml:space="preserve"> </w:t>
      </w:r>
      <w:r>
        <w:t xml:space="preserve">were</w:t>
      </w:r>
      <w:r>
        <w:t xml:space="preserve"> </w:t>
      </w:r>
      <w:r>
        <w:t xml:space="preserve">correctly</w:t>
      </w:r>
      <w:r>
        <w:t xml:space="preserve"> </w:t>
      </w:r>
      <w:r>
        <w:t xml:space="preserve">dismissed</w:t>
      </w:r>
      <w:r>
        <w:t xml:space="preserve"> </w:t>
      </w:r>
      <w:r>
        <w:t xml:space="preserve">in</w:t>
      </w:r>
      <w:r>
        <w:t xml:space="preserve"> </w:t>
      </w:r>
      <w:r>
        <w:t xml:space="preserve">April</w:t>
      </w:r>
      <w:r>
        <w:t xml:space="preserve"> </w:t>
      </w:r>
      <w:r>
        <w:t xml:space="preserve">2023.</w:t>
      </w:r>
      <w:r>
        <w:t xml:space="preserve">   </w:t>
      </w:r>
      <w:r>
        <w:tab/>
      </w:r>
      <w:r>
        <w:t xml:space="preserve">3</w:t>
      </w:r>
    </w:p>
    <w:p>
      <w:pPr>
        <w:keepLines/>
        <w:tabs>
          <w:tab w:val="right" w:leader="dot" w:pos="7200"/>
        </w:tabs>
        <w:spacing w:before="252" w:after="0" w:line="322" w:lineRule="exact"/>
        <w:ind w:left="840" w:right="720" w:hanging="420"/>
      </w:pPr>
      <w:r>
        <w:t xml:space="preserve">C.</w:t>
      </w:r>
      <w:r>
        <w:t xml:space="preserve"> </w:t>
      </w:r>
      <w:r>
        <w:t xml:space="preserve">The</w:t>
      </w:r>
      <w:r>
        <w:t xml:space="preserve"> </w:t>
      </w:r>
      <w:r>
        <w:t xml:space="preserve">trial</w:t>
      </w:r>
      <w:r>
        <w:t xml:space="preserve"> </w:t>
      </w:r>
      <w:r>
        <w:t xml:space="preserve">court</w:t>
      </w:r>
      <w:r>
        <w:t xml:space="preserve"> </w:t>
      </w:r>
      <w:r>
        <w:t xml:space="preserve">committed</w:t>
      </w:r>
      <w:r>
        <w:t xml:space="preserve"> </w:t>
      </w:r>
      <w:r>
        <w:t xml:space="preserve">obvious</w:t>
      </w:r>
      <w:r>
        <w:t xml:space="preserve"> </w:t>
      </w:r>
      <w:r>
        <w:t xml:space="preserve">error</w:t>
      </w:r>
      <w:r>
        <w:t xml:space="preserve"> </w:t>
      </w:r>
      <w:r>
        <w:t xml:space="preserve">overturing</w:t>
      </w:r>
      <w:r>
        <w:t xml:space="preserve"> </w:t>
      </w:r>
      <w:r>
        <w:t xml:space="preserve">the</w:t>
      </w:r>
      <w:r>
        <w:t xml:space="preserve"> </w:t>
      </w:r>
      <w:r>
        <w:t xml:space="preserve">April</w:t>
      </w:r>
      <w:r>
        <w:t xml:space="preserve"> </w:t>
      </w:r>
      <w:r>
        <w:t xml:space="preserve">2023</w:t>
      </w:r>
      <w:r>
        <w:t xml:space="preserve"> </w:t>
      </w:r>
      <w:r>
        <w:t xml:space="preserve">Order.</w:t>
      </w:r>
      <w:r>
        <w:t xml:space="preserve">   </w:t>
      </w:r>
      <w:r>
        <w:tab/>
      </w:r>
      <w:r>
        <w:t xml:space="preserve">8</w:t>
      </w:r>
    </w:p>
    <w:p>
      <w:pPr>
        <w:keepLines/>
        <w:tabs>
          <w:tab w:val="right" w:leader="dot" w:pos="7200"/>
        </w:tabs>
        <w:spacing w:before="252" w:after="0" w:line="322" w:lineRule="exact"/>
        <w:ind w:left="420" w:right="720" w:hanging="420"/>
      </w:pPr>
      <w:r>
        <w:t xml:space="preserve">V.</w:t>
      </w:r>
      <w:r>
        <w:t xml:space="preserve"> </w:t>
      </w:r>
      <w:r>
        <w:t xml:space="preserve">ARGUMENT</w:t>
      </w:r>
      <w:r>
        <w:t xml:space="preserve"> </w:t>
      </w:r>
      <w:r>
        <w:t xml:space="preserve">WHY</w:t>
      </w:r>
      <w:r>
        <w:t xml:space="preserve"> </w:t>
      </w:r>
      <w:r>
        <w:t xml:space="preserve">REVIEW</w:t>
      </w:r>
      <w:r>
        <w:t xml:space="preserve"> </w:t>
      </w:r>
      <w:r>
        <w:t xml:space="preserve">SHOULD</w:t>
      </w:r>
      <w:r>
        <w:t xml:space="preserve"> </w:t>
      </w:r>
      <w:r>
        <w:t xml:space="preserve">BE</w:t>
      </w:r>
      <w:r>
        <w:t xml:space="preserve"> </w:t>
      </w:r>
      <w:r>
        <w:t xml:space="preserve">ACCEPTED</w:t>
      </w:r>
      <w:r>
        <w:t xml:space="preserve">   </w:t>
      </w:r>
      <w:r>
        <w:tab/>
      </w:r>
      <w:r>
        <w:t xml:space="preserve">15</w:t>
      </w:r>
    </w:p>
    <w:p>
      <w:pPr>
        <w:keepLines/>
        <w:tabs>
          <w:tab w:val="right" w:leader="dot" w:pos="7200"/>
        </w:tabs>
        <w:spacing w:before="252" w:after="0" w:line="322" w:lineRule="exact"/>
        <w:ind w:left="840" w:right="720" w:hanging="420"/>
      </w:pPr>
      <w:r>
        <w:t xml:space="preserve">A.</w:t>
      </w:r>
      <w:r>
        <w:t xml:space="preserve"> </w:t>
      </w:r>
      <w:r>
        <w:rPr>
          <w:i/>
          <w:iCs/>
        </w:rPr>
        <w:t xml:space="preserve">Maxwell</w:t>
      </w:r>
      <w:r>
        <w:t xml:space="preserve"> </w:t>
      </w:r>
      <w:r>
        <w:t xml:space="preserve">correctly</w:t>
      </w:r>
      <w:r>
        <w:t xml:space="preserve"> </w:t>
      </w:r>
      <w:r>
        <w:t xml:space="preserve">applied</w:t>
      </w:r>
      <w:r>
        <w:t xml:space="preserve"> </w:t>
      </w:r>
      <w:r>
        <w:rPr>
          <w:i/>
          <w:iCs/>
        </w:rPr>
        <w:t xml:space="preserve">Condit</w:t>
      </w:r>
      <w:r>
        <w:t xml:space="preserve"> </w:t>
      </w:r>
      <w:r>
        <w:t xml:space="preserve">and</w:t>
      </w:r>
      <w:r>
        <w:t xml:space="preserve"> </w:t>
      </w:r>
      <w:r>
        <w:t xml:space="preserve">it</w:t>
      </w:r>
      <w:r>
        <w:t xml:space="preserve"> </w:t>
      </w:r>
      <w:r>
        <w:t xml:space="preserve">was</w:t>
      </w:r>
      <w:r>
        <w:t xml:space="preserve"> </w:t>
      </w:r>
      <w:r>
        <w:t xml:space="preserve">obvious</w:t>
      </w:r>
      <w:r>
        <w:t xml:space="preserve"> </w:t>
      </w:r>
      <w:r>
        <w:t xml:space="preserve">error</w:t>
      </w:r>
      <w:r>
        <w:t xml:space="preserve"> </w:t>
      </w:r>
      <w:r>
        <w:t xml:space="preserve">not</w:t>
      </w:r>
      <w:r>
        <w:t xml:space="preserve"> </w:t>
      </w:r>
      <w:r>
        <w:t xml:space="preserve">to</w:t>
      </w:r>
      <w:r>
        <w:t xml:space="preserve"> </w:t>
      </w:r>
      <w:r>
        <w:t xml:space="preserve">follow</w:t>
      </w:r>
      <w:r>
        <w:t xml:space="preserve"> </w:t>
      </w:r>
      <w:r>
        <w:t xml:space="preserve">it.</w:t>
      </w:r>
      <w:r>
        <w:t xml:space="preserve">   </w:t>
      </w:r>
      <w:r>
        <w:tab/>
      </w:r>
      <w:r>
        <w:t xml:space="preserve">15</w:t>
      </w:r>
    </w:p>
    <w:p>
      <w:pPr>
        <w:keepLines/>
        <w:tabs>
          <w:tab w:val="right" w:leader="dot" w:pos="7200"/>
        </w:tabs>
        <w:spacing w:before="252" w:after="0" w:line="322" w:lineRule="exact"/>
        <w:ind w:left="1260" w:right="720" w:hanging="420"/>
      </w:pPr>
      <w:r>
        <w:t xml:space="preserve">1.</w:t>
      </w:r>
      <w:r>
        <w:t xml:space="preserve"> </w:t>
      </w:r>
      <w:r>
        <w:t xml:space="preserve">Purpose</w:t>
      </w:r>
      <w:r>
        <w:t xml:space="preserve"> </w:t>
      </w:r>
      <w:r>
        <w:t xml:space="preserve">of</w:t>
      </w:r>
      <w:r>
        <w:t xml:space="preserve"> </w:t>
      </w:r>
      <w:r>
        <w:t xml:space="preserve">Washington’s</w:t>
      </w:r>
      <w:r>
        <w:t xml:space="preserve"> </w:t>
      </w:r>
      <w:r>
        <w:t xml:space="preserve">Construction</w:t>
      </w:r>
      <w:r>
        <w:t xml:space="preserve"> </w:t>
      </w:r>
      <w:r>
        <w:t xml:space="preserve">Statute</w:t>
      </w:r>
      <w:r>
        <w:t xml:space="preserve"> </w:t>
      </w:r>
      <w:r>
        <w:t xml:space="preserve">of</w:t>
      </w:r>
      <w:r>
        <w:t xml:space="preserve"> </w:t>
      </w:r>
      <w:r>
        <w:t xml:space="preserve">Repose.</w:t>
      </w:r>
      <w:r>
        <w:t xml:space="preserve">   </w:t>
      </w:r>
      <w:r>
        <w:tab/>
      </w:r>
      <w:r>
        <w:t xml:space="preserve">15</w:t>
      </w:r>
    </w:p>
    <w:p>
      <w:pPr>
        <w:keepLines/>
        <w:tabs>
          <w:tab w:val="right" w:leader="dot" w:pos="7200"/>
        </w:tabs>
        <w:spacing w:before="252" w:after="0" w:line="322" w:lineRule="exact"/>
        <w:ind w:left="1260" w:right="720" w:hanging="420"/>
      </w:pPr>
      <w:r>
        <w:t xml:space="preserve">2.</w:t>
      </w:r>
      <w:r>
        <w:t xml:space="preserve"> </w:t>
      </w:r>
      <w:r>
        <w:t xml:space="preserve">Brand’s</w:t>
      </w:r>
      <w:r>
        <w:t xml:space="preserve"> </w:t>
      </w:r>
      <w:r>
        <w:t xml:space="preserve">work</w:t>
      </w:r>
      <w:r>
        <w:t xml:space="preserve"> </w:t>
      </w:r>
      <w:r>
        <w:t xml:space="preserve">contributed</w:t>
      </w:r>
      <w:r>
        <w:t xml:space="preserve"> </w:t>
      </w:r>
      <w:r>
        <w:t xml:space="preserve">to</w:t>
      </w:r>
      <w:r>
        <w:t xml:space="preserve"> </w:t>
      </w:r>
      <w:r>
        <w:t xml:space="preserve">the</w:t>
      </w:r>
      <w:r>
        <w:t xml:space="preserve"> </w:t>
      </w:r>
      <w:r>
        <w:t xml:space="preserve">construction</w:t>
      </w:r>
      <w:r>
        <w:t xml:space="preserve"> </w:t>
      </w:r>
      <w:r>
        <w:t xml:space="preserve">of</w:t>
      </w:r>
      <w:r>
        <w:t xml:space="preserve"> </w:t>
      </w:r>
      <w:r>
        <w:t xml:space="preserve">the</w:t>
      </w:r>
      <w:r>
        <w:t xml:space="preserve"> </w:t>
      </w:r>
      <w:r>
        <w:t xml:space="preserve">ARCO</w:t>
      </w:r>
      <w:r>
        <w:t xml:space="preserve"> </w:t>
      </w:r>
      <w:r>
        <w:t xml:space="preserve">Cherry</w:t>
      </w:r>
      <w:r>
        <w:t xml:space="preserve"> </w:t>
      </w:r>
      <w:r>
        <w:t xml:space="preserve">Point</w:t>
      </w:r>
      <w:r>
        <w:t xml:space="preserve"> </w:t>
      </w:r>
      <w:r>
        <w:t xml:space="preserve">Refinery—an</w:t>
      </w:r>
      <w:r>
        <w:t xml:space="preserve"> </w:t>
      </w:r>
      <w:r>
        <w:t xml:space="preserve">improvement</w:t>
      </w:r>
      <w:r>
        <w:t xml:space="preserve"> </w:t>
      </w:r>
      <w:r>
        <w:t xml:space="preserve">upon</w:t>
      </w:r>
      <w:r>
        <w:t xml:space="preserve"> </w:t>
      </w:r>
      <w:r>
        <w:t xml:space="preserve">real</w:t>
      </w:r>
      <w:r>
        <w:t xml:space="preserve"> </w:t>
      </w:r>
      <w:r>
        <w:t xml:space="preserve">property</w:t>
      </w:r>
      <w:r>
        <w:t xml:space="preserve"> </w:t>
      </w:r>
      <w:r>
        <w:t xml:space="preserve">according</w:t>
      </w:r>
      <w:r>
        <w:t xml:space="preserve"> </w:t>
      </w:r>
      <w:r>
        <w:t xml:space="preserve">to</w:t>
      </w:r>
      <w:r>
        <w:t xml:space="preserve"> </w:t>
      </w:r>
      <w:r>
        <w:rPr>
          <w:i/>
          <w:iCs/>
        </w:rPr>
        <w:t xml:space="preserve">Condit</w:t>
      </w:r>
      <w:r>
        <w:t xml:space="preserve">.</w:t>
      </w:r>
      <w:r>
        <w:t xml:space="preserve">   </w:t>
      </w:r>
      <w:r>
        <w:tab/>
      </w:r>
      <w:r>
        <w:t xml:space="preserve">18</w:t>
      </w:r>
    </w:p>
    <w:p>
      <w:pPr>
        <w:keepLines/>
        <w:tabs>
          <w:tab w:val="right" w:leader="dot" w:pos="7200"/>
        </w:tabs>
        <w:spacing w:before="252" w:after="0" w:line="322" w:lineRule="exact"/>
        <w:ind w:left="1260" w:right="720" w:hanging="420"/>
      </w:pPr>
      <w:r>
        <w:t xml:space="preserve">3.</w:t>
      </w:r>
      <w:r>
        <w:t xml:space="preserve"> </w:t>
      </w:r>
      <w:r>
        <w:rPr>
          <w:i/>
          <w:iCs/>
        </w:rPr>
        <w:t xml:space="preserve">Maxwell</w:t>
      </w:r>
      <w:r>
        <w:t xml:space="preserve"> </w:t>
      </w:r>
      <w:r>
        <w:t xml:space="preserve">interpreted</w:t>
      </w:r>
      <w:r>
        <w:t xml:space="preserve"> </w:t>
      </w:r>
      <w:r>
        <w:t xml:space="preserve">and</w:t>
      </w:r>
      <w:r>
        <w:t xml:space="preserve"> </w:t>
      </w:r>
      <w:r>
        <w:t xml:space="preserve">applied</w:t>
      </w:r>
      <w:r>
        <w:t xml:space="preserve"> </w:t>
      </w:r>
      <w:r>
        <w:rPr>
          <w:i/>
          <w:iCs/>
        </w:rPr>
        <w:t xml:space="preserve">Condit</w:t>
      </w:r>
      <w:r>
        <w:t xml:space="preserve"> </w:t>
      </w:r>
      <w:r>
        <w:t xml:space="preserve">correctly</w:t>
      </w:r>
      <w:r>
        <w:t xml:space="preserve"> </w:t>
      </w:r>
      <w:r>
        <w:t xml:space="preserve">whereas</w:t>
      </w:r>
      <w:r>
        <w:t xml:space="preserve"> </w:t>
      </w:r>
      <w:r>
        <w:rPr>
          <w:i/>
          <w:iCs/>
        </w:rPr>
        <w:t xml:space="preserve">Welch</w:t>
      </w:r>
      <w:r>
        <w:t xml:space="preserve"> </w:t>
      </w:r>
      <w:r>
        <w:t xml:space="preserve">did</w:t>
      </w:r>
      <w:r>
        <w:t xml:space="preserve"> </w:t>
      </w:r>
      <w:r>
        <w:t xml:space="preserve">not.</w:t>
      </w:r>
      <w:r>
        <w:t xml:space="preserve">   </w:t>
      </w:r>
      <w:r>
        <w:tab/>
      </w:r>
      <w:r>
        <w:t xml:space="preserve">23</w:t>
      </w:r>
    </w:p>
    <w:p>
      <w:pPr>
        <w:keepLines/>
        <w:tabs>
          <w:tab w:val="right" w:leader="dot" w:pos="7200"/>
        </w:tabs>
        <w:spacing w:before="252" w:after="0" w:line="322" w:lineRule="exact"/>
        <w:ind w:left="840" w:right="720" w:hanging="420"/>
      </w:pPr>
      <w:r>
        <w:t xml:space="preserve">B.</w:t>
      </w:r>
      <w:r>
        <w:t xml:space="preserve"> </w:t>
      </w:r>
      <w:r>
        <w:t xml:space="preserve">The</w:t>
      </w:r>
      <w:r>
        <w:t xml:space="preserve"> </w:t>
      </w:r>
      <w:r>
        <w:t xml:space="preserve">trial</w:t>
      </w:r>
      <w:r>
        <w:t xml:space="preserve"> </w:t>
      </w:r>
      <w:r>
        <w:t xml:space="preserve">court</w:t>
      </w:r>
      <w:r>
        <w:t xml:space="preserve"> </w:t>
      </w:r>
      <w:r>
        <w:t xml:space="preserve">committed</w:t>
      </w:r>
      <w:r>
        <w:t xml:space="preserve"> </w:t>
      </w:r>
      <w:r>
        <w:t xml:space="preserve">obvious</w:t>
      </w:r>
      <w:r>
        <w:t xml:space="preserve"> </w:t>
      </w:r>
      <w:r>
        <w:t xml:space="preserve">error</w:t>
      </w:r>
      <w:r>
        <w:t xml:space="preserve"> </w:t>
      </w:r>
      <w:r>
        <w:t xml:space="preserve">by</w:t>
      </w:r>
      <w:r>
        <w:t xml:space="preserve"> </w:t>
      </w:r>
      <w:r>
        <w:t xml:space="preserve">relying</w:t>
      </w:r>
      <w:r>
        <w:t xml:space="preserve"> </w:t>
      </w:r>
      <w:r>
        <w:t xml:space="preserve">on</w:t>
      </w:r>
      <w:r>
        <w:t xml:space="preserve"> </w:t>
      </w:r>
      <w:r>
        <w:t xml:space="preserve">inadmissible</w:t>
      </w:r>
      <w:r>
        <w:t xml:space="preserve"> </w:t>
      </w:r>
      <w:r>
        <w:t xml:space="preserve">and</w:t>
      </w:r>
      <w:r>
        <w:t xml:space="preserve"> </w:t>
      </w:r>
      <w:r>
        <w:t xml:space="preserve">irrelevant</w:t>
      </w:r>
      <w:r>
        <w:t xml:space="preserve"> </w:t>
      </w:r>
      <w:r>
        <w:t xml:space="preserve">evidence</w:t>
      </w:r>
      <w:r>
        <w:t xml:space="preserve"> </w:t>
      </w:r>
      <w:r>
        <w:t xml:space="preserve">when</w:t>
      </w:r>
      <w:r>
        <w:t xml:space="preserve"> </w:t>
      </w:r>
      <w:r>
        <w:t xml:space="preserve">finding</w:t>
      </w:r>
      <w:r>
        <w:t xml:space="preserve"> </w:t>
      </w:r>
      <w:r>
        <w:t xml:space="preserve">against</w:t>
      </w:r>
      <w:r>
        <w:t xml:space="preserve"> </w:t>
      </w:r>
      <w:r>
        <w:t xml:space="preserve">Brand’s</w:t>
      </w:r>
      <w:r>
        <w:t xml:space="preserve"> </w:t>
      </w:r>
      <w:r>
        <w:t xml:space="preserve">summary</w:t>
      </w:r>
      <w:r>
        <w:t xml:space="preserve"> </w:t>
      </w:r>
      <w:r>
        <w:t xml:space="preserve">judgment</w:t>
      </w:r>
      <w:r>
        <w:t xml:space="preserve"> </w:t>
      </w:r>
      <w:r>
        <w:t xml:space="preserve">motion.</w:t>
      </w:r>
      <w:r>
        <w:t xml:space="preserve">   </w:t>
      </w:r>
      <w:r>
        <w:tab/>
      </w:r>
      <w:r>
        <w:t xml:space="preserve">25</w:t>
      </w:r>
    </w:p>
    <w:p>
      <w:pPr>
        <w:keepLines/>
        <w:tabs>
          <w:tab w:val="right" w:leader="dot" w:pos="7200"/>
        </w:tabs>
        <w:spacing w:before="252" w:after="0" w:line="322" w:lineRule="exact"/>
        <w:ind w:left="1260" w:right="720" w:hanging="420"/>
      </w:pPr>
      <w:r>
        <w:t xml:space="preserve">1.</w:t>
      </w:r>
      <w:r>
        <w:t xml:space="preserve"> </w:t>
      </w:r>
      <w:r>
        <w:t xml:space="preserve">Mr.</w:t>
      </w:r>
      <w:r>
        <w:t xml:space="preserve"> </w:t>
      </w:r>
      <w:r>
        <w:t xml:space="preserve">Johnson’s</w:t>
      </w:r>
      <w:r>
        <w:t xml:space="preserve"> </w:t>
      </w:r>
      <w:r>
        <w:t xml:space="preserve">testimony</w:t>
      </w:r>
      <w:r>
        <w:t xml:space="preserve"> </w:t>
      </w:r>
      <w:r>
        <w:t xml:space="preserve">is</w:t>
      </w:r>
      <w:r>
        <w:t xml:space="preserve"> </w:t>
      </w:r>
      <w:r>
        <w:t xml:space="preserve">irrelevant</w:t>
      </w:r>
      <w:r>
        <w:t xml:space="preserve"> </w:t>
      </w:r>
      <w:r>
        <w:t xml:space="preserve">and</w:t>
      </w:r>
      <w:r>
        <w:t xml:space="preserve"> </w:t>
      </w:r>
      <w:r>
        <w:t xml:space="preserve">inadmissible.</w:t>
      </w:r>
      <w:r>
        <w:t xml:space="preserve">   </w:t>
      </w:r>
      <w:r>
        <w:tab/>
      </w:r>
      <w:r>
        <w:t xml:space="preserve">26</w:t>
      </w:r>
    </w:p>
    <w:p>
      <w:pPr>
        <w:keepLines/>
        <w:tabs>
          <w:tab w:val="right" w:leader="dot" w:pos="7200"/>
        </w:tabs>
        <w:spacing w:before="252" w:after="0" w:line="322" w:lineRule="exact"/>
        <w:ind w:left="1260" w:right="720" w:hanging="420"/>
      </w:pPr>
      <w:r>
        <w:t xml:space="preserve">2.</w:t>
      </w:r>
      <w:r>
        <w:t xml:space="preserve"> </w:t>
      </w:r>
      <w:r>
        <w:t xml:space="preserve">There</w:t>
      </w:r>
      <w:r>
        <w:t xml:space="preserve"> </w:t>
      </w:r>
      <w:r>
        <w:t xml:space="preserve">is</w:t>
      </w:r>
      <w:r>
        <w:t xml:space="preserve"> </w:t>
      </w:r>
      <w:r>
        <w:t xml:space="preserve">no</w:t>
      </w:r>
      <w:r>
        <w:t xml:space="preserve"> </w:t>
      </w:r>
      <w:r>
        <w:t xml:space="preserve">authority</w:t>
      </w:r>
      <w:r>
        <w:t xml:space="preserve"> </w:t>
      </w:r>
      <w:r>
        <w:t xml:space="preserve">that</w:t>
      </w:r>
      <w:r>
        <w:t xml:space="preserve"> </w:t>
      </w:r>
      <w:r>
        <w:t xml:space="preserve">the</w:t>
      </w:r>
      <w:r>
        <w:t xml:space="preserve"> </w:t>
      </w:r>
      <w:r>
        <w:t xml:space="preserve">legal</w:t>
      </w:r>
      <w:r>
        <w:t xml:space="preserve"> </w:t>
      </w:r>
      <w:r>
        <w:t xml:space="preserve">character</w:t>
      </w:r>
      <w:r>
        <w:t xml:space="preserve"> </w:t>
      </w:r>
      <w:r>
        <w:t xml:space="preserve">of</w:t>
      </w:r>
      <w:r>
        <w:t xml:space="preserve"> </w:t>
      </w:r>
      <w:r>
        <w:t xml:space="preserve">an</w:t>
      </w:r>
      <w:r>
        <w:t xml:space="preserve"> </w:t>
      </w:r>
      <w:r>
        <w:t xml:space="preserve">improvement</w:t>
      </w:r>
      <w:r>
        <w:t xml:space="preserve"> </w:t>
      </w:r>
      <w:r>
        <w:t xml:space="preserve">upon</w:t>
      </w:r>
      <w:r>
        <w:t xml:space="preserve"> </w:t>
      </w:r>
      <w:r>
        <w:t xml:space="preserve">real</w:t>
      </w:r>
      <w:r>
        <w:t xml:space="preserve"> </w:t>
      </w:r>
      <w:r>
        <w:t xml:space="preserve">property</w:t>
      </w:r>
      <w:r>
        <w:t xml:space="preserve"> </w:t>
      </w:r>
      <w:r>
        <w:t xml:space="preserve">changes</w:t>
      </w:r>
      <w:r>
        <w:t xml:space="preserve"> </w:t>
      </w:r>
      <w:r>
        <w:t xml:space="preserve">if</w:t>
      </w:r>
      <w:r>
        <w:t xml:space="preserve"> </w:t>
      </w:r>
      <w:r>
        <w:t xml:space="preserve">it</w:t>
      </w:r>
      <w:r>
        <w:t xml:space="preserve"> </w:t>
      </w:r>
      <w:r>
        <w:t xml:space="preserve">is</w:t>
      </w:r>
      <w:r>
        <w:t xml:space="preserve"> </w:t>
      </w:r>
      <w:r>
        <w:t xml:space="preserve">not</w:t>
      </w:r>
      <w:r>
        <w:t xml:space="preserve"> </w:t>
      </w:r>
      <w:r>
        <w:t xml:space="preserve">in</w:t>
      </w:r>
      <w:r>
        <w:t xml:space="preserve"> </w:t>
      </w:r>
      <w:r>
        <w:t xml:space="preserve">use.</w:t>
      </w:r>
      <w:r>
        <w:t xml:space="preserve">   </w:t>
      </w:r>
      <w:r>
        <w:tab/>
      </w:r>
      <w:r>
        <w:t xml:space="preserve">29</w:t>
      </w:r>
    </w:p>
    <w:p>
      <w:pPr>
        <w:keepLines/>
        <w:tabs>
          <w:tab w:val="right" w:leader="dot" w:pos="7200"/>
        </w:tabs>
        <w:spacing w:before="252" w:after="0" w:line="322" w:lineRule="exact"/>
        <w:ind w:left="840" w:right="720" w:hanging="420"/>
      </w:pPr>
      <w:r>
        <w:t xml:space="preserve">C.</w:t>
      </w:r>
      <w:r>
        <w:t xml:space="preserve"> </w:t>
      </w:r>
      <w:r>
        <w:t xml:space="preserve">Granting</w:t>
      </w:r>
      <w:r>
        <w:t xml:space="preserve"> </w:t>
      </w:r>
      <w:r>
        <w:t xml:space="preserve">Brand’s</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 xml:space="preserve">renders</w:t>
      </w:r>
      <w:r>
        <w:t xml:space="preserve"> </w:t>
      </w:r>
      <w:r>
        <w:t xml:space="preserve">further</w:t>
      </w:r>
      <w:r>
        <w:t xml:space="preserve"> </w:t>
      </w:r>
      <w:r>
        <w:t xml:space="preserve">proceedings</w:t>
      </w:r>
      <w:r>
        <w:t xml:space="preserve"> </w:t>
      </w:r>
      <w:r>
        <w:t xml:space="preserve">useless.</w:t>
      </w:r>
      <w:r>
        <w:t xml:space="preserve">   </w:t>
      </w:r>
      <w:r>
        <w:tab/>
      </w:r>
      <w:r>
        <w:t xml:space="preserve">30</w:t>
      </w:r>
    </w:p>
    <w:p>
      <w:pPr>
        <w:keepLines/>
        <w:tabs>
          <w:tab w:val="right" w:leader="dot" w:pos="7200"/>
        </w:tabs>
        <w:spacing w:before="252" w:after="0" w:line="322" w:lineRule="exact"/>
        <w:ind w:left="420" w:right="720" w:hanging="420"/>
      </w:pPr>
      <w:r>
        <w:t xml:space="preserve">VI.</w:t>
      </w:r>
      <w:r>
        <w:t xml:space="preserve"> </w:t>
      </w:r>
      <w:r>
        <w:t xml:space="preserve">CONCLUSION</w:t>
      </w:r>
      <w:r>
        <w:t xml:space="preserve">   </w:t>
      </w:r>
      <w:r>
        <w:tab/>
      </w:r>
      <w:r>
        <w:t xml:space="preserve">31</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22" w:lineRule="exact"/>
        <w:ind w:left="0" w:firstLine="0"/>
        <w:jc w:val="left"/>
      </w:pPr>
      <w:r>
        <w:rPr>
          <w:b/>
          <w:bCs/>
        </w:rPr>
        <w:t xml:space="preserve">Cases</w:t>
      </w:r>
    </w:p>
    <w:p>
      <w:pPr>
        <w:keepLines/>
        <w:tabs>
          <w:tab w:val="right" w:leader="dot" w:pos="7200"/>
        </w:tabs>
        <w:spacing w:before="252" w:after="0" w:line="322" w:lineRule="exact"/>
        <w:ind w:left="420" w:right="1120" w:hanging="420"/>
      </w:pPr>
      <w:r>
        <w:rPr>
          <w:i/>
          <w:iCs/>
        </w:rPr>
        <w:t xml:space="preserve">1519</w:t>
        <w:noBreakHyphen/>
        <w:t xml:space="preserve">1525</w:t>
      </w:r>
      <w:r>
        <w:rPr>
          <w:i/>
          <w:iCs/>
        </w:rPr>
        <w:t xml:space="preserve"> </w:t>
      </w:r>
      <w:r>
        <w:rPr>
          <w:i/>
          <w:iCs/>
        </w:rPr>
        <w:t xml:space="preserve">Lakeview</w:t>
      </w:r>
      <w:r>
        <w:rPr>
          <w:i/>
          <w:iCs/>
        </w:rPr>
        <w:t xml:space="preserve"> </w:t>
      </w:r>
      <w:r>
        <w:rPr>
          <w:i/>
          <w:iCs/>
        </w:rPr>
        <w:t xml:space="preserve">Boulevard</w:t>
      </w:r>
      <w:r>
        <w:rPr>
          <w:i/>
          <w:iCs/>
        </w:rPr>
        <w:t xml:space="preserve"> </w:t>
      </w:r>
      <w:r>
        <w:rPr>
          <w:i/>
          <w:iCs/>
        </w:rPr>
        <w:t xml:space="preserve">Condominium</w:t>
      </w:r>
      <w:r>
        <w:rPr>
          <w:i/>
          <w:iCs/>
        </w:rPr>
        <w:t xml:space="preserve"> </w:t>
      </w:r>
      <w:r>
        <w:rPr>
          <w:i/>
          <w:iCs/>
        </w:rPr>
        <w:t xml:space="preserve">Ass’n</w:t>
      </w:r>
      <w:r>
        <w:t xml:space="preserve">,</w:t>
      </w:r>
      <w:r>
        <w:t xml:space="preserve"> </w:t>
      </w:r>
      <w:r>
        <w:t xml:space="preserve">144</w:t>
      </w:r>
      <w:r>
        <w:t xml:space="preserve"> </w:t>
      </w:r>
      <w:r>
        <w:t xml:space="preserve">Wn.2d</w:t>
      </w:r>
      <w:r>
        <w:t xml:space="preserve"> </w:t>
      </w:r>
      <w:r>
        <w:t xml:space="preserve">570,</w:t>
      </w:r>
      <w:r>
        <w:t xml:space="preserve"> </w:t>
      </w:r>
      <w:r>
        <w:t xml:space="preserve">29</w:t>
      </w:r>
      <w:r>
        <w:t xml:space="preserve"> </w:t>
      </w:r>
      <w:r>
        <w:t xml:space="preserve">P.3d</w:t>
      </w:r>
      <w:r>
        <w:t xml:space="preserve"> </w:t>
      </w:r>
      <w:r>
        <w:t xml:space="preserve">1249</w:t>
      </w:r>
      <w:r>
        <w:t xml:space="preserve"> </w:t>
      </w:r>
      <w:r>
        <w:t xml:space="preserve">(2001)</w:t>
      </w:r>
      <w:r>
        <w:t xml:space="preserve">   </w:t>
      </w:r>
      <w:r>
        <w:tab/>
      </w:r>
      <w:r>
        <w:t xml:space="preserve">17, 21</w:t>
      </w:r>
    </w:p>
    <w:p>
      <w:pPr>
        <w:keepLines/>
        <w:tabs>
          <w:tab w:val="right" w:leader="dot" w:pos="7200"/>
        </w:tabs>
        <w:spacing w:before="252" w:after="0" w:line="322" w:lineRule="exact"/>
        <w:ind w:left="420" w:right="1120" w:hanging="420"/>
      </w:pPr>
      <w:r>
        <w:rPr>
          <w:i/>
          <w:iCs/>
        </w:rPr>
        <w:t xml:space="preserve">Brown</w:t>
      </w:r>
      <w:r>
        <w:rPr>
          <w:i/>
          <w:iCs/>
        </w:rPr>
        <w:t xml:space="preserve"> </w:t>
      </w:r>
      <w:r>
        <w:rPr>
          <w:i/>
          <w:iCs/>
        </w:rPr>
        <w:t xml:space="preserve">v.</w:t>
      </w:r>
      <w:r>
        <w:rPr>
          <w:i/>
          <w:iCs/>
        </w:rPr>
        <w:t xml:space="preserve"> </w:t>
      </w:r>
      <w:r>
        <w:rPr>
          <w:i/>
          <w:iCs/>
        </w:rPr>
        <w:t xml:space="preserve">Jersey</w:t>
      </w:r>
      <w:r>
        <w:rPr>
          <w:i/>
          <w:iCs/>
        </w:rPr>
        <w:t xml:space="preserve"> </w:t>
      </w:r>
      <w:r>
        <w:rPr>
          <w:i/>
          <w:iCs/>
        </w:rPr>
        <w:t xml:space="preserve">Central</w:t>
      </w:r>
      <w:r>
        <w:rPr>
          <w:i/>
          <w:iCs/>
        </w:rPr>
        <w:t xml:space="preserve"> </w:t>
      </w:r>
      <w:r>
        <w:rPr>
          <w:i/>
          <w:iCs/>
        </w:rPr>
        <w:t xml:space="preserve">Power</w:t>
      </w:r>
      <w:r>
        <w:rPr>
          <w:i/>
          <w:iCs/>
        </w:rPr>
        <w:t xml:space="preserve"> </w:t>
      </w:r>
      <w:r>
        <w:rPr>
          <w:i/>
          <w:iCs/>
        </w:rPr>
        <w:t xml:space="preserve">&amp;</w:t>
      </w:r>
      <w:r>
        <w:rPr>
          <w:i/>
          <w:iCs/>
        </w:rPr>
        <w:t xml:space="preserve"> </w:t>
      </w:r>
      <w:r>
        <w:rPr>
          <w:i/>
          <w:iCs/>
        </w:rPr>
        <w:t xml:space="preserve">Light</w:t>
      </w:r>
      <w:r>
        <w:rPr>
          <w:i/>
          <w:iCs/>
        </w:rPr>
        <w:t xml:space="preserve"> </w:t>
      </w:r>
      <w:r>
        <w:rPr>
          <w:i/>
          <w:iCs/>
        </w:rPr>
        <w:t xml:space="preserve">Co.</w:t>
      </w:r>
      <w:r>
        <w:t xml:space="preserve">,</w:t>
      </w:r>
      <w:r>
        <w:t xml:space="preserve"> </w:t>
      </w:r>
      <w:r>
        <w:t xml:space="preserve">163</w:t>
      </w:r>
      <w:r>
        <w:t xml:space="preserve"> </w:t>
      </w:r>
      <w:r>
        <w:t xml:space="preserve">N.J.</w:t>
      </w:r>
      <w:r>
        <w:t xml:space="preserve"> </w:t>
      </w:r>
      <w:r>
        <w:t xml:space="preserve">Super.</w:t>
      </w:r>
      <w:r>
        <w:t xml:space="preserve"> </w:t>
      </w:r>
      <w:r>
        <w:t xml:space="preserve">179,</w:t>
      </w:r>
      <w:r>
        <w:t xml:space="preserve"> </w:t>
      </w:r>
      <w:r>
        <w:t xml:space="preserve">195,</w:t>
      </w:r>
      <w:r>
        <w:t xml:space="preserve"> </w:t>
      </w:r>
      <w:r>
        <w:t xml:space="preserve">394</w:t>
      </w:r>
      <w:r>
        <w:t xml:space="preserve"> </w:t>
      </w:r>
      <w:r>
        <w:t xml:space="preserve">A.2d</w:t>
      </w:r>
      <w:r>
        <w:t xml:space="preserve"> </w:t>
      </w:r>
      <w:r>
        <w:t xml:space="preserve">397</w:t>
      </w:r>
      <w:r>
        <w:t xml:space="preserve"> </w:t>
      </w:r>
      <w:r>
        <w:t xml:space="preserve">(1978)</w:t>
      </w:r>
      <w:r>
        <w:t xml:space="preserve">   </w:t>
      </w:r>
      <w:r>
        <w:tab/>
      </w:r>
      <w:r>
        <w:t xml:space="preserve">5, 19</w:t>
      </w:r>
    </w:p>
    <w:p>
      <w:pPr>
        <w:keepLines/>
        <w:tabs>
          <w:tab w:val="right" w:leader="dot" w:pos="7200"/>
        </w:tabs>
        <w:spacing w:before="252" w:after="0" w:line="322" w:lineRule="exact"/>
        <w:ind w:left="420" w:right="1120" w:hanging="420"/>
      </w:pPr>
      <w:r>
        <w:rPr>
          <w:i/>
          <w:iCs/>
        </w:rPr>
        <w:t xml:space="preserve">Cameron</w:t>
      </w:r>
      <w:r>
        <w:rPr>
          <w:i/>
          <w:iCs/>
        </w:rPr>
        <w:t xml:space="preserve"> </w:t>
      </w:r>
      <w:r>
        <w:rPr>
          <w:i/>
          <w:iCs/>
        </w:rPr>
        <w:t xml:space="preserve">v.</w:t>
      </w:r>
      <w:r>
        <w:rPr>
          <w:i/>
          <w:iCs/>
        </w:rPr>
        <w:t xml:space="preserve"> </w:t>
      </w:r>
      <w:r>
        <w:rPr>
          <w:i/>
          <w:iCs/>
        </w:rPr>
        <w:t xml:space="preserve">Atlantic</w:t>
      </w:r>
      <w:r>
        <w:rPr>
          <w:i/>
          <w:iCs/>
        </w:rPr>
        <w:t xml:space="preserve"> </w:t>
      </w:r>
      <w:r>
        <w:rPr>
          <w:i/>
          <w:iCs/>
        </w:rPr>
        <w:t xml:space="preserve">Richfield</w:t>
      </w:r>
      <w:r>
        <w:rPr>
          <w:i/>
          <w:iCs/>
        </w:rPr>
        <w:t xml:space="preserve"> </w:t>
      </w:r>
      <w:r>
        <w:rPr>
          <w:i/>
          <w:iCs/>
        </w:rPr>
        <w:t xml:space="preserve">Co.</w:t>
      </w:r>
      <w:r>
        <w:t xml:space="preserve">,</w:t>
      </w:r>
      <w:r>
        <w:t xml:space="preserve"> </w:t>
      </w:r>
      <w:r>
        <w:t xml:space="preserve">8</w:t>
      </w:r>
      <w:r>
        <w:t xml:space="preserve"> </w:t>
      </w:r>
      <w:r>
        <w:t xml:space="preserve">Wn.</w:t>
      </w:r>
      <w:r>
        <w:t xml:space="preserve"> </w:t>
      </w:r>
      <w:r>
        <w:t xml:space="preserve">App.</w:t>
      </w:r>
      <w:r>
        <w:t xml:space="preserve"> </w:t>
      </w:r>
      <w:r>
        <w:t xml:space="preserve">2d</w:t>
      </w:r>
      <w:r>
        <w:t xml:space="preserve"> </w:t>
      </w:r>
      <w:r>
        <w:t xml:space="preserve">795,</w:t>
      </w:r>
      <w:r>
        <w:t xml:space="preserve"> </w:t>
      </w:r>
      <w:r>
        <w:t xml:space="preserve">442</w:t>
      </w:r>
      <w:r>
        <w:t xml:space="preserve"> </w:t>
      </w:r>
      <w:r>
        <w:t xml:space="preserve">P.3d</w:t>
      </w:r>
      <w:r>
        <w:t xml:space="preserve"> </w:t>
      </w:r>
      <w:r>
        <w:t xml:space="preserve">31</w:t>
      </w:r>
      <w:r>
        <w:t xml:space="preserve"> </w:t>
      </w:r>
      <w:r>
        <w:t xml:space="preserve">(2019)</w:t>
      </w:r>
      <w:r>
        <w:t xml:space="preserve">   </w:t>
      </w:r>
      <w:r>
        <w:tab/>
      </w:r>
      <w:r>
        <w:t xml:space="preserve">16</w:t>
      </w:r>
    </w:p>
    <w:p>
      <w:pPr>
        <w:keepLines/>
        <w:tabs>
          <w:tab w:val="right" w:leader="dot" w:pos="7200"/>
        </w:tabs>
        <w:spacing w:before="252" w:after="0" w:line="322" w:lineRule="exact"/>
        <w:ind w:left="420" w:right="1120" w:hanging="420"/>
      </w:pPr>
      <w:r>
        <w:rPr>
          <w:i/>
          <w:iCs/>
        </w:rPr>
        <w:t xml:space="preserve">Chamberlain</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w:t>
      </w:r>
      <w:r>
        <w:t xml:space="preserve">,</w:t>
      </w:r>
      <w:r>
        <w:t xml:space="preserve"> </w:t>
      </w:r>
      <w:r>
        <w:t xml:space="preserve">79</w:t>
      </w:r>
      <w:r>
        <w:t xml:space="preserve"> </w:t>
      </w:r>
      <w:r>
        <w:t xml:space="preserve">Wn.</w:t>
      </w:r>
      <w:r>
        <w:t xml:space="preserve"> </w:t>
      </w:r>
      <w:r>
        <w:t xml:space="preserve">App.</w:t>
      </w:r>
      <w:r>
        <w:t xml:space="preserve"> </w:t>
      </w:r>
      <w:r>
        <w:t xml:space="preserve">212,</w:t>
      </w:r>
      <w:r>
        <w:t xml:space="preserve"> </w:t>
      </w:r>
      <w:r>
        <w:t xml:space="preserve">901</w:t>
      </w:r>
      <w:r>
        <w:t xml:space="preserve"> </w:t>
      </w:r>
      <w:r>
        <w:t xml:space="preserve">P.2d</w:t>
      </w:r>
      <w:r>
        <w:t xml:space="preserve"> </w:t>
      </w:r>
      <w:r>
        <w:t xml:space="preserve">344</w:t>
      </w:r>
      <w:r>
        <w:t xml:space="preserve"> </w:t>
      </w:r>
      <w:r>
        <w:t xml:space="preserve">(1995)</w:t>
      </w:r>
      <w:r>
        <w:t xml:space="preserve">   </w:t>
      </w:r>
      <w:r>
        <w:tab/>
      </w:r>
      <w:r>
        <w:t xml:space="preserve">28</w:t>
      </w:r>
    </w:p>
    <w:p>
      <w:pPr>
        <w:keepLines/>
        <w:tabs>
          <w:tab w:val="right" w:leader="dot" w:pos="7200"/>
        </w:tabs>
        <w:spacing w:before="252" w:after="0" w:line="322" w:lineRule="exact"/>
        <w:ind w:left="420" w:right="1120" w:hanging="420"/>
      </w:pPr>
      <w:r>
        <w:rPr>
          <w:i/>
          <w:iCs/>
        </w:rPr>
        <w:t xml:space="preserve">Condit</w:t>
      </w:r>
      <w:r>
        <w:rPr>
          <w:i/>
          <w:iCs/>
        </w:rPr>
        <w:t xml:space="preserve"> </w:t>
      </w:r>
      <w:r>
        <w:rPr>
          <w:i/>
          <w:iCs/>
        </w:rPr>
        <w:t xml:space="preserve">v.</w:t>
      </w:r>
      <w:r>
        <w:rPr>
          <w:i/>
          <w:iCs/>
        </w:rPr>
        <w:t xml:space="preserve"> </w:t>
      </w:r>
      <w:r>
        <w:rPr>
          <w:i/>
          <w:iCs/>
        </w:rPr>
        <w:t xml:space="preserve">Lewis</w:t>
      </w:r>
      <w:r>
        <w:rPr>
          <w:i/>
          <w:iCs/>
        </w:rPr>
        <w:t xml:space="preserve"> </w:t>
      </w:r>
      <w:r>
        <w:rPr>
          <w:i/>
          <w:iCs/>
        </w:rPr>
        <w:t xml:space="preserve">Refrigeration</w:t>
      </w:r>
      <w:r>
        <w:rPr>
          <w:i/>
          <w:iCs/>
        </w:rPr>
        <w:t xml:space="preserve"> </w:t>
      </w:r>
      <w:r>
        <w:rPr>
          <w:i/>
          <w:iCs/>
        </w:rPr>
        <w:t xml:space="preserve">Co.</w:t>
      </w:r>
      <w:r>
        <w:t xml:space="preserve">,</w:t>
      </w:r>
      <w:r>
        <w:t xml:space="preserve"> </w:t>
      </w:r>
      <w:r>
        <w:t xml:space="preserve">101</w:t>
      </w:r>
      <w:r>
        <w:t xml:space="preserve"> </w:t>
      </w:r>
      <w:r>
        <w:t xml:space="preserve">Wn.2d</w:t>
      </w:r>
      <w:r>
        <w:t xml:space="preserve"> </w:t>
      </w:r>
      <w:r>
        <w:t xml:space="preserve">106,</w:t>
      </w:r>
      <w:r>
        <w:t xml:space="preserve"> </w:t>
      </w:r>
      <w:r>
        <w:t xml:space="preserve">676</w:t>
      </w:r>
      <w:r>
        <w:t xml:space="preserve"> </w:t>
      </w:r>
      <w:r>
        <w:t xml:space="preserve">P.2d</w:t>
      </w:r>
      <w:r>
        <w:t xml:space="preserve"> </w:t>
      </w:r>
      <w:r>
        <w:t xml:space="preserve">466</w:t>
      </w:r>
      <w:r>
        <w:t xml:space="preserve"> </w:t>
      </w:r>
      <w:r>
        <w:t xml:space="preserve">(1984)</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Davis</w:t>
      </w:r>
      <w:r>
        <w:rPr>
          <w:i/>
          <w:iCs/>
        </w:rPr>
        <w:t xml:space="preserve"> </w:t>
      </w:r>
      <w:r>
        <w:rPr>
          <w:i/>
          <w:iCs/>
        </w:rPr>
        <w:t xml:space="preserve">v.</w:t>
      </w:r>
      <w:r>
        <w:rPr>
          <w:i/>
          <w:iCs/>
        </w:rPr>
        <w:t xml:space="preserve"> </w:t>
      </w:r>
      <w:r>
        <w:rPr>
          <w:i/>
          <w:iCs/>
        </w:rPr>
        <w:t xml:space="preserve">Baugh</w:t>
      </w:r>
      <w:r>
        <w:rPr>
          <w:i/>
          <w:iCs/>
        </w:rPr>
        <w:t xml:space="preserve"> </w:t>
      </w:r>
      <w:r>
        <w:rPr>
          <w:i/>
          <w:iCs/>
        </w:rPr>
        <w:t xml:space="preserve">Indus.</w:t>
      </w:r>
      <w:r>
        <w:rPr>
          <w:i/>
          <w:iCs/>
        </w:rPr>
        <w:t xml:space="preserve"> </w:t>
      </w:r>
      <w:r>
        <w:rPr>
          <w:i/>
          <w:iCs/>
        </w:rPr>
        <w:t xml:space="preserve">Contractors,</w:t>
      </w:r>
      <w:r>
        <w:rPr>
          <w:i/>
          <w:iCs/>
        </w:rPr>
        <w:t xml:space="preserve"> </w:t>
      </w:r>
      <w:r>
        <w:rPr>
          <w:i/>
          <w:iCs/>
        </w:rPr>
        <w:t xml:space="preserve">Inc.</w:t>
      </w:r>
      <w:r>
        <w:t xml:space="preserve">,</w:t>
      </w:r>
      <w:r>
        <w:t xml:space="preserve"> </w:t>
      </w:r>
      <w:r>
        <w:t xml:space="preserve">159</w:t>
      </w:r>
      <w:r>
        <w:t xml:space="preserve"> </w:t>
      </w:r>
      <w:r>
        <w:t xml:space="preserve">Wn.2d</w:t>
      </w:r>
      <w:r>
        <w:t xml:space="preserve"> </w:t>
      </w:r>
      <w:r>
        <w:t xml:space="preserve">413,</w:t>
      </w:r>
      <w:r>
        <w:t xml:space="preserve"> </w:t>
      </w:r>
      <w:r>
        <w:t xml:space="preserve">150</w:t>
      </w:r>
      <w:r>
        <w:t xml:space="preserve"> </w:t>
      </w:r>
      <w:r>
        <w:t xml:space="preserve">P.3d</w:t>
      </w:r>
      <w:r>
        <w:t xml:space="preserve"> </w:t>
      </w:r>
      <w:r>
        <w:t xml:space="preserve">545</w:t>
      </w:r>
      <w:r>
        <w:t xml:space="preserve"> </w:t>
      </w:r>
      <w:r>
        <w:t xml:space="preserve">(2007)</w:t>
      </w:r>
      <w:r>
        <w:t xml:space="preserve">   </w:t>
      </w:r>
      <w:r>
        <w:tab/>
      </w:r>
      <w:r>
        <w:t xml:space="preserve">17</w:t>
      </w:r>
    </w:p>
    <w:p>
      <w:pPr>
        <w:keepLines/>
        <w:tabs>
          <w:tab w:val="right" w:leader="dot" w:pos="7200"/>
        </w:tabs>
        <w:spacing w:before="252" w:after="0" w:line="322" w:lineRule="exact"/>
        <w:ind w:left="420" w:right="1120" w:hanging="420"/>
      </w:pPr>
      <w:r>
        <w:rPr>
          <w:i/>
          <w:iCs/>
        </w:rPr>
        <w:t xml:space="preserve">Douchette</w:t>
      </w:r>
      <w:r>
        <w:rPr>
          <w:i/>
          <w:iCs/>
        </w:rPr>
        <w:t xml:space="preserve"> </w:t>
      </w:r>
      <w:r>
        <w:rPr>
          <w:i/>
          <w:iCs/>
        </w:rPr>
        <w:t xml:space="preserve">v.</w:t>
      </w:r>
      <w:r>
        <w:rPr>
          <w:i/>
          <w:iCs/>
        </w:rPr>
        <w:t xml:space="preserve"> </w:t>
      </w:r>
      <w:r>
        <w:rPr>
          <w:i/>
          <w:iCs/>
        </w:rPr>
        <w:t xml:space="preserve">Bethel</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403</w:t>
      </w:r>
      <w:r>
        <w:t xml:space="preserve">,</w:t>
      </w:r>
      <w:r>
        <w:t xml:space="preserve"> </w:t>
      </w:r>
      <w:r>
        <w:t xml:space="preserve">117</w:t>
      </w:r>
      <w:r>
        <w:t xml:space="preserve"> </w:t>
      </w:r>
      <w:r>
        <w:t xml:space="preserve">Wn.2d</w:t>
      </w:r>
      <w:r>
        <w:t xml:space="preserve"> </w:t>
      </w:r>
      <w:r>
        <w:t xml:space="preserve">805,</w:t>
      </w:r>
      <w:r>
        <w:t xml:space="preserve"> </w:t>
      </w:r>
      <w:r>
        <w:t xml:space="preserve">818</w:t>
      </w:r>
      <w:r>
        <w:t xml:space="preserve"> </w:t>
      </w:r>
      <w:r>
        <w:t xml:space="preserve">P.2d</w:t>
      </w:r>
      <w:r>
        <w:t xml:space="preserve"> </w:t>
      </w:r>
      <w:r>
        <w:t xml:space="preserve">1362</w:t>
      </w:r>
      <w:r>
        <w:t xml:space="preserve"> </w:t>
      </w:r>
      <w:r>
        <w:t xml:space="preserve">(1991)</w:t>
      </w:r>
      <w:r>
        <w:t xml:space="preserve">   </w:t>
      </w:r>
      <w:r>
        <w:tab/>
      </w:r>
      <w:r>
        <w:t xml:space="preserve">17</w:t>
      </w:r>
    </w:p>
    <w:p>
      <w:pPr>
        <w:keepLines/>
        <w:tabs>
          <w:tab w:val="right" w:leader="dot" w:pos="7200"/>
        </w:tabs>
        <w:spacing w:before="252" w:after="0" w:line="322" w:lineRule="exact"/>
        <w:ind w:left="420" w:right="1120" w:hanging="420"/>
      </w:pPr>
      <w:r>
        <w:rPr>
          <w:i/>
          <w:iCs/>
        </w:rPr>
        <w:t xml:space="preserve">Hudesman</w:t>
      </w:r>
      <w:r>
        <w:rPr>
          <w:i/>
          <w:iCs/>
        </w:rPr>
        <w:t xml:space="preserve"> </w:t>
      </w:r>
      <w:r>
        <w:rPr>
          <w:i/>
          <w:iCs/>
        </w:rPr>
        <w:t xml:space="preserve">v.</w:t>
      </w:r>
      <w:r>
        <w:rPr>
          <w:i/>
          <w:iCs/>
        </w:rPr>
        <w:t xml:space="preserve"> </w:t>
      </w:r>
      <w:r>
        <w:rPr>
          <w:i/>
          <w:iCs/>
        </w:rPr>
        <w:t xml:space="preserve">Meriwether</w:t>
      </w:r>
      <w:r>
        <w:rPr>
          <w:i/>
          <w:iCs/>
        </w:rPr>
        <w:t xml:space="preserve"> </w:t>
      </w:r>
      <w:r>
        <w:rPr>
          <w:i/>
          <w:iCs/>
        </w:rPr>
        <w:t xml:space="preserve">Leachman</w:t>
      </w:r>
      <w:r>
        <w:rPr>
          <w:i/>
          <w:iCs/>
        </w:rPr>
        <w:t xml:space="preserve"> </w:t>
      </w:r>
      <w:r>
        <w:rPr>
          <w:i/>
          <w:iCs/>
        </w:rPr>
        <w:t xml:space="preserve">Assocs.</w:t>
      </w:r>
      <w:r>
        <w:t xml:space="preserve">,</w:t>
      </w:r>
      <w:r>
        <w:t xml:space="preserve"> </w:t>
      </w:r>
      <w:r>
        <w:t xml:space="preserve">35</w:t>
      </w:r>
      <w:r>
        <w:t xml:space="preserve"> </w:t>
      </w:r>
      <w:r>
        <w:t xml:space="preserve">Wn.</w:t>
      </w:r>
      <w:r>
        <w:t xml:space="preserve"> </w:t>
      </w:r>
      <w:r>
        <w:t xml:space="preserve">App.</w:t>
      </w:r>
      <w:r>
        <w:t xml:space="preserve"> </w:t>
      </w:r>
      <w:r>
        <w:t xml:space="preserve">318,</w:t>
      </w:r>
      <w:r>
        <w:t xml:space="preserve"> </w:t>
      </w:r>
      <w:r>
        <w:t xml:space="preserve">666</w:t>
      </w:r>
      <w:r>
        <w:t xml:space="preserve"> </w:t>
      </w:r>
      <w:r>
        <w:t xml:space="preserve">P.2d</w:t>
      </w:r>
      <w:r>
        <w:t xml:space="preserve"> </w:t>
      </w:r>
      <w:r>
        <w:t xml:space="preserve">937</w:t>
      </w:r>
      <w:r>
        <w:t xml:space="preserve"> </w:t>
      </w:r>
      <w:r>
        <w:t xml:space="preserve">(1983)</w:t>
      </w:r>
      <w:r>
        <w:t xml:space="preserve">   </w:t>
      </w:r>
      <w:r>
        <w:tab/>
      </w:r>
      <w:r>
        <w:t xml:space="preserve">17</w:t>
      </w:r>
    </w:p>
    <w:p>
      <w:pPr>
        <w:keepLines/>
        <w:tabs>
          <w:tab w:val="right" w:leader="dot" w:pos="7200"/>
        </w:tabs>
        <w:spacing w:before="252" w:after="0" w:line="322" w:lineRule="exact"/>
        <w:ind w:left="420" w:right="1120" w:hanging="420"/>
      </w:pPr>
      <w:r>
        <w:rPr>
          <w:i/>
          <w:iCs/>
        </w:rPr>
        <w:t xml:space="preserve">Jones</w:t>
      </w:r>
      <w:r>
        <w:rPr>
          <w:i/>
          <w:iCs/>
        </w:rPr>
        <w:t xml:space="preserve"> </w:t>
      </w:r>
      <w:r>
        <w:rPr>
          <w:i/>
          <w:iCs/>
        </w:rPr>
        <w:t xml:space="preserve">v.</w:t>
      </w:r>
      <w:r>
        <w:rPr>
          <w:i/>
          <w:iCs/>
        </w:rPr>
        <w:t xml:space="preserve"> </w:t>
      </w:r>
      <w:r>
        <w:rPr>
          <w:i/>
          <w:iCs/>
        </w:rPr>
        <w:t xml:space="preserve">Weyerhaeuser</w:t>
      </w:r>
      <w:r>
        <w:rPr>
          <w:i/>
          <w:iCs/>
        </w:rPr>
        <w:t xml:space="preserve"> </w:t>
      </w:r>
      <w:r>
        <w:rPr>
          <w:i/>
          <w:iCs/>
        </w:rPr>
        <w:t xml:space="preserve">Co.</w:t>
      </w:r>
      <w:r>
        <w:t xml:space="preserve">,</w:t>
      </w:r>
      <w:r>
        <w:t xml:space="preserve"> </w:t>
      </w:r>
      <w:r>
        <w:t xml:space="preserve">48</w:t>
      </w:r>
      <w:r>
        <w:t xml:space="preserve"> </w:t>
      </w:r>
      <w:r>
        <w:t xml:space="preserve">Wn.</w:t>
      </w:r>
      <w:r>
        <w:t xml:space="preserve"> </w:t>
      </w:r>
      <w:r>
        <w:t xml:space="preserve">App.</w:t>
      </w:r>
      <w:r>
        <w:t xml:space="preserve"> </w:t>
      </w:r>
      <w:r>
        <w:t xml:space="preserve">894,</w:t>
      </w:r>
      <w:r>
        <w:t xml:space="preserve"> </w:t>
      </w:r>
      <w:r>
        <w:t xml:space="preserve">741</w:t>
      </w:r>
      <w:r>
        <w:t xml:space="preserve"> </w:t>
      </w:r>
      <w:r>
        <w:t xml:space="preserve">P.2d</w:t>
      </w:r>
      <w:r>
        <w:t xml:space="preserve"> </w:t>
      </w:r>
      <w:r>
        <w:t xml:space="preserve">75</w:t>
      </w:r>
      <w:r>
        <w:t xml:space="preserve"> </w:t>
      </w:r>
      <w:r>
        <w:t xml:space="preserve">(1987)</w:t>
      </w:r>
      <w:r>
        <w:t xml:space="preserve">   </w:t>
      </w:r>
      <w:r>
        <w:tab/>
      </w:r>
      <w:r>
        <w:t xml:space="preserve">17</w:t>
      </w:r>
    </w:p>
    <w:p>
      <w:pPr>
        <w:keepLines/>
        <w:tabs>
          <w:tab w:val="right" w:leader="dot" w:pos="7200"/>
        </w:tabs>
        <w:spacing w:before="252" w:after="0" w:line="322" w:lineRule="exact"/>
        <w:ind w:left="420" w:right="1120" w:hanging="420"/>
      </w:pPr>
      <w:r>
        <w:rPr>
          <w:i/>
          <w:iCs/>
        </w:rPr>
        <w:t xml:space="preserve">Lakey</w:t>
      </w:r>
      <w:r>
        <w:rPr>
          <w:i/>
          <w:iCs/>
        </w:rPr>
        <w:t xml:space="preserve"> </w:t>
      </w:r>
      <w:r>
        <w:rPr>
          <w:i/>
          <w:iCs/>
        </w:rPr>
        <w:t xml:space="preserve">v.</w:t>
      </w:r>
      <w:r>
        <w:rPr>
          <w:i/>
          <w:iCs/>
        </w:rPr>
        <w:t xml:space="preserve"> </w:t>
      </w:r>
      <w:r>
        <w:rPr>
          <w:i/>
          <w:iCs/>
        </w:rPr>
        <w:t xml:space="preserve">Puget</w:t>
      </w:r>
      <w:r>
        <w:rPr>
          <w:i/>
          <w:iCs/>
        </w:rPr>
        <w:t xml:space="preserve"> </w:t>
      </w:r>
      <w:r>
        <w:rPr>
          <w:i/>
          <w:iCs/>
        </w:rPr>
        <w:t xml:space="preserve">Sound</w:t>
      </w:r>
      <w:r>
        <w:rPr>
          <w:i/>
          <w:iCs/>
        </w:rPr>
        <w:t xml:space="preserve"> </w:t>
      </w:r>
      <w:r>
        <w:rPr>
          <w:i/>
          <w:iCs/>
        </w:rPr>
        <w:t xml:space="preserve">Energy,</w:t>
      </w:r>
      <w:r>
        <w:rPr>
          <w:i/>
          <w:iCs/>
        </w:rPr>
        <w:t xml:space="preserve"> </w:t>
      </w:r>
      <w:r>
        <w:rPr>
          <w:i/>
          <w:iCs/>
        </w:rPr>
        <w:t xml:space="preserve">Inc.</w:t>
      </w:r>
      <w:r>
        <w:t xml:space="preserve">,</w:t>
      </w:r>
      <w:r>
        <w:t xml:space="preserve"> </w:t>
      </w:r>
      <w:r>
        <w:t xml:space="preserve">176</w:t>
      </w:r>
      <w:r>
        <w:t xml:space="preserve"> </w:t>
      </w:r>
      <w:r>
        <w:t xml:space="preserve">Wn.2d</w:t>
      </w:r>
      <w:r>
        <w:t xml:space="preserve"> </w:t>
      </w:r>
      <w:r>
        <w:t xml:space="preserve">909,</w:t>
      </w:r>
      <w:r>
        <w:t xml:space="preserve"> </w:t>
      </w:r>
      <w:r>
        <w:t xml:space="preserve">296</w:t>
      </w:r>
      <w:r>
        <w:t xml:space="preserve"> </w:t>
      </w:r>
      <w:r>
        <w:t xml:space="preserve">P.3d</w:t>
      </w:r>
      <w:r>
        <w:t xml:space="preserve"> </w:t>
      </w:r>
      <w:r>
        <w:t xml:space="preserve">860</w:t>
      </w:r>
      <w:r>
        <w:t xml:space="preserve"> </w:t>
      </w:r>
      <w:r>
        <w:t xml:space="preserve">(2013)</w:t>
      </w:r>
      <w:r>
        <w:t xml:space="preserve">   </w:t>
      </w:r>
      <w:r>
        <w:tab/>
      </w:r>
      <w:r>
        <w:t xml:space="preserve">28</w:t>
      </w:r>
    </w:p>
    <w:p>
      <w:pPr>
        <w:keepLines/>
        <w:tabs>
          <w:tab w:val="right" w:leader="dot" w:pos="7200"/>
        </w:tabs>
        <w:spacing w:before="252" w:after="0" w:line="322" w:lineRule="exact"/>
        <w:ind w:left="420" w:right="1120" w:hanging="420"/>
      </w:pPr>
      <w:r>
        <w:rPr>
          <w:i/>
          <w:iCs/>
        </w:rPr>
        <w:t xml:space="preserve">Maxwell</w:t>
      </w:r>
      <w:r>
        <w:rPr>
          <w:i/>
          <w:iCs/>
        </w:rPr>
        <w:t xml:space="preserve"> </w:t>
      </w:r>
      <w:r>
        <w:rPr>
          <w:i/>
          <w:iCs/>
        </w:rPr>
        <w:t xml:space="preserve">v.</w:t>
      </w:r>
      <w:r>
        <w:rPr>
          <w:i/>
          <w:iCs/>
        </w:rPr>
        <w:t xml:space="preserve"> </w:t>
      </w:r>
      <w:r>
        <w:rPr>
          <w:i/>
          <w:iCs/>
        </w:rPr>
        <w:t xml:space="preserve">Atl.</w:t>
      </w:r>
      <w:r>
        <w:rPr>
          <w:i/>
          <w:iCs/>
        </w:rPr>
        <w:t xml:space="preserve"> </w:t>
      </w:r>
      <w:r>
        <w:rPr>
          <w:i/>
          <w:iCs/>
        </w:rPr>
        <w:t xml:space="preserve">Richfield</w:t>
      </w:r>
      <w:r>
        <w:rPr>
          <w:i/>
          <w:iCs/>
        </w:rPr>
        <w:t xml:space="preserve"> </w:t>
      </w:r>
      <w:r>
        <w:rPr>
          <w:i/>
          <w:iCs/>
        </w:rPr>
        <w:t xml:space="preserve">Co.</w:t>
      </w:r>
      <w:r>
        <w:t xml:space="preserve">,</w:t>
      </w:r>
      <w:r>
        <w:t xml:space="preserve"> </w:t>
      </w:r>
      <w:r>
        <w:t xml:space="preserve">15</w:t>
      </w:r>
      <w:r>
        <w:t xml:space="preserve"> </w:t>
      </w:r>
      <w:r>
        <w:t xml:space="preserve">Wn.</w:t>
      </w:r>
      <w:r>
        <w:t xml:space="preserve"> </w:t>
      </w:r>
      <w:r>
        <w:t xml:space="preserve">App.</w:t>
      </w:r>
      <w:r>
        <w:t xml:space="preserve"> </w:t>
      </w:r>
      <w:r>
        <w:t xml:space="preserve">2d</w:t>
      </w:r>
      <w:r>
        <w:t xml:space="preserve"> </w:t>
      </w:r>
      <w:r>
        <w:t xml:space="preserve">569,</w:t>
      </w:r>
      <w:r>
        <w:t xml:space="preserve"> </w:t>
      </w:r>
      <w:r>
        <w:t xml:space="preserve">476</w:t>
      </w:r>
      <w:r>
        <w:t xml:space="preserve"> </w:t>
      </w:r>
      <w:r>
        <w:t xml:space="preserve">P.3d</w:t>
      </w:r>
      <w:r>
        <w:t xml:space="preserve"> </w:t>
      </w:r>
      <w:r>
        <w:t xml:space="preserve">645</w:t>
      </w:r>
      <w:r>
        <w:t xml:space="preserve"> </w:t>
      </w:r>
      <w:r>
        <w:t xml:space="preserve">(2020),</w:t>
      </w:r>
      <w:r>
        <w:t xml:space="preserve"> </w:t>
      </w:r>
      <w:r>
        <w:rPr>
          <w:i/>
          <w:iCs/>
        </w:rPr>
        <w:t xml:space="preserve">review</w:t>
      </w:r>
      <w:r>
        <w:rPr>
          <w:i/>
          <w:iCs/>
        </w:rPr>
        <w:t xml:space="preserve"> </w:t>
      </w:r>
      <w:r>
        <w:rPr>
          <w:i/>
          <w:iCs/>
        </w:rPr>
        <w:t xml:space="preserve">denied</w:t>
      </w:r>
      <w:r>
        <w:rPr>
          <w:i/>
          <w:iCs/>
        </w:rPr>
        <w:t xml:space="preserve"> </w:t>
      </w:r>
      <w:r>
        <w:rPr>
          <w:i/>
          <w:iCs/>
        </w:rPr>
        <w:t xml:space="preserve">sub</w:t>
      </w:r>
      <w:r>
        <w:rPr>
          <w:i/>
          <w:iCs/>
        </w:rPr>
        <w:t xml:space="preserve"> </w:t>
      </w:r>
      <w:r>
        <w:rPr>
          <w:i/>
          <w:iCs/>
        </w:rPr>
        <w:t xml:space="preserve">nom.</w:t>
      </w:r>
      <w:r>
        <w:t xml:space="preserve">,</w:t>
      </w:r>
      <w:r>
        <w:t xml:space="preserve"> </w:t>
      </w:r>
      <w:r>
        <w:t xml:space="preserve">197</w:t>
      </w:r>
      <w:r>
        <w:t xml:space="preserve"> </w:t>
      </w:r>
      <w:r>
        <w:t xml:space="preserve">Wn.2d</w:t>
      </w:r>
      <w:r>
        <w:t xml:space="preserve"> </w:t>
      </w:r>
      <w:r>
        <w:t xml:space="preserve">1005,</w:t>
      </w:r>
      <w:r>
        <w:t xml:space="preserve"> </w:t>
      </w:r>
      <w:r>
        <w:t xml:space="preserve">483</w:t>
      </w:r>
      <w:r>
        <w:t xml:space="preserve"> </w:t>
      </w:r>
      <w:r>
        <w:t xml:space="preserve">P.3d</w:t>
      </w:r>
      <w:r>
        <w:t xml:space="preserve"> </w:t>
      </w:r>
      <w:r>
        <w:t xml:space="preserve">779</w:t>
      </w:r>
      <w:r>
        <w:t xml:space="preserve"> </w:t>
      </w:r>
      <w:r>
        <w:t xml:space="preserve">(2021)</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Pinneo</w:t>
      </w:r>
      <w:r>
        <w:rPr>
          <w:i/>
          <w:iCs/>
        </w:rPr>
        <w:t xml:space="preserve"> </w:t>
      </w:r>
      <w:r>
        <w:rPr>
          <w:i/>
          <w:iCs/>
        </w:rPr>
        <w:t xml:space="preserve">v.</w:t>
      </w:r>
      <w:r>
        <w:rPr>
          <w:i/>
          <w:iCs/>
        </w:rPr>
        <w:t xml:space="preserve"> </w:t>
      </w:r>
      <w:r>
        <w:rPr>
          <w:i/>
          <w:iCs/>
        </w:rPr>
        <w:t xml:space="preserve">Stevens</w:t>
      </w:r>
      <w:r>
        <w:rPr>
          <w:i/>
          <w:iCs/>
        </w:rPr>
        <w:t xml:space="preserve"> </w:t>
      </w:r>
      <w:r>
        <w:rPr>
          <w:i/>
          <w:iCs/>
        </w:rPr>
        <w:t xml:space="preserve">Pass,</w:t>
      </w:r>
      <w:r>
        <w:rPr>
          <w:i/>
          <w:iCs/>
        </w:rPr>
        <w:t xml:space="preserve"> </w:t>
      </w:r>
      <w:r>
        <w:rPr>
          <w:i/>
          <w:iCs/>
        </w:rPr>
        <w:t xml:space="preserve">Inc.</w:t>
      </w:r>
      <w:r>
        <w:t xml:space="preserve">,</w:t>
      </w:r>
      <w:r>
        <w:t xml:space="preserve"> </w:t>
      </w:r>
      <w:r>
        <w:t xml:space="preserve">14</w:t>
      </w:r>
      <w:r>
        <w:t xml:space="preserve"> </w:t>
      </w:r>
      <w:r>
        <w:t xml:space="preserve">Wn.</w:t>
      </w:r>
      <w:r>
        <w:t xml:space="preserve"> </w:t>
      </w:r>
      <w:r>
        <w:t xml:space="preserve">App.</w:t>
      </w:r>
      <w:r>
        <w:t xml:space="preserve"> </w:t>
      </w:r>
      <w:r>
        <w:t xml:space="preserve">848,</w:t>
      </w:r>
      <w:r>
        <w:t xml:space="preserve"> </w:t>
      </w:r>
      <w:r>
        <w:t xml:space="preserve">545</w:t>
      </w:r>
      <w:r>
        <w:t xml:space="preserve"> </w:t>
      </w:r>
      <w:r>
        <w:t xml:space="preserve">P.2d</w:t>
      </w:r>
      <w:r>
        <w:t xml:space="preserve"> </w:t>
      </w:r>
      <w:r>
        <w:t xml:space="preserve">1207</w:t>
      </w:r>
      <w:r>
        <w:t xml:space="preserve"> </w:t>
      </w:r>
      <w:r>
        <w:t xml:space="preserve">(1976)</w:t>
      </w:r>
      <w:r>
        <w:t xml:space="preserve">   </w:t>
      </w:r>
      <w:r>
        <w:tab/>
      </w:r>
      <w:r>
        <w:t xml:space="preserve">21</w:t>
      </w:r>
    </w:p>
    <w:p>
      <w:pPr>
        <w:keepLines/>
        <w:tabs>
          <w:tab w:val="right" w:leader="dot" w:pos="7200"/>
        </w:tabs>
        <w:spacing w:before="252" w:after="0" w:line="322" w:lineRule="exact"/>
        <w:ind w:left="420" w:right="1120" w:hanging="420"/>
      </w:pPr>
      <w:r>
        <w:rPr>
          <w:i/>
          <w:iCs/>
        </w:rPr>
        <w:t xml:space="preserve">Puente</w:t>
      </w:r>
      <w:r>
        <w:rPr>
          <w:i/>
          <w:iCs/>
        </w:rPr>
        <w:t xml:space="preserve"> </w:t>
      </w:r>
      <w:r>
        <w:rPr>
          <w:i/>
          <w:iCs/>
        </w:rPr>
        <w:t xml:space="preserve">v.</w:t>
      </w:r>
      <w:r>
        <w:rPr>
          <w:i/>
          <w:iCs/>
        </w:rPr>
        <w:t xml:space="preserve"> </w:t>
      </w:r>
      <w:r>
        <w:rPr>
          <w:i/>
          <w:iCs/>
        </w:rPr>
        <w:t xml:space="preserve">Resources</w:t>
      </w:r>
      <w:r>
        <w:rPr>
          <w:i/>
          <w:iCs/>
        </w:rPr>
        <w:t xml:space="preserve"> </w:t>
      </w:r>
      <w:r>
        <w:rPr>
          <w:i/>
          <w:iCs/>
        </w:rPr>
        <w:t xml:space="preserve">Conservation</w:t>
      </w:r>
      <w:r>
        <w:rPr>
          <w:i/>
          <w:iCs/>
        </w:rPr>
        <w:t xml:space="preserve"> </w:t>
      </w:r>
      <w:r>
        <w:rPr>
          <w:i/>
          <w:iCs/>
        </w:rPr>
        <w:t xml:space="preserve">Co.</w:t>
      </w:r>
      <w:r>
        <w:rPr>
          <w:i/>
          <w:iCs/>
        </w:rPr>
        <w:t xml:space="preserve"> </w:t>
      </w:r>
      <w:r>
        <w:rPr>
          <w:i/>
          <w:iCs/>
        </w:rPr>
        <w:t xml:space="preserve">Int’l</w:t>
      </w:r>
      <w:r>
        <w:t xml:space="preserve">,</w:t>
      </w:r>
      <w:r>
        <w:t xml:space="preserve"> </w:t>
      </w:r>
      <w:r>
        <w:t xml:space="preserve">5</w:t>
      </w:r>
      <w:r>
        <w:t xml:space="preserve"> </w:t>
      </w:r>
      <w:r>
        <w:t xml:space="preserve">Wn.</w:t>
      </w:r>
      <w:r>
        <w:t xml:space="preserve"> </w:t>
      </w:r>
      <w:r>
        <w:t xml:space="preserve">App.</w:t>
      </w:r>
      <w:r>
        <w:t xml:space="preserve"> </w:t>
      </w:r>
      <w:r>
        <w:t xml:space="preserve">2d</w:t>
      </w:r>
      <w:r>
        <w:t xml:space="preserve"> </w:t>
      </w:r>
      <w:r>
        <w:t xml:space="preserve">800,</w:t>
      </w:r>
      <w:r>
        <w:t xml:space="preserve"> </w:t>
      </w:r>
      <w:r>
        <w:t xml:space="preserve">428</w:t>
      </w:r>
      <w:r>
        <w:t xml:space="preserve"> </w:t>
      </w:r>
      <w:r>
        <w:t xml:space="preserve">P.3d</w:t>
      </w:r>
      <w:r>
        <w:t xml:space="preserve"> </w:t>
      </w:r>
      <w:r>
        <w:t xml:space="preserve">415</w:t>
      </w:r>
      <w:r>
        <w:t xml:space="preserve"> </w:t>
      </w:r>
      <w:r>
        <w:t xml:space="preserve">(2018),</w:t>
      </w:r>
      <w:r>
        <w:t xml:space="preserve"> </w:t>
      </w:r>
      <w:r>
        <w:rPr>
          <w:i/>
          <w:iCs/>
        </w:rPr>
        <w:t xml:space="preserve">review</w:t>
      </w:r>
      <w:r>
        <w:rPr>
          <w:i/>
          <w:iCs/>
        </w:rPr>
        <w:t xml:space="preserve"> </w:t>
      </w:r>
      <w:r>
        <w:rPr>
          <w:i/>
          <w:iCs/>
        </w:rPr>
        <w:t xml:space="preserve">denied</w:t>
      </w:r>
      <w:r>
        <w:t xml:space="preserve">,</w:t>
      </w:r>
      <w:r>
        <w:t xml:space="preserve"> </w:t>
      </w:r>
      <w:r>
        <w:t xml:space="preserve">192</w:t>
      </w:r>
      <w:r>
        <w:t xml:space="preserve"> </w:t>
      </w:r>
      <w:r>
        <w:t xml:space="preserve">Wn.2d</w:t>
      </w:r>
      <w:r>
        <w:t xml:space="preserve"> </w:t>
      </w:r>
      <w:r>
        <w:t xml:space="preserve">1021,</w:t>
      </w:r>
      <w:r>
        <w:t xml:space="preserve"> </w:t>
      </w:r>
      <w:r>
        <w:t xml:space="preserve">433</w:t>
      </w:r>
      <w:r>
        <w:t xml:space="preserve"> </w:t>
      </w:r>
      <w:r>
        <w:t xml:space="preserve">P.3d</w:t>
      </w:r>
      <w:r>
        <w:t xml:space="preserve"> </w:t>
      </w:r>
      <w:r>
        <w:t xml:space="preserve">817</w:t>
      </w:r>
      <w:r>
        <w:t xml:space="preserve"> </w:t>
      </w:r>
      <w:r>
        <w:t xml:space="preserve">(2019)</w:t>
      </w:r>
      <w:r>
        <w:t xml:space="preserve">   </w:t>
      </w:r>
      <w:r>
        <w:tab/>
      </w:r>
      <w:r>
        <w:t xml:space="preserve">6, 7, 23</w:t>
      </w:r>
    </w:p>
    <w:p>
      <w:pPr>
        <w:keepLines/>
        <w:tabs>
          <w:tab w:val="right" w:leader="dot" w:pos="7200"/>
        </w:tabs>
        <w:spacing w:before="252" w:after="0" w:line="322" w:lineRule="exact"/>
        <w:ind w:left="420" w:right="1120" w:hanging="420"/>
      </w:pPr>
      <w:r>
        <w:rPr>
          <w:i/>
          <w:iCs/>
        </w:rPr>
        <w:t xml:space="preserve">Puget</w:t>
      </w:r>
      <w:r>
        <w:rPr>
          <w:i/>
          <w:iCs/>
        </w:rPr>
        <w:t xml:space="preserve"> </w:t>
      </w:r>
      <w:r>
        <w:rPr>
          <w:i/>
          <w:iCs/>
        </w:rPr>
        <w:t xml:space="preserve">Sound</w:t>
      </w:r>
      <w:r>
        <w:rPr>
          <w:i/>
          <w:iCs/>
        </w:rPr>
        <w:t xml:space="preserve"> </w:t>
      </w:r>
      <w:r>
        <w:rPr>
          <w:i/>
          <w:iCs/>
        </w:rPr>
        <w:t xml:space="preserve">Energy,</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Pilchuck</w:t>
      </w:r>
      <w:r>
        <w:rPr>
          <w:i/>
          <w:iCs/>
        </w:rPr>
        <w:t xml:space="preserve"> </w:t>
      </w:r>
      <w:r>
        <w:rPr>
          <w:i/>
          <w:iCs/>
        </w:rPr>
        <w:t xml:space="preserve">Contractors,</w:t>
      </w:r>
      <w:r>
        <w:rPr>
          <w:i/>
          <w:iCs/>
        </w:rPr>
        <w:t xml:space="preserve"> </w:t>
      </w:r>
      <w:r>
        <w:rPr>
          <w:i/>
          <w:iCs/>
        </w:rPr>
        <w:t xml:space="preserve">Inc.</w:t>
      </w:r>
      <w:r>
        <w:t xml:space="preserve">,</w:t>
      </w:r>
      <w:r>
        <w:t xml:space="preserve"> </w:t>
      </w:r>
      <w:r>
        <w:t xml:space="preserve">15</w:t>
      </w:r>
      <w:r>
        <w:t xml:space="preserve"> </w:t>
      </w:r>
      <w:r>
        <w:t xml:space="preserve">Wn.</w:t>
      </w:r>
      <w:r>
        <w:t xml:space="preserve"> </w:t>
      </w:r>
      <w:r>
        <w:t xml:space="preserve">App.</w:t>
      </w:r>
      <w:r>
        <w:t xml:space="preserve"> </w:t>
      </w:r>
      <w:r>
        <w:t xml:space="preserve">2d</w:t>
      </w:r>
      <w:r>
        <w:t xml:space="preserve"> </w:t>
      </w:r>
      <w:r>
        <w:t xml:space="preserve">1004</w:t>
      </w:r>
      <w:r>
        <w:t xml:space="preserve"> </w:t>
      </w:r>
      <w:r>
        <w:t xml:space="preserve">(2020)</w:t>
      </w:r>
      <w:r>
        <w:t xml:space="preserve"> </w:t>
      </w:r>
      <w:r>
        <w:t xml:space="preserve">(unpublished),</w:t>
      </w:r>
      <w:r>
        <w:t xml:space="preserve"> </w:t>
      </w:r>
      <w:r>
        <w:rPr>
          <w:i/>
          <w:iCs/>
        </w:rPr>
        <w:t xml:space="preserve">review</w:t>
      </w:r>
      <w:r>
        <w:rPr>
          <w:i/>
          <w:iCs/>
        </w:rPr>
        <w:t xml:space="preserve"> </w:t>
      </w:r>
      <w:r>
        <w:rPr>
          <w:i/>
          <w:iCs/>
        </w:rPr>
        <w:t xml:space="preserve">denied</w:t>
      </w:r>
      <w:r>
        <w:t xml:space="preserve">,</w:t>
      </w:r>
      <w:r>
        <w:t xml:space="preserve"> </w:t>
      </w:r>
      <w:r>
        <w:t xml:space="preserve">196</w:t>
      </w:r>
      <w:r>
        <w:t xml:space="preserve"> </w:t>
      </w:r>
      <w:r>
        <w:t xml:space="preserve">Wn.2d</w:t>
      </w:r>
      <w:r>
        <w:t xml:space="preserve"> </w:t>
      </w:r>
      <w:r>
        <w:t xml:space="preserve">1046,</w:t>
      </w:r>
      <w:r>
        <w:t xml:space="preserve"> </w:t>
      </w:r>
      <w:r>
        <w:t xml:space="preserve">481</w:t>
      </w:r>
      <w:r>
        <w:t xml:space="preserve"> </w:t>
      </w:r>
      <w:r>
        <w:t xml:space="preserve">P.3d</w:t>
      </w:r>
      <w:r>
        <w:t xml:space="preserve"> </w:t>
      </w:r>
      <w:r>
        <w:t xml:space="preserve">1060</w:t>
      </w:r>
      <w:r>
        <w:t xml:space="preserve"> </w:t>
      </w:r>
      <w:r>
        <w:t xml:space="preserve">(2021)</w:t>
      </w:r>
      <w:r>
        <w:t xml:space="preserve">   </w:t>
      </w:r>
      <w:r>
        <w:tab/>
      </w:r>
      <w:r>
        <w:t xml:space="preserve">21</w:t>
      </w:r>
    </w:p>
    <w:p>
      <w:pPr>
        <w:keepLines/>
        <w:tabs>
          <w:tab w:val="right" w:leader="dot" w:pos="7200"/>
        </w:tabs>
        <w:spacing w:before="252" w:after="0" w:line="322" w:lineRule="exact"/>
        <w:ind w:left="420" w:right="1120" w:hanging="420"/>
      </w:pPr>
      <w:r>
        <w:rPr>
          <w:i/>
          <w:iCs/>
        </w:rPr>
        <w:t xml:space="preserve">Smith</w:t>
      </w:r>
      <w:r>
        <w:rPr>
          <w:i/>
          <w:iCs/>
        </w:rPr>
        <w:t xml:space="preserve"> </w:t>
      </w:r>
      <w:r>
        <w:rPr>
          <w:i/>
          <w:iCs/>
        </w:rPr>
        <w:t xml:space="preserve">v.</w:t>
      </w:r>
      <w:r>
        <w:rPr>
          <w:i/>
          <w:iCs/>
        </w:rPr>
        <w:t xml:space="preserve"> </w:t>
      </w:r>
      <w:r>
        <w:rPr>
          <w:i/>
          <w:iCs/>
        </w:rPr>
        <w:t xml:space="preserve">Showalter</w:t>
      </w:r>
      <w:r>
        <w:t xml:space="preserve">,</w:t>
      </w:r>
      <w:r>
        <w:t xml:space="preserve"> </w:t>
      </w:r>
      <w:r>
        <w:t xml:space="preserve">47</w:t>
      </w:r>
      <w:r>
        <w:t xml:space="preserve"> </w:t>
      </w:r>
      <w:r>
        <w:t xml:space="preserve">Wn.</w:t>
      </w:r>
      <w:r>
        <w:t xml:space="preserve"> </w:t>
      </w:r>
      <w:r>
        <w:t xml:space="preserve">App.</w:t>
      </w:r>
      <w:r>
        <w:t xml:space="preserve"> </w:t>
      </w:r>
      <w:r>
        <w:t xml:space="preserve">245,</w:t>
      </w:r>
      <w:r>
        <w:t xml:space="preserve"> </w:t>
      </w:r>
      <w:r>
        <w:t xml:space="preserve">734</w:t>
      </w:r>
      <w:r>
        <w:t xml:space="preserve"> </w:t>
      </w:r>
      <w:r>
        <w:t xml:space="preserve">P.2d</w:t>
      </w:r>
      <w:r>
        <w:t xml:space="preserve"> </w:t>
      </w:r>
      <w:r>
        <w:t xml:space="preserve">928</w:t>
      </w:r>
      <w:r>
        <w:t xml:space="preserve"> </w:t>
      </w:r>
      <w:r>
        <w:t xml:space="preserve">(1987)</w:t>
      </w:r>
      <w:r>
        <w:t xml:space="preserve">   </w:t>
      </w:r>
      <w:r>
        <w:tab/>
      </w:r>
      <w:r>
        <w:t xml:space="preserve">21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J.P.</w:t>
      </w:r>
      <w:r>
        <w:t xml:space="preserve">,</w:t>
      </w:r>
      <w:r>
        <w:t xml:space="preserve"> </w:t>
      </w:r>
      <w:r>
        <w:t xml:space="preserve">149</w:t>
      </w:r>
      <w:r>
        <w:t xml:space="preserve"> </w:t>
      </w:r>
      <w:r>
        <w:t xml:space="preserve">Wn.2d</w:t>
      </w:r>
      <w:r>
        <w:t xml:space="preserve"> </w:t>
      </w:r>
      <w:r>
        <w:t xml:space="preserve">444,</w:t>
      </w:r>
      <w:r>
        <w:t xml:space="preserve"> </w:t>
      </w:r>
      <w:r>
        <w:t xml:space="preserve">69</w:t>
      </w:r>
      <w:r>
        <w:t xml:space="preserve"> </w:t>
      </w:r>
      <w:r>
        <w:t xml:space="preserve">P.3d</w:t>
      </w:r>
      <w:r>
        <w:t xml:space="preserve"> </w:t>
      </w:r>
      <w:r>
        <w:t xml:space="preserve">318</w:t>
      </w:r>
      <w:r>
        <w:t xml:space="preserve"> </w:t>
      </w:r>
      <w:r>
        <w:t xml:space="preserve">(2003)</w:t>
      </w:r>
      <w:r>
        <w:t xml:space="preserve">   </w:t>
      </w:r>
      <w:r>
        <w:tab/>
      </w:r>
      <w:r>
        <w:t xml:space="preserve">22</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Thomas</w:t>
      </w:r>
      <w:r>
        <w:t xml:space="preserve">,</w:t>
      </w:r>
      <w:r>
        <w:t xml:space="preserve"> </w:t>
      </w:r>
      <w:r>
        <w:t xml:space="preserve">123</w:t>
      </w:r>
      <w:r>
        <w:t xml:space="preserve"> </w:t>
      </w:r>
      <w:r>
        <w:t xml:space="preserve">Wn.</w:t>
      </w:r>
      <w:r>
        <w:t xml:space="preserve"> </w:t>
      </w:r>
      <w:r>
        <w:t xml:space="preserve">App.</w:t>
      </w:r>
      <w:r>
        <w:t xml:space="preserve"> </w:t>
      </w:r>
      <w:r>
        <w:t xml:space="preserve">771,</w:t>
      </w:r>
      <w:r>
        <w:t xml:space="preserve"> </w:t>
      </w:r>
      <w:r>
        <w:t xml:space="preserve">98</w:t>
      </w:r>
      <w:r>
        <w:t xml:space="preserve"> </w:t>
      </w:r>
      <w:r>
        <w:t xml:space="preserve">P.3d</w:t>
      </w:r>
      <w:r>
        <w:t xml:space="preserve"> </w:t>
      </w:r>
      <w:r>
        <w:t xml:space="preserve">1258</w:t>
      </w:r>
      <w:r>
        <w:t xml:space="preserve"> </w:t>
      </w:r>
      <w:r>
        <w:t xml:space="preserve">(2004)</w:t>
      </w:r>
      <w:r>
        <w:t xml:space="preserve">   </w:t>
      </w:r>
      <w:r>
        <w:tab/>
      </w:r>
      <w:r>
        <w:t xml:space="preserve">27</w:t>
      </w:r>
    </w:p>
    <w:p>
      <w:pPr>
        <w:keepLines/>
        <w:tabs>
          <w:tab w:val="right" w:leader="dot" w:pos="7200"/>
        </w:tabs>
        <w:spacing w:before="252" w:after="0" w:line="322" w:lineRule="exact"/>
        <w:ind w:left="420" w:right="1120" w:hanging="420"/>
      </w:pPr>
      <w:r>
        <w:rPr>
          <w:i/>
          <w:iCs/>
        </w:rPr>
        <w:t xml:space="preserve">Washburn</w:t>
      </w:r>
      <w:r>
        <w:rPr>
          <w:i/>
          <w:iCs/>
        </w:rPr>
        <w:t xml:space="preserve"> </w:t>
      </w:r>
      <w:r>
        <w:rPr>
          <w:i/>
          <w:iCs/>
        </w:rPr>
        <w:t xml:space="preserve">v.</w:t>
      </w:r>
      <w:r>
        <w:rPr>
          <w:i/>
          <w:iCs/>
        </w:rPr>
        <w:t xml:space="preserve"> </w:t>
      </w:r>
      <w:r>
        <w:rPr>
          <w:i/>
          <w:iCs/>
        </w:rPr>
        <w:t xml:space="preserve">Beatt</w:t>
      </w:r>
      <w:r>
        <w:rPr>
          <w:i/>
          <w:iCs/>
        </w:rPr>
        <w:t xml:space="preserve"> </w:t>
      </w:r>
      <w:r>
        <w:rPr>
          <w:i/>
          <w:iCs/>
        </w:rPr>
        <w:t xml:space="preserve">Equip.</w:t>
      </w:r>
      <w:r>
        <w:rPr>
          <w:i/>
          <w:iCs/>
        </w:rPr>
        <w:t xml:space="preserve"> </w:t>
      </w:r>
      <w:r>
        <w:rPr>
          <w:i/>
          <w:iCs/>
        </w:rPr>
        <w:t xml:space="preserve">Co.</w:t>
      </w:r>
      <w:r>
        <w:t xml:space="preserve">,</w:t>
      </w:r>
      <w:r>
        <w:t xml:space="preserve"> </w:t>
      </w:r>
      <w:r>
        <w:t xml:space="preserve">120</w:t>
      </w:r>
      <w:r>
        <w:t xml:space="preserve"> </w:t>
      </w:r>
      <w:r>
        <w:t xml:space="preserve">Wn.2d</w:t>
      </w:r>
      <w:r>
        <w:t xml:space="preserve"> </w:t>
      </w:r>
      <w:r>
        <w:t xml:space="preserve">246,</w:t>
      </w:r>
      <w:r>
        <w:t xml:space="preserve"> </w:t>
      </w:r>
      <w:r>
        <w:t xml:space="preserve">840</w:t>
      </w:r>
      <w:r>
        <w:t xml:space="preserve"> </w:t>
      </w:r>
      <w:r>
        <w:t xml:space="preserve">P.2d</w:t>
      </w:r>
      <w:r>
        <w:t xml:space="preserve"> </w:t>
      </w:r>
      <w:r>
        <w:t xml:space="preserve">860</w:t>
      </w:r>
      <w:r>
        <w:t xml:space="preserve"> </w:t>
      </w:r>
      <w:r>
        <w:t xml:space="preserve">(1992)</w:t>
      </w:r>
      <w:r>
        <w:t xml:space="preserve">   </w:t>
      </w:r>
      <w:r>
        <w:tab/>
      </w:r>
      <w:r>
        <w:t xml:space="preserve">16</w:t>
      </w:r>
    </w:p>
    <w:p>
      <w:pPr>
        <w:keepLines/>
        <w:tabs>
          <w:tab w:val="right" w:leader="dot" w:pos="7200"/>
        </w:tabs>
        <w:spacing w:before="252" w:after="0" w:line="322" w:lineRule="exact"/>
        <w:ind w:left="420" w:right="1120" w:hanging="420"/>
      </w:pPr>
      <w:r>
        <w:rPr>
          <w:i/>
          <w:iCs/>
        </w:rPr>
        <w:t xml:space="preserve">Welch</w:t>
      </w:r>
      <w:r>
        <w:rPr>
          <w:i/>
          <w:iCs/>
        </w:rPr>
        <w:t xml:space="preserve"> </w:t>
      </w:r>
      <w:r>
        <w:rPr>
          <w:i/>
          <w:iCs/>
        </w:rPr>
        <w:t xml:space="preserve">v.</w:t>
      </w:r>
      <w:r>
        <w:rPr>
          <w:i/>
          <w:iCs/>
        </w:rPr>
        <w:t xml:space="preserve"> </w:t>
      </w:r>
      <w:r>
        <w:rPr>
          <w:i/>
          <w:iCs/>
        </w:rPr>
        <w:t xml:space="preserve">Brand</w:t>
      </w:r>
      <w:r>
        <w:rPr>
          <w:i/>
          <w:iCs/>
        </w:rPr>
        <w:t xml:space="preserve"> </w:t>
      </w:r>
      <w:r>
        <w:rPr>
          <w:i/>
          <w:iCs/>
        </w:rPr>
        <w:t xml:space="preserve">Insulations,</w:t>
      </w:r>
      <w:r>
        <w:rPr>
          <w:i/>
          <w:iCs/>
        </w:rPr>
        <w:t xml:space="preserve"> </w:t>
      </w:r>
      <w:r>
        <w:rPr>
          <w:i/>
          <w:iCs/>
        </w:rPr>
        <w:t xml:space="preserve">Inc.</w:t>
      </w:r>
      <w:r>
        <w:t xml:space="preserve">,</w:t>
      </w:r>
      <w:r>
        <w:t xml:space="preserve"> </w:t>
      </w:r>
      <w:r>
        <w:t xml:space="preserve">27</w:t>
      </w:r>
      <w:r>
        <w:t xml:space="preserve"> </w:t>
      </w:r>
      <w:r>
        <w:t xml:space="preserve">Wn.</w:t>
      </w:r>
      <w:r>
        <w:t xml:space="preserve"> </w:t>
      </w:r>
      <w:r>
        <w:t xml:space="preserve">App.</w:t>
      </w:r>
      <w:r>
        <w:t xml:space="preserve"> </w:t>
      </w:r>
      <w:r>
        <w:t xml:space="preserve">2d</w:t>
      </w:r>
      <w:r>
        <w:t xml:space="preserve"> </w:t>
      </w:r>
      <w:r>
        <w:t xml:space="preserve">110,</w:t>
      </w:r>
      <w:r>
        <w:t xml:space="preserve"> </w:t>
      </w:r>
      <w:r>
        <w:t xml:space="preserve">531</w:t>
      </w:r>
      <w:r>
        <w:t xml:space="preserve"> </w:t>
      </w:r>
      <w:r>
        <w:t xml:space="preserve">P.3d</w:t>
      </w:r>
      <w:r>
        <w:t xml:space="preserve"> </w:t>
      </w:r>
      <w:r>
        <w:t xml:space="preserve">265</w:t>
      </w:r>
      <w:r>
        <w:t xml:space="preserve"> </w:t>
      </w:r>
      <w:r>
        <w:t xml:space="preserve">(2023)</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Yakima</w:t>
      </w:r>
      <w:r>
        <w:rPr>
          <w:i/>
          <w:iCs/>
        </w:rPr>
        <w:t xml:space="preserve"> </w:t>
      </w:r>
      <w:r>
        <w:rPr>
          <w:i/>
          <w:iCs/>
        </w:rPr>
        <w:t xml:space="preserve">Fruit</w:t>
      </w:r>
      <w:r>
        <w:rPr>
          <w:i/>
          <w:iCs/>
        </w:rPr>
        <w:t xml:space="preserve"> </w:t>
      </w:r>
      <w:r>
        <w:rPr>
          <w:i/>
          <w:iCs/>
        </w:rPr>
        <w:t xml:space="preserve">&amp;</w:t>
      </w:r>
      <w:r>
        <w:rPr>
          <w:i/>
          <w:iCs/>
        </w:rPr>
        <w:t xml:space="preserve"> </w:t>
      </w:r>
      <w:r>
        <w:rPr>
          <w:i/>
          <w:iCs/>
        </w:rPr>
        <w:t xml:space="preserve">Cold</w:t>
      </w:r>
      <w:r>
        <w:rPr>
          <w:i/>
          <w:iCs/>
        </w:rPr>
        <w:t xml:space="preserve"> </w:t>
      </w:r>
      <w:r>
        <w:rPr>
          <w:i/>
          <w:iCs/>
        </w:rPr>
        <w:t xml:space="preserve">Storage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Central</w:t>
      </w:r>
      <w:r>
        <w:rPr>
          <w:i/>
          <w:iCs/>
        </w:rPr>
        <w:t xml:space="preserve"> </w:t>
      </w:r>
      <w:r>
        <w:rPr>
          <w:i/>
          <w:iCs/>
        </w:rPr>
        <w:t xml:space="preserve">Heating</w:t>
      </w:r>
      <w:r>
        <w:rPr>
          <w:i/>
          <w:iCs/>
        </w:rPr>
        <w:t xml:space="preserve"> </w:t>
      </w:r>
      <w:r>
        <w:rPr>
          <w:i/>
          <w:iCs/>
        </w:rPr>
        <w:t xml:space="preserve">&amp;</w:t>
      </w:r>
      <w:r>
        <w:rPr>
          <w:i/>
          <w:iCs/>
        </w:rPr>
        <w:t xml:space="preserve"> </w:t>
      </w:r>
      <w:r>
        <w:rPr>
          <w:i/>
          <w:iCs/>
        </w:rPr>
        <w:t xml:space="preserve">Plumbing</w:t>
      </w:r>
      <w:r>
        <w:rPr>
          <w:i/>
          <w:iCs/>
        </w:rPr>
        <w:t xml:space="preserve"> </w:t>
      </w:r>
      <w:r>
        <w:rPr>
          <w:i/>
          <w:iCs/>
        </w:rPr>
        <w:t xml:space="preserve">Co.</w:t>
      </w:r>
      <w:r>
        <w:t xml:space="preserve">,</w:t>
      </w:r>
      <w:r>
        <w:t xml:space="preserve"> </w:t>
      </w:r>
      <w:r>
        <w:t xml:space="preserve">81</w:t>
      </w:r>
      <w:r>
        <w:t xml:space="preserve"> </w:t>
      </w:r>
      <w:r>
        <w:t xml:space="preserve">Wn.2d</w:t>
      </w:r>
      <w:r>
        <w:t xml:space="preserve"> </w:t>
      </w:r>
      <w:r>
        <w:t xml:space="preserve">528,</w:t>
      </w:r>
      <w:r>
        <w:t xml:space="preserve"> </w:t>
      </w:r>
      <w:r>
        <w:t xml:space="preserve">503</w:t>
      </w:r>
      <w:r>
        <w:t xml:space="preserve"> </w:t>
      </w:r>
      <w:r>
        <w:t xml:space="preserve">P.2d</w:t>
      </w:r>
      <w:r>
        <w:t xml:space="preserve"> </w:t>
      </w:r>
      <w:r>
        <w:t xml:space="preserve">108</w:t>
      </w:r>
      <w:r>
        <w:t xml:space="preserve"> </w:t>
      </w:r>
      <w:r>
        <w:t xml:space="preserve">(1972)</w:t>
      </w:r>
      <w:r>
        <w:t xml:space="preserve">   </w:t>
      </w:r>
      <w:r>
        <w:tab/>
      </w:r>
      <w:r>
        <w:t xml:space="preserve">21</w:t>
      </w:r>
    </w:p>
    <w:p>
      <w:pPr>
        <w:keepNext/>
        <w:keepLines/>
        <w:spacing w:before="336" w:after="224"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7200"/>
        </w:tabs>
        <w:spacing w:before="252" w:after="0" w:line="322" w:lineRule="exact"/>
        <w:ind w:left="420" w:right="1120" w:hanging="420"/>
      </w:pPr>
      <w:r>
        <w:rPr>
          <w:i/>
          <w:iCs/>
        </w:rPr>
        <w:t xml:space="preserve">Wash.</w:t>
      </w:r>
      <w:r>
        <w:rPr>
          <w:i/>
          <w:iCs/>
        </w:rPr>
        <w:t xml:space="preserve"> </w:t>
      </w:r>
      <w:r>
        <w:rPr>
          <w:i/>
          <w:iCs/>
        </w:rPr>
        <w:t xml:space="preserve">Nat.</w:t>
      </w:r>
      <w:r>
        <w:rPr>
          <w:i/>
          <w:iCs/>
        </w:rPr>
        <w:t xml:space="preserve"> </w:t>
      </w:r>
      <w:r>
        <w:rPr>
          <w:i/>
          <w:iCs/>
        </w:rPr>
        <w:t xml:space="preserve">Gas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Tyee</w:t>
      </w:r>
      <w:r>
        <w:rPr>
          <w:i/>
          <w:iCs/>
        </w:rPr>
        <w:t xml:space="preserve"> </w:t>
      </w:r>
      <w:r>
        <w:rPr>
          <w:i/>
          <w:iCs/>
        </w:rPr>
        <w:t xml:space="preserve">Const.</w:t>
      </w:r>
      <w:r>
        <w:rPr>
          <w:i/>
          <w:iCs/>
        </w:rPr>
        <w:t xml:space="preserve"> </w:t>
      </w:r>
      <w:r>
        <w:rPr>
          <w:i/>
          <w:iCs/>
        </w:rPr>
        <w:t xml:space="preserve">Co.</w:t>
      </w:r>
      <w:r>
        <w:t xml:space="preserve">,</w:t>
      </w:r>
      <w:r>
        <w:t xml:space="preserve"> </w:t>
      </w:r>
      <w:r>
        <w:t xml:space="preserve">26</w:t>
      </w:r>
      <w:r>
        <w:t xml:space="preserve"> </w:t>
      </w:r>
      <w:r>
        <w:t xml:space="preserve">Wn.</w:t>
      </w:r>
      <w:r>
        <w:t xml:space="preserve"> </w:t>
      </w:r>
      <w:r>
        <w:t xml:space="preserve">App.</w:t>
      </w:r>
      <w:r>
        <w:t xml:space="preserve"> </w:t>
      </w:r>
      <w:r>
        <w:t xml:space="preserve">235,</w:t>
      </w:r>
      <w:r>
        <w:t xml:space="preserve"> </w:t>
      </w:r>
      <w:r>
        <w:t xml:space="preserve">611</w:t>
      </w:r>
      <w:r>
        <w:t xml:space="preserve"> </w:t>
      </w:r>
      <w:r>
        <w:t xml:space="preserve">P.2d</w:t>
      </w:r>
      <w:r>
        <w:t xml:space="preserve"> </w:t>
      </w:r>
      <w:r>
        <w:t xml:space="preserve">1378</w:t>
      </w:r>
      <w:r>
        <w:t xml:space="preserve"> </w:t>
      </w:r>
      <w:r>
        <w:t xml:space="preserve">(1980)</w:t>
      </w:r>
      <w:r>
        <w:t xml:space="preserve">   </w:t>
      </w:r>
      <w:r>
        <w:tab/>
      </w:r>
      <w:r>
        <w:t xml:space="preserve">21</w:t>
      </w:r>
    </w:p>
    <w:p>
      <w:pPr>
        <w:keepNext/>
        <w:keepLines/>
        <w:spacing w:before="336" w:after="224" w:line="322" w:lineRule="exact"/>
        <w:ind w:left="0" w:firstLine="0"/>
        <w:jc w:val="left"/>
      </w:pPr>
      <w:r>
        <w:rPr>
          <w:b/>
          <w:bCs/>
        </w:rPr>
        <w:t xml:space="preserve">Statutes</w:t>
      </w:r>
    </w:p>
    <w:p>
      <w:pPr>
        <w:keepLines/>
        <w:tabs>
          <w:tab w:val="right" w:leader="dot" w:pos="7200"/>
        </w:tabs>
        <w:spacing w:before="252" w:after="0" w:line="322" w:lineRule="exact"/>
        <w:ind w:left="420" w:right="1260" w:hanging="420"/>
      </w:pPr>
      <w:r>
        <w:t xml:space="preserve">RCW</w:t>
      </w:r>
      <w:r>
        <w:t xml:space="preserve"> </w:t>
      </w:r>
      <w:r>
        <w:t xml:space="preserve">4.16.300</w:t>
      </w:r>
      <w:r>
        <w:t xml:space="preserve"> </w:t>
      </w:r>
      <w:r>
        <w:t xml:space="preserve">(1967)</w:t>
      </w:r>
      <w:r>
        <w:t xml:space="preserve">   </w:t>
      </w:r>
      <w:r>
        <w:tab/>
      </w:r>
      <w:r>
        <w:t xml:space="preserve">1, 4, 16, 30</w:t>
      </w:r>
    </w:p>
    <w:p>
      <w:pPr>
        <w:keepLines/>
        <w:tabs>
          <w:tab w:val="right" w:leader="dot" w:pos="7200"/>
        </w:tabs>
        <w:spacing w:before="252" w:after="0" w:line="322" w:lineRule="exact"/>
        <w:ind w:left="420" w:right="1120" w:hanging="420"/>
      </w:pPr>
      <w:r>
        <w:t xml:space="preserve">RCW</w:t>
      </w:r>
      <w:r>
        <w:t xml:space="preserve"> </w:t>
      </w:r>
      <w:r>
        <w:t xml:space="preserve">4.16.310</w:t>
      </w:r>
      <w:r>
        <w:t xml:space="preserve"> </w:t>
      </w:r>
      <w:r>
        <w:t xml:space="preserve">(1967)</w:t>
      </w:r>
      <w:r>
        <w:t xml:space="preserve">   </w:t>
      </w:r>
      <w:r>
        <w:tab/>
      </w:r>
      <w:r>
        <w:t xml:space="preserve">4, 16</w:t>
      </w:r>
    </w:p>
    <w:p>
      <w:pPr>
        <w:keepNext/>
        <w:keepLines/>
        <w:spacing w:before="336" w:after="224" w:line="322" w:lineRule="exact"/>
        <w:ind w:left="0" w:firstLine="0"/>
        <w:jc w:val="left"/>
      </w:pPr>
      <w:r>
        <w:rPr>
          <w:b/>
          <w:bCs/>
        </w:rPr>
        <w:t xml:space="preserve">Rules</w:t>
      </w:r>
    </w:p>
    <w:p>
      <w:pPr>
        <w:keepLines/>
        <w:tabs>
          <w:tab w:val="right" w:leader="dot" w:pos="7200"/>
        </w:tabs>
        <w:spacing w:before="252" w:after="0" w:line="322" w:lineRule="exact"/>
        <w:ind w:left="420" w:right="1120" w:hanging="420"/>
      </w:pPr>
      <w:r>
        <w:t xml:space="preserve">CR</w:t>
      </w:r>
      <w:r>
        <w:t xml:space="preserve"> </w:t>
      </w:r>
      <w:r>
        <w:t xml:space="preserve">54</w:t>
      </w:r>
      <w:r>
        <w:t xml:space="preserve">   </w:t>
      </w:r>
      <w:r>
        <w:tab/>
      </w:r>
      <w:r>
        <w:t xml:space="preserve">11</w:t>
      </w:r>
    </w:p>
    <w:p>
      <w:pPr>
        <w:keepLines/>
        <w:tabs>
          <w:tab w:val="right" w:leader="dot" w:pos="7200"/>
        </w:tabs>
        <w:spacing w:before="252" w:after="0" w:line="322" w:lineRule="exact"/>
        <w:ind w:left="420" w:right="1120" w:hanging="420"/>
      </w:pPr>
      <w:r>
        <w:t xml:space="preserve">CR</w:t>
      </w:r>
      <w:r>
        <w:t xml:space="preserve"> </w:t>
      </w:r>
      <w:r>
        <w:t xml:space="preserve">60</w:t>
      </w:r>
      <w:r>
        <w:t xml:space="preserve">   </w:t>
      </w:r>
      <w:r>
        <w:tab/>
      </w:r>
      <w:r>
        <w:t xml:space="preserve">11</w:t>
      </w:r>
    </w:p>
    <w:p>
      <w:pPr>
        <w:keepLines/>
        <w:tabs>
          <w:tab w:val="right" w:leader="dot" w:pos="7200"/>
        </w:tabs>
        <w:spacing w:before="252" w:after="0" w:line="322" w:lineRule="exact"/>
        <w:ind w:left="420" w:right="1120" w:hanging="420"/>
      </w:pPr>
      <w:r>
        <w:t xml:space="preserve">RAP</w:t>
      </w:r>
      <w:r>
        <w:t xml:space="preserve"> </w:t>
      </w:r>
      <w:r>
        <w:t xml:space="preserve">2.3(b)⁠(1)</w:t>
      </w:r>
      <w:r>
        <w:t xml:space="preserve">   </w:t>
      </w:r>
      <w:r>
        <w:tab/>
      </w:r>
      <w:r>
        <w:t xml:space="preserve">15, 30, 31</w:t>
      </w:r>
    </w:p>
    <w:p>
      <w:pPr>
        <w:keepLines/>
        <w:tabs>
          <w:tab w:val="right" w:leader="dot" w:pos="7200"/>
        </w:tabs>
        <w:spacing w:before="252" w:after="0" w:line="322" w:lineRule="exact"/>
        <w:ind w:left="420" w:right="1120" w:hanging="420"/>
      </w:pPr>
      <w:r>
        <w:t xml:space="preserve">RAP</w:t>
      </w:r>
      <w:r>
        <w:t xml:space="preserve"> </w:t>
      </w:r>
      <w:r>
        <w:t xml:space="preserve">4.2(a)⁠(3)</w:t>
      </w:r>
      <w:r>
        <w:t xml:space="preserve">   </w:t>
      </w:r>
      <w:r>
        <w:tab/>
      </w:r>
      <w:r>
        <w:t xml:space="preserve">15, 31</w:t>
      </w:r>
    </w:p>
    <w:p>
      <w:pPr>
        <w:keepLines/>
        <w:tabs>
          <w:tab w:val="right" w:leader="dot" w:pos="7200"/>
        </w:tabs>
        <w:spacing w:before="252" w:after="0" w:line="322" w:lineRule="exact"/>
        <w:ind w:left="420" w:right="1120" w:hanging="420"/>
      </w:pPr>
      <w:r>
        <w:t xml:space="preserve">ER</w:t>
      </w:r>
      <w:r>
        <w:t xml:space="preserve"> </w:t>
      </w:r>
      <w:r>
        <w:t xml:space="preserve">402</w:t>
      </w:r>
      <w:r>
        <w:t xml:space="preserve">   </w:t>
      </w:r>
      <w:r>
        <w:tab/>
      </w:r>
      <w:r>
        <w:t xml:space="preserve">30</w:t>
      </w:r>
    </w:p>
    <w:p>
      <w:pPr>
        <w:keepLines/>
        <w:tabs>
          <w:tab w:val="right" w:leader="dot" w:pos="7200"/>
        </w:tabs>
        <w:spacing w:before="252" w:after="0" w:line="322" w:lineRule="exact"/>
        <w:ind w:left="420" w:right="1120" w:hanging="420"/>
      </w:pPr>
      <w:r>
        <w:t xml:space="preserve">ER</w:t>
      </w:r>
      <w:r>
        <w:t xml:space="preserve"> </w:t>
      </w:r>
      <w:r>
        <w:t xml:space="preserve">701</w:t>
      </w:r>
      <w:r>
        <w:t xml:space="preserve">   </w:t>
      </w:r>
      <w:r>
        <w:tab/>
      </w:r>
      <w:r>
        <w:t xml:space="preserve">28</w:t>
      </w:r>
    </w:p>
    <w:p>
      <w:pPr>
        <w:keepLines/>
        <w:tabs>
          <w:tab w:val="right" w:leader="dot" w:pos="7200"/>
        </w:tabs>
        <w:spacing w:before="252" w:after="0" w:line="322" w:lineRule="exact"/>
        <w:ind w:left="420" w:right="1120" w:hanging="420"/>
      </w:pPr>
      <w:r>
        <w:t xml:space="preserve">ER</w:t>
      </w:r>
      <w:r>
        <w:t xml:space="preserve"> </w:t>
      </w:r>
      <w:r>
        <w:t xml:space="preserve">702</w:t>
      </w:r>
      <w:r>
        <w:t xml:space="preserve">   </w:t>
      </w:r>
      <w:r>
        <w:tab/>
      </w:r>
      <w:r>
        <w:t xml:space="preserve">27</w:t>
      </w:r>
    </w:p>
    <w:p>
      <w:pPr>
        <w:keepNext/>
        <w:keepLines/>
        <w:spacing w:before="336" w:after="224"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7200"/>
        </w:tabs>
        <w:spacing w:before="252" w:after="0" w:line="322" w:lineRule="exact"/>
        <w:ind w:left="420" w:right="1120" w:hanging="420"/>
      </w:pPr>
      <w:r>
        <w:rPr>
          <w:i/>
          <w:iCs/>
        </w:rPr>
        <w:t xml:space="preserve">Black’s</w:t>
      </w:r>
      <w:r>
        <w:rPr>
          <w:i/>
          <w:iCs/>
        </w:rPr>
        <w:t xml:space="preserve"> </w:t>
      </w:r>
      <w:r>
        <w:rPr>
          <w:i/>
          <w:iCs/>
        </w:rPr>
        <w:t xml:space="preserve">Law</w:t>
      </w:r>
      <w:r>
        <w:rPr>
          <w:i/>
          <w:iCs/>
        </w:rPr>
        <w:t xml:space="preserve"> </w:t>
      </w:r>
      <w:r>
        <w:rPr>
          <w:i/>
          <w:iCs/>
        </w:rPr>
        <w:t xml:space="preserve">Dictionary</w:t>
      </w:r>
      <w:r>
        <w:t xml:space="preserve"> </w:t>
      </w:r>
      <w:r>
        <w:t xml:space="preserve">1559</w:t>
      </w:r>
      <w:r>
        <w:t xml:space="preserve"> </w:t>
      </w:r>
      <w:r>
        <w:t xml:space="preserve">(9th</w:t>
      </w:r>
      <w:r>
        <w:t xml:space="preserve"> </w:t>
      </w:r>
      <w:r>
        <w:t xml:space="preserve">ed.</w:t>
      </w:r>
      <w:r>
        <w:t xml:space="preserve"> </w:t>
      </w:r>
      <w:r>
        <w:t xml:space="preserve">2009)</w:t>
      </w:r>
      <w:r>
        <w:t xml:space="preserve">   </w:t>
      </w:r>
      <w:r>
        <w:tab/>
      </w:r>
      <w:r>
        <w:t xml:space="preserve">22</w:t>
      </w:r>
    </w:p>
    <w:p>
      <w:pPr>
        <w:spacing w:before="0" w:after="0" w:line="1" w:lineRule="exact"/>
        <w:sectPr>
          <w:footerReference w:type="default" r:id="rIdXdPage"/>
          <w:pgSz w:w="12240" w:h="15840"/>
          <w:pgMar w:top="2160" w:right="2160" w:bottom="2304" w:left="2880" w:header="720" w:footer="1291" w:gutter="0"/>
          <w:pgNumType w:fmt="lowerRoman" w:start="1"/>
        </w:sectPr>
      </w:pPr>
    </w:p>
    <w:p>
      <w:pPr>
        <w:keepNext/>
        <w:keepLines/>
        <w:spacing w:before="0" w:after="336" w:line="322" w:lineRule="exact"/>
        <w:ind w:left="0" w:firstLine="0"/>
        <w:jc w:val="center"/>
      </w:pPr>
      <w:r>
        <w:rPr>
          <w:b/>
          <w:bCs/>
        </w:rPr>
        <w:t xml:space="preserve">I.</w:t>
      </w:r>
      <w:r>
        <w:rPr>
          <w:b/>
          <w:bCs/>
        </w:rPr>
        <w:t xml:space="preserve"> </w:t>
      </w:r>
      <w:r>
        <w:rPr>
          <w:b/>
          <w:bCs/>
        </w:rPr>
        <w:t xml:space="preserve">IDENTITY</w:t>
      </w:r>
      <w:r>
        <w:rPr>
          <w:b/>
          <w:bCs/>
        </w:rPr>
        <w:t xml:space="preserve"> </w:t>
      </w:r>
      <w:r>
        <w:rPr>
          <w:b/>
          <w:bCs/>
        </w:rPr>
        <w:t xml:space="preserve">OF</w:t>
      </w:r>
      <w:r>
        <w:rPr>
          <w:b/>
          <w:bCs/>
        </w:rPr>
        <w:t xml:space="preserve"> </w:t>
      </w:r>
      <w:r>
        <w:rPr>
          <w:b/>
          <w:bCs/>
        </w:rPr>
        <w:t xml:space="preserve">PETITIONER</w:t>
      </w:r>
    </w:p>
    <w:p>
      <w:pPr>
        <w:pStyle w:val="BodyText"/>
      </w:pPr>
      <w:r>
        <w:t xml:space="preserve">The Petitioner is Brand Insulation, Inc. (“Brand”). Brand is the sole remaining defendant in this case that is currently pending in King County Superior Court; Cause No. 21</w:t>
      </w:r>
      <w:r>
        <w:noBreakHyphen/>
      </w:r>
      <w:r>
        <w:t xml:space="preserve">2</w:t>
      </w:r>
      <w:r>
        <w:noBreakHyphen/>
      </w:r>
      <w:r>
        <w:t xml:space="preserve">16496- 6 SEA. The trial date is May 6, 2024.</w:t>
      </w:r>
    </w:p>
    <w:p>
      <w:pPr>
        <w:keepNext/>
        <w:keepLines/>
        <w:spacing w:before="448" w:after="336" w:line="322" w:lineRule="exact"/>
        <w:ind w:left="0" w:firstLine="0"/>
        <w:jc w:val="center"/>
      </w:pPr>
      <w:r>
        <w:rPr>
          <w:b/>
          <w:bCs/>
        </w:rPr>
        <w:t xml:space="preserve">II.</w:t>
      </w:r>
      <w:r>
        <w:rPr>
          <w:b/>
          <w:bCs/>
        </w:rPr>
        <w:t xml:space="preserve"> </w:t>
      </w:r>
      <w:r>
        <w:rPr>
          <w:b/>
          <w:bCs/>
        </w:rPr>
        <w:t xml:space="preserve">DECISION</w:t>
      </w:r>
      <w:r>
        <w:rPr>
          <w:b/>
          <w:bCs/>
        </w:rPr>
        <w:t xml:space="preserve"> </w:t>
      </w:r>
      <w:r>
        <w:rPr>
          <w:b/>
          <w:bCs/>
        </w:rPr>
        <w:t xml:space="preserve">SOUGHT</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REVIEWED</w:t>
      </w:r>
    </w:p>
    <w:p>
      <w:pPr>
        <w:pStyle w:val="BodyText"/>
      </w:pPr>
      <w:r>
        <w:t xml:space="preserve">Brand seeks review of the Superior Court’s January 2, 2024 order granting Plaintiff’s Motion for Relief from a prior April 4, 2023 summary judgment order dismissing Brand and denying Brand’s Motion for Summary Judgment. Appendix to Motion for Discretionary Review (“Appx.”) 1624</w:t>
      </w:r>
      <w:r>
        <w:noBreakHyphen/>
      </w:r>
      <w:r>
        <w:t xml:space="preserve">1628.</w:t>
      </w:r>
    </w:p>
    <w:p>
      <w:pPr>
        <w:keepNext/>
        <w:keepLines/>
        <w:spacing w:before="448" w:after="336" w:line="322" w:lineRule="exact"/>
        <w:ind w:left="0" w:firstLine="0"/>
        <w:jc w:val="center"/>
      </w:pPr>
      <w:r>
        <w:rPr>
          <w:b/>
          <w:bCs/>
        </w:rPr>
        <w:t xml:space="preserve">III.</w:t>
      </w:r>
      <w:r>
        <w:rPr>
          <w:b/>
          <w:bCs/>
        </w:rPr>
        <w:t xml:space="preserve"> </w:t>
      </w:r>
      <w:r>
        <w:rPr>
          <w:b/>
          <w:bCs/>
        </w:rPr>
        <w:t xml:space="preserve">ISSUE</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Does the Washington Statute of Repose, RCW 4.16.300</w:t>
      </w:r>
      <w:r>
        <w:t xml:space="preserve">-.310 (“statute of repose”) bar causes of action against a contractor (Brand) arising out of it having contributed to the construction of an improvement upon real property (the ARCO Cherry Point petroleum refinery) when the cause of action was initiated decades after expiration of the six-year claim accrual period imposed by the statute?</w:t>
      </w:r>
    </w:p>
    <w:p>
      <w:pPr>
        <w:keepNext/>
        <w:keepLines/>
        <w:spacing w:before="448" w:after="336" w:line="322" w:lineRule="exact"/>
        <w:ind w:left="0" w:firstLine="0"/>
        <w:jc w:val="center"/>
      </w:pPr>
      <w:r>
        <w:rPr>
          <w:b/>
          <w:bCs/>
        </w:rPr>
        <w:t xml:space="preserve">IV.</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A.</w:t>
      </w:r>
      <w:r>
        <w:rPr>
          <w:b/>
          <w:bCs/>
        </w:rPr>
        <w:t xml:space="preserve"> </w:t>
      </w:r>
      <w:r>
        <w:rPr>
          <w:b/>
          <w:bCs/>
        </w:rPr>
        <w:t xml:space="preserve">Plaintiff’s</w:t>
      </w:r>
      <w:r>
        <w:rPr>
          <w:b/>
          <w:bCs/>
        </w:rPr>
        <w:t xml:space="preserve"> </w:t>
      </w:r>
      <w:r>
        <w:rPr>
          <w:b/>
          <w:bCs/>
        </w:rPr>
        <w:t xml:space="preserve">allegations</w:t>
      </w:r>
      <w:r>
        <w:rPr>
          <w:b/>
          <w:bCs/>
        </w:rPr>
        <w:t xml:space="preserve"> </w:t>
      </w:r>
      <w:r>
        <w:rPr>
          <w:b/>
          <w:bCs/>
        </w:rPr>
        <w:t xml:space="preserve">pertaining</w:t>
      </w:r>
      <w:r>
        <w:rPr>
          <w:b/>
          <w:bCs/>
        </w:rPr>
        <w:t xml:space="preserve"> </w:t>
      </w:r>
      <w:r>
        <w:rPr>
          <w:b/>
          <w:bCs/>
        </w:rPr>
        <w:t xml:space="preserve">to</w:t>
      </w:r>
      <w:r>
        <w:rPr>
          <w:b/>
          <w:bCs/>
        </w:rPr>
        <w:t xml:space="preserve"> </w:t>
      </w:r>
      <w:r>
        <w:rPr>
          <w:b/>
          <w:bCs/>
        </w:rPr>
        <w:t xml:space="preserve">Brand.</w:t>
      </w:r>
    </w:p>
    <w:p>
      <w:pPr>
        <w:pStyle w:val="BodyText"/>
      </w:pPr>
      <w:r>
        <w:t xml:space="preserve">Brand was one of forty-eight defendants in this lawsuit involving product liability/​negligence claims, wherein Plaintiff alleged Mr. Hetterly was exposed to asbestos and asbestos-containing products at various jobsites during his career. Appx. 1</w:t>
      </w:r>
      <w:r>
        <w:noBreakHyphen/>
      </w:r>
      <w:r>
        <w:t xml:space="preserve">23. Mr. Hetterly developed mesothelioma and is now deceased. Appx. 1548.</w:t>
      </w:r>
    </w:p>
    <w:p>
      <w:pPr>
        <w:pStyle w:val="BodyText"/>
      </w:pPr>
      <w:r>
        <w:t xml:space="preserve">Brand’s involvement in this case is limited to Mr. Hetterly’s employment with Atlantic Richfield Company (“ARCO”) at its Cherry Point refinery between 1971 and 1983. Appx. 110</w:t>
      </w:r>
      <w:r>
        <w:noBreakHyphen/>
      </w:r>
      <w:r>
        <w:t xml:space="preserve">120. He claims he was exposed to asbestos fibers from Brand’s construction work installing thermal insulation at the facility, and that Brand was negligent and liable for his asbestos-related disease. Appx. 1</w:t>
      </w:r>
      <w:r>
        <w:noBreakHyphen/>
      </w:r>
      <w:r>
        <w:t xml:space="preserve">23, 110</w:t>
      </w:r>
      <w:r>
        <w:noBreakHyphen/>
      </w:r>
      <w:r>
        <w:t xml:space="preserve">120. Brand denies these claims. Appx. 36</w:t>
      </w:r>
      <w:r>
        <w:noBreakHyphen/>
      </w:r>
      <w:r>
        <w:t xml:space="preserve">47.</w:t>
      </w:r>
    </w:p>
    <w:p>
      <w:pPr>
        <w:pStyle w:val="BodyText"/>
      </w:pPr>
      <w:r>
        <w:t xml:space="preserve">ARCO contracted with Parsons Government Services, Inc. (“Parsons”) to serve as design/​build general contractor for the construction of the refinery in 1968. Appx. 121</w:t>
      </w:r>
      <w:r>
        <w:noBreakHyphen/>
      </w:r>
      <w:r>
        <w:t xml:space="preserve">199. Brand was the primary insulation subcontractor to Parsons on the project. Appx. 200</w:t>
      </w:r>
      <w:r>
        <w:noBreakHyphen/>
      </w:r>
      <w:r>
        <w:t xml:space="preserve">258; 880</w:t>
      </w:r>
      <w:r>
        <w:noBreakHyphen/>
      </w:r>
      <w:r>
        <w:t xml:space="preserve">1213. Brand’s charge was to furnish labor, labor supervision and materials incidental to the installation of thermal insulation on various refinery components and piping pursuant to Parsons’s specifications.</w:t>
      </w:r>
      <w:r>
        <w:t xml:space="preserve"> </w:t>
      </w:r>
      <w:r>
        <w:rPr>
          <w:i/>
          <w:iCs/>
        </w:rPr>
        <w:t xml:space="preserve">Id.</w:t>
      </w:r>
      <w:r>
        <w:t xml:space="preserve"> </w:t>
      </w:r>
      <w:r>
        <w:t xml:space="preserve">Brand began its construction activities shortly after executing the contract and completed its work on the ARCO refinery in 1972. Appx. 259- 264.</w:t>
      </w:r>
    </w:p>
    <w:p>
      <w:pPr>
        <w:keepNext/>
        <w:keepLines/>
        <w:spacing w:before="336" w:after="224" w:line="322" w:lineRule="exact"/>
        <w:ind w:left="720" w:hanging="720"/>
        <w:jc w:val="left"/>
      </w:pPr>
      <w:r>
        <w:rPr>
          <w:b/>
          <w:bCs/>
        </w:rPr>
        <w:t xml:space="preserve">B.</w:t>
      </w:r>
      <w:r>
        <w:rPr>
          <w:b/>
          <w:bCs/>
        </w:rPr>
        <w:t xml:space="preserve"> </w:t>
      </w:r>
      <w:r>
        <w:rPr>
          <w:b/>
          <w:bCs/>
        </w:rPr>
        <w:t xml:space="preserve">Respondent’s</w:t>
      </w:r>
      <w:r>
        <w:rPr>
          <w:b/>
          <w:bCs/>
        </w:rPr>
        <w:t xml:space="preserve"> </w:t>
      </w:r>
      <w:r>
        <w:rPr>
          <w:b/>
          <w:bCs/>
        </w:rPr>
        <w:t xml:space="preserve">claims</w:t>
      </w:r>
      <w:r>
        <w:rPr>
          <w:b/>
          <w:bCs/>
        </w:rPr>
        <w:t xml:space="preserve"> </w:t>
      </w:r>
      <w:r>
        <w:rPr>
          <w:b/>
          <w:bCs/>
        </w:rPr>
        <w:t xml:space="preserve">against</w:t>
      </w:r>
      <w:r>
        <w:rPr>
          <w:b/>
          <w:bCs/>
        </w:rPr>
        <w:t xml:space="preserve"> </w:t>
      </w:r>
      <w:r>
        <w:rPr>
          <w:b/>
          <w:bCs/>
        </w:rPr>
        <w:t xml:space="preserve">Brand</w:t>
      </w:r>
      <w:r>
        <w:rPr>
          <w:b/>
          <w:bCs/>
        </w:rPr>
        <w:t xml:space="preserve"> </w:t>
      </w:r>
      <w:r>
        <w:rPr>
          <w:b/>
          <w:bCs/>
        </w:rPr>
        <w:t xml:space="preserve">were</w:t>
      </w:r>
      <w:r>
        <w:rPr>
          <w:b/>
          <w:bCs/>
        </w:rPr>
        <w:t xml:space="preserve"> </w:t>
      </w:r>
      <w:r>
        <w:rPr>
          <w:b/>
          <w:bCs/>
        </w:rPr>
        <w:t xml:space="preserve">correctly</w:t>
      </w:r>
      <w:r>
        <w:rPr>
          <w:b/>
          <w:bCs/>
        </w:rPr>
        <w:t xml:space="preserve"> </w:t>
      </w:r>
      <w:r>
        <w:rPr>
          <w:b/>
          <w:bCs/>
        </w:rPr>
        <w:t xml:space="preserve">dismissed</w:t>
      </w:r>
      <w:r>
        <w:rPr>
          <w:b/>
          <w:bCs/>
        </w:rPr>
        <w:t xml:space="preserve"> </w:t>
      </w:r>
      <w:r>
        <w:rPr>
          <w:b/>
          <w:bCs/>
        </w:rPr>
        <w:t xml:space="preserve">in</w:t>
      </w:r>
      <w:r>
        <w:rPr>
          <w:b/>
          <w:bCs/>
        </w:rPr>
        <w:t xml:space="preserve"> </w:t>
      </w:r>
      <w:r>
        <w:rPr>
          <w:b/>
          <w:bCs/>
        </w:rPr>
        <w:t xml:space="preserve">April</w:t>
      </w:r>
      <w:r>
        <w:rPr>
          <w:b/>
          <w:bCs/>
        </w:rPr>
        <w:t xml:space="preserve"> </w:t>
      </w:r>
      <w:r>
        <w:rPr>
          <w:b/>
          <w:bCs/>
        </w:rPr>
        <w:t xml:space="preserve">2023.</w:t>
      </w:r>
    </w:p>
    <w:p>
      <w:pPr>
        <w:pStyle w:val="BodyText"/>
      </w:pPr>
      <w:r>
        <w:t xml:space="preserve">Brand asserted an affirmative defense based upon Washington’s Construction Statute of Response, RCW 4.16.300</w:t>
      </w:r>
      <w:r>
        <w:t xml:space="preserve">-.310 and filed a summary judgment motion. Appx. 41, 53</w:t>
      </w:r>
      <w:r>
        <w:noBreakHyphen/>
      </w:r>
      <w:r>
        <w:t xml:space="preserve">337. Brand argued that Respondent’s cause of action arose from Brand having constructed an improvement upon real property (the ARCO Cherry Point refinery); Brand’s work completed by 1972; and Respondent’s claim against Brand accrued decades after the six-year period imposed by RCW 4.16.310</w:t>
      </w:r>
      <w:r>
        <w:t xml:space="preserve"> </w:t>
      </w:r>
      <w:r>
        <w:t xml:space="preserve">for such claims. They were, therefore, time-barred.</w:t>
      </w:r>
    </w:p>
    <w:p>
      <w:pPr>
        <w:pStyle w:val="BodyTextNote"/>
      </w:pPr>
      <w:r>
        <w:t xml:space="preserve">Brand relied upon a Court of Appeals, Division Two decision that examined the same legal question and substantially similar factual record concerning Brand’s construction activities at the refinery.</w:t>
      </w:r>
      <w:r>
        <w:t xml:space="preserve"> </w:t>
      </w:r>
      <w:r>
        <w:rPr>
          <w:i/>
          <w:iCs/>
        </w:rPr>
        <w:t xml:space="preserve">Maxwell</w:t>
      </w:r>
      <w:r>
        <w:rPr>
          <w:i/>
          <w:iCs/>
        </w:rPr>
        <w:t xml:space="preserve"> </w:t>
      </w:r>
      <w:r>
        <w:rPr>
          <w:i/>
          <w:iCs/>
        </w:rPr>
        <w:t xml:space="preserve">v. Atl. Richfield Co.</w:t>
      </w:r>
      <w:r>
        <w:t xml:space="preserve">, 15 Wn.App.2d 569, 476 P.3d 645 (2020),</w:t>
      </w:r>
      <w:r>
        <w:t xml:space="preserve"> </w:t>
      </w:r>
      <w:r>
        <w:rPr>
          <w:i/>
          <w:iCs/>
        </w:rPr>
        <w:t xml:space="preserve">review denied sub nom.</w:t>
      </w:r>
      <w:r>
        <w:t xml:space="preserve"> </w:t>
      </w:r>
      <w:r>
        <w:rPr>
          <w:i/>
          <w:iCs/>
        </w:rPr>
        <w:t xml:space="preserve">Maxwell</w:t>
      </w:r>
      <w:r>
        <w:rPr>
          <w:i/>
          <w:iCs/>
        </w:rPr>
        <w:t xml:space="preserve"> </w:t>
      </w:r>
      <w:r>
        <w:rPr>
          <w:i/>
          <w:iCs/>
        </w:rPr>
        <w:t xml:space="preserve">v. Brand</w:t>
      </w:r>
      <w:r>
        <w:t xml:space="preserve"> </w:t>
      </w:r>
      <w:r>
        <w:rPr>
          <w:i/>
          <w:iCs/>
        </w:rPr>
        <w:t xml:space="preserve">Insulations, Inc.</w:t>
      </w:r>
      <w:r>
        <w:t xml:space="preserve">, 197 Wn.2d 1005, 483 P.3d 779 (2021).</w:t>
      </w:r>
      <w:r>
        <w:rPr>
          <w:rStyle w:val="FootnoteReference"/>
        </w:rPr>
        <w:footnoteReference w:id="9"/>
      </w:r>
    </w:p>
    <w:p>
      <w:pPr>
        <w:pStyle w:val="BodyTextNote"/>
      </w:pPr>
      <w:r>
        <w:t xml:space="preserve">In</w:t>
      </w:r>
      <w:r>
        <w:t xml:space="preserve"> </w:t>
      </w:r>
      <w:r>
        <w:rPr>
          <w:i/>
          <w:iCs/>
        </w:rPr>
        <w:t xml:space="preserve">Maxwell</w:t>
      </w:r>
      <w:r>
        <w:t xml:space="preserve">, Plaintiff sued Brand (and others, including Parsons) in 2018 alleging that he had been exposed to asbestos-containing insulation installed by Brand in 1971</w:t>
      </w:r>
      <w:r>
        <w:noBreakHyphen/>
      </w:r>
      <w:r>
        <w:t xml:space="preserve">1972 during the construction of the ARCO Cherry Point refinery.</w:t>
      </w:r>
      <w:r>
        <w:t xml:space="preserve"> </w:t>
      </w:r>
      <w:r>
        <w:rPr>
          <w:i/>
          <w:iCs/>
        </w:rPr>
        <w:t xml:space="preserve">Maxwell</w:t>
      </w:r>
      <w:r>
        <w:t xml:space="preserve">, 15 Wn.App.2d at 573</w:t>
      </w:r>
      <w:r>
        <w:noBreakHyphen/>
      </w:r>
      <w:r>
        <w:t xml:space="preserve">574. The trial court dismissed Brown’s claims against Brand at summary judgment based on the statute of repose. Plaintiff appealed.</w:t>
      </w:r>
      <w:r>
        <w:t xml:space="preserve"> </w:t>
      </w:r>
      <w:r>
        <w:rPr>
          <w:i/>
          <w:iCs/>
        </w:rPr>
        <w:t xml:space="preserve">Id.</w:t>
      </w:r>
      <w:r>
        <w:t xml:space="preserve"> </w:t>
      </w:r>
      <w:r>
        <w:t xml:space="preserve">at 574. The</w:t>
      </w:r>
      <w:r>
        <w:t xml:space="preserve"> </w:t>
      </w:r>
      <w:r>
        <w:rPr>
          <w:i/>
          <w:iCs/>
        </w:rPr>
        <w:t xml:space="preserve">Maxwell</w:t>
      </w:r>
      <w:r>
        <w:t xml:space="preserve"> </w:t>
      </w:r>
      <w:r>
        <w:t xml:space="preserve">court examined the issue under the lens of prior precedent, including the 1984 Supreme Court decision</w:t>
      </w:r>
      <w:r>
        <w:t xml:space="preserve"> </w:t>
      </w:r>
      <w:r>
        <w:rPr>
          <w:i/>
          <w:iCs/>
        </w:rPr>
        <w:t xml:space="preserve">Condit</w:t>
      </w:r>
      <w:r>
        <w:rPr>
          <w:i/>
          <w:iCs/>
        </w:rPr>
        <w:t xml:space="preserve"> </w:t>
      </w:r>
      <w:r>
        <w:rPr>
          <w:i/>
          <w:iCs/>
        </w:rPr>
        <w:t xml:space="preserve">v. Lewis Refrigeration</w:t>
      </w:r>
      <w:r>
        <w:t xml:space="preserve"> </w:t>
      </w:r>
      <w:r>
        <w:rPr>
          <w:i/>
          <w:iCs/>
        </w:rPr>
        <w:t xml:space="preserve">Co.</w:t>
      </w:r>
      <w:r>
        <w:t xml:space="preserve">, 101 Wn.2d 106, 676 P.2d 466 (1984).</w:t>
      </w:r>
      <w:r>
        <w:rPr>
          <w:rStyle w:val="FootnoteReference"/>
        </w:rPr>
        <w:footnoteReference w:id="10"/>
      </w:r>
      <w:r>
        <w:t xml:space="preserve"> </w:t>
      </w:r>
      <w:r>
        <w:rPr>
          <w:i/>
          <w:iCs/>
        </w:rPr>
        <w:t xml:space="preserve">Id.</w:t>
      </w:r>
      <w:r>
        <w:t xml:space="preserve"> </w:t>
      </w:r>
      <w:r>
        <w:t xml:space="preserve">at 578</w:t>
      </w:r>
      <w:r>
        <w:noBreakHyphen/>
      </w:r>
      <w:r>
        <w:t xml:space="preserve">579. In</w:t>
      </w:r>
      <w:r>
        <w:t xml:space="preserve"> </w:t>
      </w:r>
      <w:r>
        <w:rPr>
          <w:i/>
          <w:iCs/>
        </w:rPr>
        <w:t xml:space="preserve">Condit</w:t>
      </w:r>
      <w:r>
        <w:t xml:space="preserve">, this Court distinguished between “individuals whose activities relate to construction of the improvement” (covered by the statute) from “those who service or design items within the improvement” (not covered by the statute).</w:t>
      </w:r>
      <w:r>
        <w:t xml:space="preserve"> </w:t>
      </w:r>
      <w:r>
        <w:rPr>
          <w:i/>
          <w:iCs/>
        </w:rPr>
        <w:t xml:space="preserve">Condit</w:t>
      </w:r>
      <w:r>
        <w:t xml:space="preserve">, 101 Wn.2d at 110. Relying on a New Jersey case</w:t>
      </w:r>
      <w:r>
        <w:t xml:space="preserve"> </w:t>
      </w:r>
      <w:r>
        <w:rPr>
          <w:i/>
          <w:iCs/>
        </w:rPr>
        <w:t xml:space="preserve">Brown v. Jersey</w:t>
      </w:r>
      <w:r>
        <w:rPr>
          <w:i/>
          <w:iCs/>
        </w:rPr>
        <w:t xml:space="preserve"> </w:t>
      </w:r>
      <w:r>
        <w:rPr>
          <w:i/>
          <w:iCs/>
        </w:rPr>
        <w:t xml:space="preserve">Central</w:t>
      </w:r>
      <w:r>
        <w:t xml:space="preserve"> </w:t>
      </w:r>
      <w:r>
        <w:rPr>
          <w:i/>
          <w:iCs/>
        </w:rPr>
        <w:t xml:space="preserve">Power &amp; Light Co.,</w:t>
      </w:r>
      <w:r>
        <w:t xml:space="preserve"> </w:t>
      </w:r>
      <w:r>
        <w:t xml:space="preserve">163 N.J.Super. 179, 195, 394 A.2d 397 (1978), the</w:t>
      </w:r>
      <w:r>
        <w:t xml:space="preserve"> </w:t>
      </w:r>
      <w:r>
        <w:rPr>
          <w:i/>
          <w:iCs/>
        </w:rPr>
        <w:t xml:space="preserve">Condit</w:t>
      </w:r>
      <w:r>
        <w:t xml:space="preserve"> </w:t>
      </w:r>
      <w:r>
        <w:t xml:space="preserve">court adopted a test to determine whether the “improvement upon real estate” portion is satisfied based on its interpretation of the statute:</w:t>
      </w:r>
    </w:p>
    <w:p>
      <w:pPr>
        <w:pStyle w:val="XdQuoteOnly"/>
      </w:pPr>
      <w:r>
        <w:t xml:space="preserve">We believe our statute also should be so limited. The test suggested by the</w:t>
      </w:r>
      <w:r>
        <w:t xml:space="preserve"> </w:t>
      </w:r>
      <w:r>
        <w:rPr>
          <w:i/>
          <w:iCs/>
        </w:rPr>
        <w:t xml:space="preserve">Brown</w:t>
      </w:r>
      <w:r>
        <w:t xml:space="preserve"> </w:t>
      </w:r>
      <w:r>
        <w:t xml:space="preserve">court protects individuals who work on structural aspects of the building but not manufacturers of heavy equipment or nonintegral systems within the building. As we read the statute, this latter group was not intended to be protected.</w:t>
      </w:r>
    </w:p>
    <w:p>
      <w:pPr>
        <w:pStyle w:val="BodyText"/>
      </w:pPr>
      <w:r>
        <w:rPr>
          <w:i/>
          <w:iCs/>
        </w:rPr>
        <w:t xml:space="preserve">Condit</w:t>
      </w:r>
      <w:r>
        <w:t xml:space="preserve">, 101 Wn.2d at 111. (emphasis added).</w:t>
      </w:r>
    </w:p>
    <w:p>
      <w:pPr>
        <w:pStyle w:val="BodyText"/>
      </w:pPr>
      <w:r>
        <w:t xml:space="preserve">Concerning the “improvement upon real property” requirement, the Plaintiff had argued that questions of fact remained “as to whether Brand’s insulation work involved piping and machinery within the refinery structure rather than the refinery structure itself” relying on the</w:t>
      </w:r>
      <w:r>
        <w:t xml:space="preserve"> </w:t>
      </w:r>
      <w:r>
        <w:rPr>
          <w:i/>
          <w:iCs/>
        </w:rPr>
        <w:t xml:space="preserve">Condit</w:t>
      </w:r>
      <w:r>
        <w:t xml:space="preserve"> </w:t>
      </w:r>
      <w:r>
        <w:t xml:space="preserve">decision and a prior Division One decision</w:t>
      </w:r>
      <w:r>
        <w:t xml:space="preserve"> </w:t>
      </w:r>
      <w:r>
        <w:rPr>
          <w:i/>
          <w:iCs/>
        </w:rPr>
        <w:t xml:space="preserve">Puente</w:t>
      </w:r>
      <w:r>
        <w:rPr>
          <w:i/>
          <w:iCs/>
        </w:rPr>
        <w:t xml:space="preserve"> </w:t>
      </w:r>
      <w:r>
        <w:rPr>
          <w:i/>
          <w:iCs/>
        </w:rPr>
        <w:t xml:space="preserve">v. Resources Conservation</w:t>
      </w:r>
      <w:r>
        <w:t xml:space="preserve"> </w:t>
      </w:r>
      <w:r>
        <w:rPr>
          <w:i/>
          <w:iCs/>
        </w:rPr>
        <w:t xml:space="preserve">Co. Int’l</w:t>
      </w:r>
      <w:r>
        <w:t xml:space="preserve">, 5 Wn.App.2d 800, 428 P.3d 415 (2018),</w:t>
      </w:r>
      <w:r>
        <w:t xml:space="preserve"> </w:t>
      </w:r>
      <w:r>
        <w:rPr>
          <w:i/>
          <w:iCs/>
        </w:rPr>
        <w:t xml:space="preserve">review</w:t>
      </w:r>
      <w:r>
        <w:t xml:space="preserve"> </w:t>
      </w:r>
      <w:r>
        <w:rPr>
          <w:i/>
          <w:iCs/>
        </w:rPr>
        <w:t xml:space="preserve">denied</w:t>
      </w:r>
      <w:r>
        <w:t xml:space="preserve">, 192 Wn.2d 1021, 433 P.3d 817 (2019). The</w:t>
      </w:r>
      <w:r>
        <w:t xml:space="preserve"> </w:t>
      </w:r>
      <w:r>
        <w:rPr>
          <w:i/>
          <w:iCs/>
        </w:rPr>
        <w:t xml:space="preserve">Maxwell</w:t>
      </w:r>
      <w:r>
        <w:t xml:space="preserve"> </w:t>
      </w:r>
      <w:r>
        <w:t xml:space="preserve">Court correctly noted that</w:t>
      </w:r>
      <w:r>
        <w:t xml:space="preserve"> </w:t>
      </w:r>
      <w:r>
        <w:rPr>
          <w:i/>
          <w:iCs/>
        </w:rPr>
        <w:t xml:space="preserve">Condit</w:t>
      </w:r>
      <w:r>
        <w:t xml:space="preserve"> </w:t>
      </w:r>
      <w:r>
        <w:t xml:space="preserve">’s focus was on distinguishing “between persons who construct an improvement and persons who merely install systems that are located in the improvement”.</w:t>
      </w:r>
      <w:r>
        <w:t xml:space="preserve"> </w:t>
      </w:r>
      <w:r>
        <w:rPr>
          <w:i/>
          <w:iCs/>
        </w:rPr>
        <w:t xml:space="preserve">Maxwell</w:t>
      </w:r>
      <w:r>
        <w:t xml:space="preserve">, 15 Wn.App.2d at 585. It held:</w:t>
      </w:r>
    </w:p>
    <w:p>
      <w:pPr>
        <w:pStyle w:val="XdQuoteOnly"/>
      </w:pPr>
      <w:r>
        <w:t xml:space="preserve">Four undisputed facts support the conclusion that the Browns’ claims arose from Parsons and Brand having constructed an improvement upon real property: (1) the Cherry Point refinery was an improvement upon real property, (2) Parsons was retained as the general contractor to construct the entire refinery, (3) Parsons retained Brand as a subcontractor to assist in the construction of the refinery, and (4) the Browns’ claim arose from Brand’s construction work on the refinery.</w:t>
      </w:r>
    </w:p>
    <w:p>
      <w:pPr>
        <w:pStyle w:val="BodyText"/>
      </w:pPr>
      <w:r>
        <w:rPr>
          <w:i/>
          <w:iCs/>
        </w:rPr>
        <w:t xml:space="preserve">Id.</w:t>
      </w:r>
      <w:r>
        <w:t xml:space="preserve"> </w:t>
      </w:r>
      <w:r>
        <w:t xml:space="preserve">at 584. Further, it held there were key factual differences with</w:t>
      </w:r>
      <w:r>
        <w:t xml:space="preserve"> </w:t>
      </w:r>
      <w:r>
        <w:rPr>
          <w:i/>
          <w:iCs/>
        </w:rPr>
        <w:t xml:space="preserve">Condit</w:t>
      </w:r>
      <w:r>
        <w:t xml:space="preserve"> </w:t>
      </w:r>
      <w:r>
        <w:t xml:space="preserve">and</w:t>
      </w:r>
      <w:r>
        <w:t xml:space="preserve"> </w:t>
      </w:r>
      <w:r>
        <w:rPr>
          <w:i/>
          <w:iCs/>
        </w:rPr>
        <w:t xml:space="preserve">Puente</w:t>
      </w:r>
      <w:r>
        <w:t xml:space="preserve"> </w:t>
      </w:r>
      <w:r>
        <w:t xml:space="preserve">that required the statute to apply:</w:t>
      </w:r>
    </w:p>
    <w:p>
      <w:pPr>
        <w:pStyle w:val="XdQuoteOnly"/>
      </w:pPr>
      <w:r>
        <w:t xml:space="preserve">There is no indication that either Parsons or Brand manufactured or installed some independent system that was merely housed within the refinery structure. Instead, Parsons contracted to construct the entire refinery. And the entire refinery included the “columns, heat exchangers, vessel, reformers, tanks and piping in the various refinery units” that Brand subcontracted to insulate. CP at 126. Using the language of</w:t>
      </w:r>
      <w:r>
        <w:t xml:space="preserve"> </w:t>
      </w:r>
      <w:r>
        <w:rPr>
          <w:i/>
          <w:iCs/>
        </w:rPr>
        <w:t xml:space="preserve">Condit</w:t>
      </w:r>
      <w:r>
        <w:t xml:space="preserve">, Parsons and Brand were “individuals whose activities relate[d] to construction of the improvement.”</w:t>
      </w:r>
    </w:p>
    <w:p>
      <w:pPr>
        <w:pStyle w:val="BodyText"/>
      </w:pPr>
      <w:r>
        <w:rPr>
          <w:i/>
          <w:iCs/>
        </w:rPr>
        <w:t xml:space="preserve">Id.</w:t>
      </w:r>
      <w:r>
        <w:t xml:space="preserve"> </w:t>
      </w:r>
      <w:r>
        <w:t xml:space="preserve">at 585</w:t>
      </w:r>
      <w:r>
        <w:t xml:space="preserve"> </w:t>
      </w:r>
      <w:r>
        <w:rPr>
          <w:i/>
          <w:iCs/>
        </w:rPr>
        <w:t xml:space="preserve">quoting</w:t>
      </w:r>
      <w:r>
        <w:t xml:space="preserve"> </w:t>
      </w:r>
      <w:r>
        <w:rPr>
          <w:i/>
          <w:iCs/>
        </w:rPr>
        <w:t xml:space="preserve">Condit</w:t>
      </w:r>
      <w:r>
        <w:t xml:space="preserve"> </w:t>
      </w:r>
      <w:r>
        <w:t xml:space="preserve">101 Wn.2d at 110.</w:t>
      </w:r>
    </w:p>
    <w:p>
      <w:pPr>
        <w:pStyle w:val="BodyText"/>
      </w:pPr>
      <w:r>
        <w:rPr>
          <w:i/>
          <w:iCs/>
        </w:rPr>
        <w:t xml:space="preserve">Maxwell</w:t>
      </w:r>
      <w:r>
        <w:t xml:space="preserve"> </w:t>
      </w:r>
      <w:r>
        <w:t xml:space="preserve">correctly recognized that Brand’s construction activities contributed to the construction of an improvement upon real property; the massive ARCO Cherry Point petroleum refinery which included the “columns, heat exchangers, vessel, reformers, tanks and piping in the various refinery units” that Brand insulated. The statute of repose barred Respondent’s claims because they arose from such activities.</w:t>
      </w:r>
    </w:p>
    <w:p>
      <w:pPr>
        <w:pStyle w:val="BodyText"/>
      </w:pPr>
      <w:r>
        <w:t xml:space="preserve">The trial court in this case conducted oral argument on March 31, 2023 on Brand’s motion for summary judgment and issued an April 4, 2023 order in Brand’s favor, correctly finding that the statute of repose barred Plaintiff’s claims against Brand. Appx. 678</w:t>
      </w:r>
      <w:r>
        <w:noBreakHyphen/>
      </w:r>
      <w:r>
        <w:t xml:space="preserve">680.</w:t>
      </w:r>
    </w:p>
    <w:p>
      <w:pPr>
        <w:keepNext/>
        <w:keepLines/>
        <w:spacing w:before="336" w:after="224" w:line="322"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committed</w:t>
      </w:r>
      <w:r>
        <w:rPr>
          <w:b/>
          <w:bCs/>
        </w:rPr>
        <w:t xml:space="preserve"> </w:t>
      </w:r>
      <w:r>
        <w:rPr>
          <w:b/>
          <w:bCs/>
        </w:rPr>
        <w:t xml:space="preserve">obvious</w:t>
      </w:r>
      <w:r>
        <w:rPr>
          <w:b/>
          <w:bCs/>
        </w:rPr>
        <w:t xml:space="preserve"> </w:t>
      </w:r>
      <w:r>
        <w:rPr>
          <w:b/>
          <w:bCs/>
        </w:rPr>
        <w:t xml:space="preserve">error</w:t>
      </w:r>
      <w:r>
        <w:rPr>
          <w:b/>
          <w:bCs/>
        </w:rPr>
        <w:t xml:space="preserve"> </w:t>
      </w:r>
      <w:r>
        <w:rPr>
          <w:b/>
          <w:bCs/>
        </w:rPr>
        <w:t xml:space="preserve">overturing</w:t>
      </w:r>
      <w:r>
        <w:rPr>
          <w:b/>
          <w:bCs/>
        </w:rPr>
        <w:t xml:space="preserve"> </w:t>
      </w:r>
      <w:r>
        <w:rPr>
          <w:b/>
          <w:bCs/>
        </w:rPr>
        <w:t xml:space="preserve">the</w:t>
      </w:r>
      <w:r>
        <w:rPr>
          <w:b/>
          <w:bCs/>
        </w:rPr>
        <w:t xml:space="preserve"> </w:t>
      </w:r>
      <w:r>
        <w:rPr>
          <w:b/>
          <w:bCs/>
        </w:rPr>
        <w:t xml:space="preserve">April</w:t>
      </w:r>
      <w:r>
        <w:rPr>
          <w:b/>
          <w:bCs/>
        </w:rPr>
        <w:t xml:space="preserve"> </w:t>
      </w:r>
      <w:r>
        <w:rPr>
          <w:b/>
          <w:bCs/>
        </w:rPr>
        <w:t xml:space="preserve">2023</w:t>
      </w:r>
      <w:r>
        <w:rPr>
          <w:b/>
          <w:bCs/>
        </w:rPr>
        <w:t xml:space="preserve"> </w:t>
      </w:r>
      <w:r>
        <w:rPr>
          <w:b/>
          <w:bCs/>
        </w:rPr>
        <w:t xml:space="preserve">Order.</w:t>
      </w:r>
    </w:p>
    <w:p>
      <w:pPr>
        <w:pStyle w:val="BodyTextNote"/>
      </w:pPr>
      <w:r>
        <w:t xml:space="preserve">This action continued against the remaining co-defendants following the April 4, 2023 Order. During that time, the Court of Appeals, Division One examined the same legal question addressed by Division Two in</w:t>
      </w:r>
      <w:r>
        <w:t xml:space="preserve"> </w:t>
      </w:r>
      <w:r>
        <w:rPr>
          <w:i/>
          <w:iCs/>
        </w:rPr>
        <w:t xml:space="preserve">Maxwell</w:t>
      </w:r>
      <w:r>
        <w:t xml:space="preserve"> </w:t>
      </w:r>
      <w:r>
        <w:t xml:space="preserve">in</w:t>
      </w:r>
      <w:r>
        <w:t xml:space="preserve"> </w:t>
      </w:r>
      <w:r>
        <w:rPr>
          <w:i/>
          <w:iCs/>
        </w:rPr>
        <w:t xml:space="preserve">Welch</w:t>
      </w:r>
      <w:r>
        <w:rPr>
          <w:i/>
          <w:iCs/>
        </w:rPr>
        <w:t xml:space="preserve"> </w:t>
      </w:r>
      <w:r>
        <w:rPr>
          <w:i/>
          <w:iCs/>
        </w:rPr>
        <w:t xml:space="preserve">v. Brand</w:t>
      </w:r>
      <w:r>
        <w:t xml:space="preserve"> </w:t>
      </w:r>
      <w:r>
        <w:rPr>
          <w:i/>
          <w:iCs/>
        </w:rPr>
        <w:t xml:space="preserve">Insulations, Inc.,</w:t>
      </w:r>
      <w:r>
        <w:t xml:space="preserve"> </w:t>
      </w:r>
      <w:r>
        <w:t xml:space="preserve">27 Wn.App.2d 110, 531 P.3d 265 (2023).</w:t>
      </w:r>
      <w:r>
        <w:rPr>
          <w:rStyle w:val="FootnoteReference"/>
        </w:rPr>
        <w:footnoteReference w:id="11"/>
      </w:r>
    </w:p>
    <w:p>
      <w:pPr>
        <w:pStyle w:val="BodyText"/>
      </w:pPr>
      <w:r>
        <w:t xml:space="preserve">In</w:t>
      </w:r>
      <w:r>
        <w:t xml:space="preserve"> </w:t>
      </w:r>
      <w:r>
        <w:rPr>
          <w:i/>
          <w:iCs/>
        </w:rPr>
        <w:t xml:space="preserve">Welch</w:t>
      </w:r>
      <w:r>
        <w:rPr>
          <w:i/>
          <w:iCs/>
        </w:rPr>
        <w:t xml:space="preserve">,</w:t>
      </w:r>
      <w:r>
        <w:t xml:space="preserve"> </w:t>
      </w:r>
      <w:r>
        <w:t xml:space="preserve">the plaintiff alleged that he was exposed to asbestos-containing pipe insulation while working at the ARCO Cherry Point refinery in the 1980s.</w:t>
      </w:r>
      <w:r>
        <w:t xml:space="preserve"> </w:t>
      </w:r>
      <w:r>
        <w:rPr>
          <w:i/>
          <w:iCs/>
        </w:rPr>
        <w:t xml:space="preserve">Id.</w:t>
      </w:r>
      <w:r>
        <w:t xml:space="preserve"> </w:t>
      </w:r>
      <w:r>
        <w:t xml:space="preserve">at 113. Brand moved for summary judgment arguing the claims were barred by the statute of repose.</w:t>
      </w:r>
      <w:r>
        <w:t xml:space="preserve"> </w:t>
      </w:r>
      <w:r>
        <w:rPr>
          <w:i/>
          <w:iCs/>
        </w:rPr>
        <w:t xml:space="preserve">Id.</w:t>
      </w:r>
      <w:r>
        <w:t xml:space="preserve"> </w:t>
      </w:r>
      <w:r>
        <w:t xml:space="preserve">at 114</w:t>
      </w:r>
      <w:r>
        <w:t xml:space="preserve"> </w:t>
      </w:r>
      <w:r>
        <w:rPr>
          <w:i/>
          <w:iCs/>
        </w:rPr>
        <w:t xml:space="preserve">.</w:t>
      </w:r>
      <w:r>
        <w:t xml:space="preserve"> </w:t>
      </w:r>
      <w:r>
        <w:t xml:space="preserve">The trial court agreed, relying in part on the</w:t>
      </w:r>
      <w:r>
        <w:t xml:space="preserve"> </w:t>
      </w:r>
      <w:r>
        <w:rPr>
          <w:i/>
          <w:iCs/>
        </w:rPr>
        <w:t xml:space="preserve">Maxwell</w:t>
      </w:r>
      <w:r>
        <w:t xml:space="preserve"> </w:t>
      </w:r>
      <w:r>
        <w:t xml:space="preserve">decision.</w:t>
      </w:r>
      <w:r>
        <w:t xml:space="preserve"> </w:t>
      </w:r>
      <w:r>
        <w:rPr>
          <w:i/>
          <w:iCs/>
        </w:rPr>
        <w:t xml:space="preserve">Id.</w:t>
      </w:r>
      <w:r>
        <w:t xml:space="preserve"> </w:t>
      </w:r>
      <w:r>
        <w:t xml:space="preserve">Plaintiff then appealed.</w:t>
      </w:r>
      <w:r>
        <w:t xml:space="preserve"> </w:t>
      </w:r>
      <w:r>
        <w:rPr>
          <w:i/>
          <w:iCs/>
        </w:rPr>
        <w:t xml:space="preserve">Id.</w:t>
      </w:r>
    </w:p>
    <w:p>
      <w:pPr>
        <w:pStyle w:val="BodyText"/>
      </w:pPr>
      <w:r>
        <w:t xml:space="preserve">Faced with the same fact pattern and legal issue as</w:t>
      </w:r>
      <w:r>
        <w:t xml:space="preserve"> </w:t>
      </w:r>
      <w:r>
        <w:rPr>
          <w:i/>
          <w:iCs/>
        </w:rPr>
        <w:t xml:space="preserve">Maxwell</w:t>
      </w:r>
      <w:r>
        <w:t xml:space="preserve">, Division One issued a conflicting decision on the same legal issue and reversed the trial court’s summary dismissal of Plaintiff’s claims against Brand.</w:t>
      </w:r>
    </w:p>
    <w:p>
      <w:pPr>
        <w:pStyle w:val="BodyText"/>
      </w:pPr>
      <w:r>
        <w:t xml:space="preserve">The</w:t>
      </w:r>
      <w:r>
        <w:t xml:space="preserve"> </w:t>
      </w:r>
      <w:r>
        <w:rPr>
          <w:i/>
          <w:iCs/>
        </w:rPr>
        <w:t xml:space="preserve">Welch</w:t>
      </w:r>
      <w:r>
        <w:t xml:space="preserve"> </w:t>
      </w:r>
      <w:r>
        <w:t xml:space="preserve">court held that the</w:t>
      </w:r>
      <w:r>
        <w:t xml:space="preserve"> </w:t>
      </w:r>
      <w:r>
        <w:rPr>
          <w:i/>
          <w:iCs/>
        </w:rPr>
        <w:t xml:space="preserve">Maxwell</w:t>
      </w:r>
      <w:r>
        <w:t xml:space="preserve"> </w:t>
      </w:r>
      <w:r>
        <w:t xml:space="preserve">court engaged in an “analytical approach different from that dictated by</w:t>
      </w:r>
      <w:r>
        <w:t xml:space="preserve"> </w:t>
      </w:r>
      <w:r>
        <w:rPr>
          <w:i/>
          <w:iCs/>
        </w:rPr>
        <w:t xml:space="preserve">Condit</w:t>
      </w:r>
      <w:r>
        <w:t xml:space="preserve">,” claiming that</w:t>
      </w:r>
      <w:r>
        <w:t xml:space="preserve"> </w:t>
      </w:r>
      <w:r>
        <w:rPr>
          <w:i/>
          <w:iCs/>
        </w:rPr>
        <w:t xml:space="preserve">Maxwell</w:t>
      </w:r>
      <w:r>
        <w:t xml:space="preserve"> </w:t>
      </w:r>
      <w:r>
        <w:t xml:space="preserve">“reframed” the analysis and held “Brand did not satisfy its initial burden on summary judgment to establish that its activities are covered by the statute of repose” with regard to the “improvement upon real property” requirement in the statute.</w:t>
      </w:r>
      <w:r>
        <w:t xml:space="preserve"> </w:t>
      </w:r>
      <w:r>
        <w:rPr>
          <w:i/>
          <w:iCs/>
        </w:rPr>
        <w:t xml:space="preserve">Welch</w:t>
      </w:r>
      <w:r>
        <w:t xml:space="preserve"> </w:t>
      </w:r>
      <w:r>
        <w:t xml:space="preserve">27 Wn.App.2d at 123, 127- 128.</w:t>
      </w:r>
    </w:p>
    <w:p>
      <w:pPr>
        <w:pStyle w:val="BodyText"/>
      </w:pPr>
      <w:r>
        <w:t xml:space="preserve">But it was not</w:t>
      </w:r>
      <w:r>
        <w:t xml:space="preserve"> </w:t>
      </w:r>
      <w:r>
        <w:rPr>
          <w:i/>
          <w:iCs/>
        </w:rPr>
        <w:t xml:space="preserve">Maxwell</w:t>
      </w:r>
      <w:r>
        <w:t xml:space="preserve"> </w:t>
      </w:r>
      <w:r>
        <w:t xml:space="preserve">that reframed the issue; it was the</w:t>
      </w:r>
      <w:r>
        <w:t xml:space="preserve"> </w:t>
      </w:r>
      <w:r>
        <w:rPr>
          <w:i/>
          <w:iCs/>
        </w:rPr>
        <w:t xml:space="preserve">Welch</w:t>
      </w:r>
      <w:r>
        <w:t xml:space="preserve"> </w:t>
      </w:r>
      <w:r>
        <w:t xml:space="preserve">court.</w:t>
      </w:r>
      <w:r>
        <w:t xml:space="preserve"> </w:t>
      </w:r>
      <w:r>
        <w:rPr>
          <w:i/>
          <w:iCs/>
        </w:rPr>
        <w:t xml:space="preserve">Condit</w:t>
      </w:r>
      <w:r>
        <w:t xml:space="preserve"> </w:t>
      </w:r>
      <w:r>
        <w:t xml:space="preserve">recognized the statute protects contractors “who contribute to the design, planning, supervision or construction of a structural improvement to real estate …”</w:t>
      </w:r>
      <w:r>
        <w:t xml:space="preserve"> </w:t>
      </w:r>
      <w:r>
        <w:rPr>
          <w:i/>
          <w:iCs/>
        </w:rPr>
        <w:t xml:space="preserve">Condit</w:t>
      </w:r>
      <w:r>
        <w:t xml:space="preserve">, 101 Wn.2d at 110</w:t>
      </w:r>
      <w:r>
        <w:t xml:space="preserve"> </w:t>
      </w:r>
      <w:r>
        <w:rPr>
          <w:i/>
          <w:iCs/>
        </w:rPr>
        <w:t xml:space="preserve">quoting Brown,</w:t>
      </w:r>
      <w:r>
        <w:t xml:space="preserve"> </w:t>
      </w:r>
      <w:r>
        <w:t xml:space="preserve">163 N.J.Super. at 195. (emphasis added). The</w:t>
      </w:r>
      <w:r>
        <w:t xml:space="preserve"> </w:t>
      </w:r>
      <w:r>
        <w:rPr>
          <w:i/>
          <w:iCs/>
        </w:rPr>
        <w:t xml:space="preserve">Welch</w:t>
      </w:r>
      <w:r>
        <w:t xml:space="preserve"> </w:t>
      </w:r>
      <w:r>
        <w:t xml:space="preserve">court reframed the analysis to mean Brand had to establish that its construction activities contributed to a “structural improvement in the refinery.”</w:t>
      </w:r>
      <w:r>
        <w:t xml:space="preserve"> </w:t>
      </w:r>
      <w:r>
        <w:rPr>
          <w:i/>
          <w:iCs/>
        </w:rPr>
        <w:t xml:space="preserve">Welch</w:t>
      </w:r>
      <w:r>
        <w:t xml:space="preserve"> </w:t>
      </w:r>
      <w:r>
        <w:t xml:space="preserve">27 Wn.App.2d at 112 (emphasis added). Instead of recognizing that the petroleum refinery was</w:t>
      </w:r>
      <w:r>
        <w:t xml:space="preserve"> </w:t>
      </w:r>
      <w:r>
        <w:rPr>
          <w:i/>
          <w:iCs/>
        </w:rPr>
        <w:t xml:space="preserve">in toto</w:t>
      </w:r>
      <w:r>
        <w:t xml:space="preserve"> </w:t>
      </w:r>
      <w:r>
        <w:t xml:space="preserve">a structure and an improvement upon real property under</w:t>
      </w:r>
      <w:r>
        <w:t xml:space="preserve"> </w:t>
      </w:r>
      <w:r>
        <w:rPr>
          <w:i/>
          <w:iCs/>
        </w:rPr>
        <w:t xml:space="preserve">Condit</w:t>
      </w:r>
      <w:r>
        <w:t xml:space="preserve">,</w:t>
      </w:r>
      <w:r>
        <w:t xml:space="preserve"> </w:t>
      </w:r>
      <w:r>
        <w:rPr>
          <w:i/>
          <w:iCs/>
        </w:rPr>
        <w:t xml:space="preserve">Welch</w:t>
      </w:r>
      <w:r>
        <w:t xml:space="preserve"> </w:t>
      </w:r>
      <w:r>
        <w:t xml:space="preserve">exclusively focused on whether Brand’s construction activities contributed “systems … which are integrally a normal part of that kind of improvement, and which are required for the structure to actually function as intended”—while failing to recognize that Brand’s activities contributed to the construction of the ARCO Cherry Point refinery, a structural improvement to real property in and of itself.</w:t>
      </w:r>
      <w:r>
        <w:t xml:space="preserve"> </w:t>
      </w:r>
      <w:r>
        <w:rPr>
          <w:i/>
          <w:iCs/>
        </w:rPr>
        <w:t xml:space="preserve">Id.</w:t>
      </w:r>
      <w:r>
        <w:t xml:space="preserve"> </w:t>
      </w:r>
      <w:r>
        <w:t xml:space="preserve">at 127.</w:t>
      </w:r>
    </w:p>
    <w:p>
      <w:pPr>
        <w:pStyle w:val="BodyText"/>
      </w:pPr>
      <w:r>
        <w:t xml:space="preserve">Shortly after</w:t>
      </w:r>
      <w:r>
        <w:t xml:space="preserve"> </w:t>
      </w:r>
      <w:r>
        <w:rPr>
          <w:i/>
          <w:iCs/>
        </w:rPr>
        <w:t xml:space="preserve">Welch</w:t>
      </w:r>
      <w:r>
        <w:rPr>
          <w:i/>
          <w:iCs/>
        </w:rPr>
        <w:t xml:space="preserve">’s</w:t>
      </w:r>
      <w:r>
        <w:t xml:space="preserve"> </w:t>
      </w:r>
      <w:r>
        <w:t xml:space="preserve">publication Plaintiff filed a Motion for Relief from Order Granting Summary Judgment to Brand pursuant to CR</w:t>
      </w:r>
      <w:r>
        <w:t xml:space="preserve"> </w:t>
      </w:r>
      <w:r>
        <w:t xml:space="preserve">60 predicated on the</w:t>
      </w:r>
      <w:r>
        <w:t xml:space="preserve"> </w:t>
      </w:r>
      <w:r>
        <w:rPr>
          <w:i/>
          <w:iCs/>
        </w:rPr>
        <w:t xml:space="preserve">Welch</w:t>
      </w:r>
      <w:r>
        <w:t xml:space="preserve"> </w:t>
      </w:r>
      <w:r>
        <w:t xml:space="preserve">decision. Appx. 681- 685. On July 10, 2023, the Court issued an order concerning Plaintiff’s CR</w:t>
      </w:r>
      <w:r>
        <w:t xml:space="preserve"> </w:t>
      </w:r>
      <w:r>
        <w:t xml:space="preserve">60 motion, concluding her prior order was subject to revision under CR</w:t>
      </w:r>
      <w:r>
        <w:t xml:space="preserve"> </w:t>
      </w:r>
      <w:r>
        <w:t xml:space="preserve">54; and would employ “summary judgment conventions” to address whether to change the April 4, 2023 Order in light of the</w:t>
      </w:r>
      <w:r>
        <w:t xml:space="preserve"> </w:t>
      </w:r>
      <w:r>
        <w:rPr>
          <w:i/>
          <w:iCs/>
        </w:rPr>
        <w:t xml:space="preserve">Welch</w:t>
      </w:r>
      <w:r>
        <w:t xml:space="preserve"> </w:t>
      </w:r>
      <w:r>
        <w:t xml:space="preserve">decision or, in the alternative, CR</w:t>
      </w:r>
      <w:r>
        <w:t xml:space="preserve"> </w:t>
      </w:r>
      <w:r>
        <w:t xml:space="preserve">60. Appx. 755</w:t>
      </w:r>
      <w:r>
        <w:noBreakHyphen/>
      </w:r>
      <w:r>
        <w:t xml:space="preserve">758. The Court also invited the parties to “submit additional evidence as they see fit.”</w:t>
      </w:r>
      <w:r>
        <w:t xml:space="preserve"> </w:t>
      </w:r>
      <w:r>
        <w:rPr>
          <w:i/>
          <w:iCs/>
        </w:rPr>
        <w:t xml:space="preserve">Id.</w:t>
      </w:r>
    </w:p>
    <w:p>
      <w:pPr>
        <w:pStyle w:val="BodyText"/>
      </w:pPr>
      <w:r>
        <w:t xml:space="preserve">On re-hearing, Brand argued that</w:t>
      </w:r>
      <w:r>
        <w:t xml:space="preserve"> </w:t>
      </w:r>
      <w:r>
        <w:rPr>
          <w:i/>
          <w:iCs/>
        </w:rPr>
        <w:t xml:space="preserve">Maxwell</w:t>
      </w:r>
      <w:r>
        <w:t xml:space="preserve"> </w:t>
      </w:r>
      <w:r>
        <w:t xml:space="preserve">remained correct and must be followed, and in the alternative, dismissal is appropriate even in light of the</w:t>
      </w:r>
      <w:r>
        <w:t xml:space="preserve"> </w:t>
      </w:r>
      <w:r>
        <w:rPr>
          <w:i/>
          <w:iCs/>
        </w:rPr>
        <w:t xml:space="preserve">Welch</w:t>
      </w:r>
      <w:r>
        <w:t xml:space="preserve"> </w:t>
      </w:r>
      <w:r>
        <w:t xml:space="preserve">decision. Appx. 759</w:t>
      </w:r>
      <w:r>
        <w:noBreakHyphen/>
      </w:r>
      <w:r>
        <w:t xml:space="preserve">787. Brand provided supplemental evidence relating to the design specifications for the ARCO Cherry Point refinery, Brand’s construction work (Appx. 880</w:t>
      </w:r>
      <w:r>
        <w:noBreakHyphen/>
      </w:r>
      <w:r>
        <w:t xml:space="preserve">1213), as well as a declaration from Melvin M. Sinquefield, P.E., CFEI a chemical process engineer and an expert in refinery design specifications (Appx. 788</w:t>
      </w:r>
      <w:r>
        <w:noBreakHyphen/>
      </w:r>
      <w:r>
        <w:t xml:space="preserve">806). This evidence demonstrated thermal insulation installed by Brand during the refinery’s construction was necessary for the refinery to operate as intended. Per Mr. Sinquefield, the refinery could not function as a refinery in the absence of the insulation installed by Brand because that insulation was an integral and necessary system that comprising the refinery. Appx. 788</w:t>
      </w:r>
      <w:r>
        <w:noBreakHyphen/>
      </w:r>
      <w:r>
        <w:t xml:space="preserve">797.</w:t>
      </w:r>
    </w:p>
    <w:p>
      <w:pPr>
        <w:pStyle w:val="BodyText"/>
      </w:pPr>
      <w:r>
        <w:t xml:space="preserve">Respondent presented no facts or evidence rebutting Brand’s evidence. Appx. 1547</w:t>
      </w:r>
      <w:r>
        <w:noBreakHyphen/>
      </w:r>
      <w:r>
        <w:t xml:space="preserve">1564. Respondent did not challenge Mr. Sinquefield’s qualifications; nor did Respondent provide a competing qualified expert opinion concerning the “integral-ness” of thermal insulation in petrochemical refineries.</w:t>
      </w:r>
    </w:p>
    <w:p>
      <w:pPr>
        <w:pStyle w:val="BodyText"/>
      </w:pPr>
      <w:r>
        <w:t xml:space="preserve">Rather, plaintiff relied on testimony from an ARCO construction project manager named Abe Johnson. Appx. 1550- 51. In a prior deposition Mr. Johnson stated that insulation was “unimportant” and “most refineries can operate without insulation.” Appx. 1562</w:t>
      </w:r>
      <w:r>
        <w:noBreakHyphen/>
      </w:r>
      <w:r>
        <w:t xml:space="preserve">63; 1234</w:t>
      </w:r>
      <w:r>
        <w:noBreakHyphen/>
      </w:r>
      <w:r>
        <w:t xml:space="preserve">59. However, Mr. Johnson was not an expert, Respondent did not provide any record qualifying Mr. Johnson as an expert, he admitted that he was not qualified and later explained that his testimony on that issue was theoretical only. Appx. 1582</w:t>
      </w:r>
      <w:r>
        <w:noBreakHyphen/>
      </w:r>
      <w:r>
        <w:t xml:space="preserve">1585. He could not identify a single refinery in the United States that did not utilize thermal insulation; it was a standard design and construction practice to insulate piping and vessels at oil refineries; and that insulation was a basic and integral component of an oil refinery.</w:t>
      </w:r>
      <w:r>
        <w:t xml:space="preserve"> </w:t>
      </w:r>
      <w:r>
        <w:rPr>
          <w:i/>
          <w:iCs/>
        </w:rPr>
        <w:t xml:space="preserve">Id.</w:t>
      </w:r>
    </w:p>
    <w:p>
      <w:pPr>
        <w:pStyle w:val="BodyText"/>
      </w:pPr>
      <w:r>
        <w:t xml:space="preserve">Mr. Johnson’s testimony was an inadmissible opinion of a lay witness on an issue requiring expert testimony. Regardless, the entirety of Mr. Johnson’s testimony refuted Plaintiff’s position. Mr. Johnson’s testimony did not create the question of fact identified by the trial court as the basis for its decision denying Brand’s request for dismissal. Plaintiff also argued that some portions of the refinery where Brand installed insulation were not in use at all times, therefore an issue of fact remained whether Brand’s work contributed to a system that was required for the refinery to function as intended. However, this “evidence” is irrelevant as continuous use appears nowhere in the statute or any applicable authority, including</w:t>
      </w:r>
      <w:r>
        <w:t xml:space="preserve"> </w:t>
      </w:r>
      <w:r>
        <w:rPr>
          <w:i/>
          <w:iCs/>
        </w:rPr>
        <w:t xml:space="preserve">Condit</w:t>
      </w:r>
      <w:r>
        <w:t xml:space="preserve">.</w:t>
      </w:r>
    </w:p>
    <w:p>
      <w:pPr>
        <w:pStyle w:val="BodyText"/>
      </w:pPr>
      <w:r>
        <w:t xml:space="preserve">The trial court entered an order January 2, 2024 granting Plaintiff’s Motion for Relief from the April 4, 2023 summary judgment dismissal order and denying Brand’s Motion for Summary Judgment finding “a fact finder must resolve whether Brand “contributed to the construction of a structural improvement to real estate and those systems, ordinarily mechanical systems, such as heating, electrical, plumbing and air conditioning, which are integrally a normal part of that kind of improvement, and which are required for the structure to actually function as intended.”</w:t>
      </w:r>
      <w:r>
        <w:t xml:space="preserve"> </w:t>
      </w:r>
      <w:r>
        <w:rPr>
          <w:i/>
          <w:iCs/>
        </w:rPr>
        <w:t xml:space="preserve">See Condit</w:t>
      </w:r>
      <w:r>
        <w:t xml:space="preserve">, 101 Wn.2d at 110</w:t>
      </w:r>
      <w:r>
        <w:noBreakHyphen/>
      </w:r>
      <w:r>
        <w:t xml:space="preserve">111.” Appx. 1624</w:t>
      </w:r>
      <w:r>
        <w:noBreakHyphen/>
      </w:r>
      <w:r>
        <w:t xml:space="preserve">1628 (emphasis in original). This finding was obvious error.</w:t>
      </w:r>
    </w:p>
    <w:p>
      <w:pPr>
        <w:keepNext/>
        <w:keepLines/>
        <w:spacing w:before="448" w:after="336" w:line="322" w:lineRule="exact"/>
        <w:ind w:left="0" w:firstLine="0"/>
        <w:jc w:val="center"/>
      </w:pPr>
      <w:r>
        <w:rPr>
          <w:b/>
          <w:bCs/>
        </w:rPr>
        <w:t xml:space="preserve">V.</w:t>
      </w:r>
      <w:r>
        <w:rPr>
          <w:b/>
          <w:bCs/>
        </w:rPr>
        <w:t xml:space="preserve"> </w:t>
      </w:r>
      <w:r>
        <w:rPr>
          <w:b/>
          <w:bCs/>
        </w:rPr>
        <w:t xml:space="preserve">ARGUMENT</w:t>
      </w:r>
      <w:r>
        <w:rPr>
          <w:b/>
          <w:bCs/>
        </w:rPr>
        <w:t xml:space="preserve"> </w:t>
      </w:r>
      <w:r>
        <w:rPr>
          <w:b/>
          <w:bCs/>
        </w:rPr>
        <w:t xml:space="preserve">WHY</w:t>
      </w:r>
      <w:r>
        <w:rPr>
          <w:b/>
          <w:bCs/>
        </w:rPr>
        <w:t xml:space="preserve"> </w:t>
      </w:r>
      <w:r>
        <w:rPr>
          <w:b/>
          <w:bCs/>
        </w:rPr>
        <w:t xml:space="preserve">REVIEW</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ACCEPTED</w:t>
      </w:r>
    </w:p>
    <w:p>
      <w:pPr>
        <w:pStyle w:val="BodyText"/>
      </w:pPr>
      <w:r>
        <w:t xml:space="preserve">Brand seeks review on the basis that the superior court committed an obvious error that would render further proceedings useless under RAP 2.3(b)⁠(1)</w:t>
      </w:r>
      <w:r>
        <w:t xml:space="preserve"> </w:t>
      </w:r>
      <w:r>
        <w:t xml:space="preserve">and RAP 4.2(a)⁠(3)</w:t>
      </w:r>
      <w:r>
        <w:t xml:space="preserve">.</w:t>
      </w:r>
    </w:p>
    <w:p>
      <w:pPr>
        <w:keepNext/>
        <w:keepLines/>
        <w:spacing w:before="336" w:after="224" w:line="322" w:lineRule="exact"/>
        <w:ind w:left="720" w:hanging="720"/>
        <w:jc w:val="left"/>
      </w:pPr>
      <w:r>
        <w:rPr>
          <w:b/>
          <w:bCs/>
        </w:rPr>
        <w:t xml:space="preserve">A.</w:t>
      </w:r>
      <w:r>
        <w:rPr>
          <w:b/>
          <w:bCs/>
        </w:rPr>
        <w:t xml:space="preserve"> </w:t>
      </w:r>
      <w:r>
        <w:rPr>
          <w:b/>
          <w:bCs/>
          <w:i/>
          <w:iCs/>
        </w:rPr>
        <w:t xml:space="preserve">Maxwell</w:t>
      </w:r>
      <w:r>
        <w:rPr>
          <w:b/>
          <w:bCs/>
        </w:rPr>
        <w:t xml:space="preserve"> </w:t>
      </w:r>
      <w:r>
        <w:rPr>
          <w:b/>
          <w:bCs/>
        </w:rPr>
        <w:t xml:space="preserve">correctly</w:t>
      </w:r>
      <w:r>
        <w:rPr>
          <w:b/>
          <w:bCs/>
        </w:rPr>
        <w:t xml:space="preserve"> </w:t>
      </w:r>
      <w:r>
        <w:rPr>
          <w:b/>
          <w:bCs/>
        </w:rPr>
        <w:t xml:space="preserve">applied</w:t>
      </w:r>
      <w:r>
        <w:rPr>
          <w:b/>
          <w:bCs/>
        </w:rPr>
        <w:t xml:space="preserve"> </w:t>
      </w:r>
      <w:r>
        <w:rPr>
          <w:b/>
          <w:bCs/>
          <w:i/>
          <w:iCs/>
        </w:rPr>
        <w:t xml:space="preserve">Condit</w:t>
      </w:r>
      <w:r>
        <w:rPr>
          <w:b/>
          <w:bCs/>
        </w:rPr>
        <w:t xml:space="preserve"> </w:t>
      </w:r>
      <w:r>
        <w:rPr>
          <w:b/>
          <w:bCs/>
        </w:rPr>
        <w:t xml:space="preserve">and</w:t>
      </w:r>
      <w:r>
        <w:rPr>
          <w:b/>
          <w:bCs/>
        </w:rPr>
        <w:t xml:space="preserve"> </w:t>
      </w:r>
      <w:r>
        <w:rPr>
          <w:b/>
          <w:bCs/>
        </w:rPr>
        <w:t xml:space="preserve">it</w:t>
      </w:r>
      <w:r>
        <w:rPr>
          <w:b/>
          <w:bCs/>
        </w:rPr>
        <w:t xml:space="preserve"> </w:t>
      </w:r>
      <w:r>
        <w:rPr>
          <w:b/>
          <w:bCs/>
        </w:rPr>
        <w:t xml:space="preserve">was</w:t>
      </w:r>
      <w:r>
        <w:rPr>
          <w:b/>
          <w:bCs/>
        </w:rPr>
        <w:t xml:space="preserve"> </w:t>
      </w:r>
      <w:r>
        <w:rPr>
          <w:b/>
          <w:bCs/>
        </w:rPr>
        <w:t xml:space="preserve">obvious</w:t>
      </w:r>
      <w:r>
        <w:rPr>
          <w:b/>
          <w:bCs/>
        </w:rPr>
        <w:t xml:space="preserve"> </w:t>
      </w:r>
      <w:r>
        <w:rPr>
          <w:b/>
          <w:bCs/>
        </w:rPr>
        <w:t xml:space="preserve">error</w:t>
      </w:r>
      <w:r>
        <w:rPr>
          <w:b/>
          <w:bCs/>
        </w:rPr>
        <w:t xml:space="preserve"> </w:t>
      </w:r>
      <w:r>
        <w:rPr>
          <w:b/>
          <w:bCs/>
        </w:rPr>
        <w:t xml:space="preserve">not</w:t>
      </w:r>
      <w:r>
        <w:rPr>
          <w:b/>
          <w:bCs/>
        </w:rPr>
        <w:t xml:space="preserve"> </w:t>
      </w:r>
      <w:r>
        <w:rPr>
          <w:b/>
          <w:bCs/>
        </w:rPr>
        <w:t xml:space="preserve">to</w:t>
      </w:r>
      <w:r>
        <w:rPr>
          <w:b/>
          <w:bCs/>
        </w:rPr>
        <w:t xml:space="preserve"> </w:t>
      </w:r>
      <w:r>
        <w:rPr>
          <w:b/>
          <w:bCs/>
        </w:rPr>
        <w:t xml:space="preserve">follow</w:t>
      </w:r>
      <w:r>
        <w:rPr>
          <w:b/>
          <w:bCs/>
        </w:rPr>
        <w:t xml:space="preserve"> </w:t>
      </w:r>
      <w:r>
        <w:rPr>
          <w:b/>
          <w:bCs/>
        </w:rPr>
        <w:t xml:space="preserve">it.</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Purpose</w:t>
      </w:r>
      <w:r>
        <w:rPr>
          <w:b/>
          <w:bCs/>
          <w:i/>
          <w:iCs/>
        </w:rPr>
        <w:t xml:space="preserve"> </w:t>
      </w:r>
      <w:r>
        <w:rPr>
          <w:b/>
          <w:bCs/>
          <w:i/>
          <w:iCs/>
        </w:rPr>
        <w:t xml:space="preserve">of</w:t>
      </w:r>
      <w:r>
        <w:rPr>
          <w:b/>
          <w:bCs/>
          <w:i/>
          <w:iCs/>
        </w:rPr>
        <w:t xml:space="preserve"> </w:t>
      </w:r>
      <w:r>
        <w:rPr>
          <w:b/>
          <w:bCs/>
          <w:i/>
          <w:iCs/>
        </w:rPr>
        <w:t xml:space="preserve">Washington’s</w:t>
      </w:r>
      <w:r>
        <w:rPr>
          <w:b/>
          <w:bCs/>
          <w:i/>
          <w:iCs/>
        </w:rPr>
        <w:t xml:space="preserve"> </w:t>
      </w:r>
      <w:r>
        <w:rPr>
          <w:b/>
          <w:bCs/>
          <w:i/>
          <w:iCs/>
        </w:rPr>
        <w:t xml:space="preserve">Construction</w:t>
      </w:r>
      <w:r>
        <w:rPr>
          <w:b/>
          <w:bCs/>
          <w:i/>
          <w:iCs/>
        </w:rPr>
        <w:t xml:space="preserve"> </w:t>
      </w:r>
      <w:r>
        <w:rPr>
          <w:b/>
          <w:bCs/>
          <w:i/>
          <w:iCs/>
        </w:rPr>
        <w:t xml:space="preserve">Statute</w:t>
      </w:r>
      <w:r>
        <w:rPr>
          <w:b/>
          <w:bCs/>
          <w:i/>
          <w:iCs/>
        </w:rPr>
        <w:t xml:space="preserve"> </w:t>
      </w:r>
      <w:r>
        <w:rPr>
          <w:b/>
          <w:bCs/>
          <w:i/>
          <w:iCs/>
        </w:rPr>
        <w:t xml:space="preserve">of</w:t>
      </w:r>
      <w:r>
        <w:rPr>
          <w:b/>
          <w:bCs/>
          <w:i/>
          <w:iCs/>
        </w:rPr>
        <w:t xml:space="preserve"> </w:t>
      </w:r>
      <w:r>
        <w:rPr>
          <w:b/>
          <w:bCs/>
          <w:i/>
          <w:iCs/>
        </w:rPr>
        <w:t xml:space="preserve">Repose.</w:t>
      </w:r>
    </w:p>
    <w:p>
      <w:pPr>
        <w:pStyle w:val="BodyTextNote"/>
      </w:pPr>
      <w:r>
        <w:t xml:space="preserve">Washington’s construction statute of repose encompasses</w:t>
      </w:r>
      <w:r>
        <w:t xml:space="preserve"> </w:t>
      </w:r>
      <w:r>
        <w:rPr>
          <w:i/>
          <w:iCs/>
        </w:rPr>
        <w:t xml:space="preserve">all</w:t>
      </w:r>
      <w:r>
        <w:t xml:space="preserve"> </w:t>
      </w:r>
      <w:r>
        <w:t xml:space="preserve">claims and causes of action</w:t>
      </w:r>
      <w:r>
        <w:t xml:space="preserve"> </w:t>
      </w:r>
      <w:r>
        <w:rPr>
          <w:i/>
          <w:iCs/>
        </w:rPr>
        <w:t xml:space="preserve">of any kind</w:t>
      </w:r>
      <w:r>
        <w:t xml:space="preserve"> </w:t>
      </w:r>
      <w:r>
        <w:t xml:space="preserve">arising from the construction, alteration or repair of</w:t>
      </w:r>
      <w:r>
        <w:t xml:space="preserve"> </w:t>
      </w:r>
      <w:r>
        <w:rPr>
          <w:i/>
          <w:iCs/>
        </w:rPr>
        <w:t xml:space="preserve">any</w:t>
      </w:r>
      <w:r>
        <w:t xml:space="preserve"> </w:t>
      </w:r>
      <w:r>
        <w:t xml:space="preserve">improvement upon real property.</w:t>
      </w:r>
      <w:r>
        <w:t xml:space="preserve"> </w:t>
      </w:r>
      <w:r>
        <w:rPr>
          <w:i/>
          <w:iCs/>
        </w:rPr>
        <w:t xml:space="preserve">See</w:t>
      </w:r>
      <w:r>
        <w:t xml:space="preserve"> </w:t>
      </w:r>
      <w:r>
        <w:t xml:space="preserve">RCW 4.16.300</w:t>
      </w:r>
      <w:r>
        <w:t xml:space="preserve"> </w:t>
      </w:r>
      <w:r>
        <w:t xml:space="preserve">(1967).</w:t>
      </w:r>
      <w:r>
        <w:rPr>
          <w:rStyle w:val="FootnoteReference"/>
        </w:rPr>
        <w:footnoteReference w:id="12"/>
      </w:r>
      <w:r>
        <w:t xml:space="preserve"> </w:t>
      </w:r>
      <w:r>
        <w:t xml:space="preserve">Any cause of action falling under RCW 4.16.300</w:t>
      </w:r>
      <w:r>
        <w:t xml:space="preserve"> </w:t>
      </w:r>
      <w:r>
        <w:t xml:space="preserve">“which has not accrued within six years after such substantial completion of construction, or within six years after such termination of services, whichever is later, shall be barred[.]</w:t>
      </w:r>
      <w:r>
        <w:t xml:space="preserve"> </w:t>
      </w:r>
      <w:r>
        <w:rPr>
          <w:i/>
          <w:iCs/>
        </w:rPr>
        <w:t xml:space="preserve">”</w:t>
      </w:r>
      <w:r>
        <w:t xml:space="preserve"> </w:t>
      </w:r>
      <w:r>
        <w:t xml:space="preserve">RCW 4.16.310</w:t>
      </w:r>
      <w:r>
        <w:t xml:space="preserve"> </w:t>
      </w:r>
      <w:r>
        <w:t xml:space="preserve">(1967). Whether Washington’s construction statute of repose, RCW 4.16.300</w:t>
      </w:r>
      <w:r>
        <w:t xml:space="preserve">-.310 bars plaintiff’s claims, is a question of law.</w:t>
      </w:r>
      <w:r>
        <w:t xml:space="preserve"> </w:t>
      </w:r>
      <w:r>
        <w:rPr>
          <w:i/>
          <w:iCs/>
        </w:rPr>
        <w:t xml:space="preserve">Washburn</w:t>
      </w:r>
      <w:r>
        <w:rPr>
          <w:i/>
          <w:iCs/>
        </w:rPr>
        <w:t xml:space="preserve"> </w:t>
      </w:r>
      <w:r>
        <w:rPr>
          <w:i/>
          <w:iCs/>
        </w:rPr>
        <w:t xml:space="preserve">v. Beatt Equip.</w:t>
      </w:r>
      <w:r>
        <w:t xml:space="preserve"> </w:t>
      </w:r>
      <w:r>
        <w:rPr>
          <w:i/>
          <w:iCs/>
        </w:rPr>
        <w:t xml:space="preserve">Co.,</w:t>
      </w:r>
      <w:r>
        <w:t xml:space="preserve"> </w:t>
      </w:r>
      <w:r>
        <w:t xml:space="preserve">120 Wn.2d 246, 263, 840 P.2d 860 (1992).</w:t>
      </w:r>
    </w:p>
    <w:p>
      <w:pPr>
        <w:pStyle w:val="BodyTextNote"/>
      </w:pPr>
      <w:r>
        <w:t xml:space="preserve">The underlying purpose of a statute is essential to a determination of whether it applies to a given factual scenario.</w:t>
      </w:r>
      <w:r>
        <w:t xml:space="preserve"> </w:t>
      </w:r>
      <w:r>
        <w:rPr>
          <w:i/>
          <w:iCs/>
        </w:rPr>
        <w:t xml:space="preserve">Condit</w:t>
      </w:r>
      <w:r>
        <w:t xml:space="preserve">, 101 Wn.2d at 110. The Supreme Court recognized three underlying purposes of the statute of repose: 1) “it “protect[s] contractors from the possibility of being held liable for the acts of others;”</w:t>
      </w:r>
      <w:r>
        <w:rPr>
          <w:rStyle w:val="FootnoteReference"/>
        </w:rPr>
        <w:footnoteReference w:id="13"/>
      </w:r>
      <w:r>
        <w:t xml:space="preserve"> </w:t>
      </w:r>
      <w:r>
        <w:t xml:space="preserve">2) “it limits the discovery rule and avoids placing too great a burden on defendants who construct improvements upon real estate;”</w:t>
      </w:r>
      <w:r>
        <w:rPr>
          <w:rStyle w:val="FootnoteReference"/>
        </w:rPr>
        <w:footnoteReference w:id="14"/>
      </w:r>
      <w:r>
        <w:t xml:space="preserve"> </w:t>
      </w:r>
      <w:r>
        <w:t xml:space="preserve">and 3) “to prevent plaintiffs from bringing stale claims when evidence might have been lost or witnesses might no longer be available.”</w:t>
      </w:r>
      <w:r>
        <w:rPr>
          <w:rStyle w:val="FootnoteReference"/>
        </w:rPr>
        <w:footnoteReference w:id="15"/>
      </w:r>
      <w:r>
        <w:t xml:space="preserve"> </w:t>
      </w:r>
      <w:r>
        <w:rPr>
          <w:i/>
          <w:iCs/>
        </w:rPr>
        <w:t xml:space="preserve">1519</w:t>
      </w:r>
      <w:r>
        <w:noBreakHyphen/>
      </w:r>
      <w:r>
        <w:rPr>
          <w:i/>
          <w:iCs/>
        </w:rPr>
        <w:t xml:space="preserve">1525 Lakeview</w:t>
      </w:r>
      <w:r>
        <w:rPr>
          <w:i/>
          <w:iCs/>
        </w:rPr>
        <w:t xml:space="preserve"> </w:t>
      </w:r>
      <w:r>
        <w:rPr>
          <w:i/>
          <w:iCs/>
        </w:rPr>
        <w:t xml:space="preserve">Boulevard</w:t>
      </w:r>
      <w:r>
        <w:t xml:space="preserve"> </w:t>
      </w:r>
      <w:r>
        <w:rPr>
          <w:i/>
          <w:iCs/>
        </w:rPr>
        <w:t xml:space="preserve">Condominium Ass’n</w:t>
      </w:r>
      <w:r>
        <w:t xml:space="preserve">, 144 Wn.2d 570, 577</w:t>
      </w:r>
      <w:r>
        <w:noBreakHyphen/>
      </w:r>
      <w:r>
        <w:t xml:space="preserve">78, 29 P.3d 1249 (2001).</w:t>
      </w:r>
    </w:p>
    <w:p>
      <w:pPr>
        <w:pStyle w:val="BodyText"/>
      </w:pPr>
      <w:r>
        <w:t xml:space="preserve">The Supreme Court in</w:t>
      </w:r>
      <w:r>
        <w:t xml:space="preserve"> </w:t>
      </w:r>
      <w:r>
        <w:rPr>
          <w:i/>
          <w:iCs/>
        </w:rPr>
        <w:t xml:space="preserve">Davis v. Baugh</w:t>
      </w:r>
      <w:r>
        <w:rPr>
          <w:i/>
          <w:iCs/>
        </w:rPr>
        <w:t xml:space="preserve"> </w:t>
      </w:r>
      <w:r>
        <w:rPr>
          <w:i/>
          <w:iCs/>
        </w:rPr>
        <w:t xml:space="preserve">Indus. Contractors,</w:t>
      </w:r>
      <w:r>
        <w:t xml:space="preserve"> </w:t>
      </w:r>
      <w:r>
        <w:rPr>
          <w:i/>
          <w:iCs/>
        </w:rPr>
        <w:t xml:space="preserve">Inc.,</w:t>
      </w:r>
      <w:r>
        <w:t xml:space="preserve"> </w:t>
      </w:r>
      <w:r>
        <w:t xml:space="preserve">159 Wn.2d 413, 419, 150 P.3d 545 (2007) recognized that the construction statute of repose was a better mousetrap to address claims arising from a contractor’s construction services than the now-abandoned “completion and acceptance doctrine” because it provides “predictability and limit[s] contractor liability” based upon its plain statutory language whereas the former doctrine relied on several pitfalls.</w:t>
      </w:r>
    </w:p>
    <w:p>
      <w:pPr>
        <w:pStyle w:val="BodyText"/>
      </w:pPr>
      <w:r>
        <w:t xml:space="preserve">But for this mousetrap to work, it must be enforced as the legislature intended. The Washington legislature recognizes a policy of protecting the construction industry from stale claims which cannot be secured by contract. The</w:t>
      </w:r>
      <w:r>
        <w:t xml:space="preserve"> </w:t>
      </w:r>
      <w:r>
        <w:rPr>
          <w:i/>
          <w:iCs/>
        </w:rPr>
        <w:t xml:space="preserve">Maxwell</w:t>
      </w:r>
      <w:r>
        <w:t xml:space="preserve"> </w:t>
      </w:r>
      <w:r>
        <w:t xml:space="preserve">decision adheres to this intent. The</w:t>
      </w:r>
      <w:r>
        <w:t xml:space="preserve"> </w:t>
      </w:r>
      <w:r>
        <w:rPr>
          <w:i/>
          <w:iCs/>
        </w:rPr>
        <w:t xml:space="preserve">Welch</w:t>
      </w:r>
      <w:r>
        <w:t xml:space="preserve"> </w:t>
      </w:r>
      <w:r>
        <w:t xml:space="preserve">decision does not.</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Brand’s</w:t>
      </w:r>
      <w:r>
        <w:rPr>
          <w:b/>
          <w:bCs/>
          <w:i/>
          <w:iCs/>
        </w:rPr>
        <w:t xml:space="preserve"> </w:t>
      </w:r>
      <w:r>
        <w:rPr>
          <w:b/>
          <w:bCs/>
          <w:i/>
          <w:iCs/>
        </w:rPr>
        <w:t xml:space="preserve">work</w:t>
      </w:r>
      <w:r>
        <w:rPr>
          <w:b/>
          <w:bCs/>
          <w:i/>
          <w:iCs/>
        </w:rPr>
        <w:t xml:space="preserve"> </w:t>
      </w:r>
      <w:r>
        <w:rPr>
          <w:b/>
          <w:bCs/>
          <w:i/>
          <w:iCs/>
        </w:rPr>
        <w:t xml:space="preserve">contributed</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construction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ARCO</w:t>
      </w:r>
      <w:r>
        <w:rPr>
          <w:b/>
          <w:bCs/>
          <w:i/>
          <w:iCs/>
        </w:rPr>
        <w:t xml:space="preserve"> </w:t>
      </w:r>
      <w:r>
        <w:rPr>
          <w:b/>
          <w:bCs/>
          <w:i/>
          <w:iCs/>
        </w:rPr>
        <w:t xml:space="preserve">Cherry</w:t>
      </w:r>
      <w:r>
        <w:rPr>
          <w:b/>
          <w:bCs/>
          <w:i/>
          <w:iCs/>
        </w:rPr>
        <w:t xml:space="preserve"> </w:t>
      </w:r>
      <w:r>
        <w:rPr>
          <w:b/>
          <w:bCs/>
          <w:i/>
          <w:iCs/>
        </w:rPr>
        <w:t xml:space="preserve">Point</w:t>
      </w:r>
      <w:r>
        <w:rPr>
          <w:b/>
          <w:bCs/>
          <w:i/>
          <w:iCs/>
        </w:rPr>
        <w:t xml:space="preserve"> </w:t>
      </w:r>
      <w:r>
        <w:rPr>
          <w:b/>
          <w:bCs/>
          <w:i/>
          <w:iCs/>
        </w:rPr>
        <w:t xml:space="preserve">Refinery—an</w:t>
      </w:r>
      <w:r>
        <w:rPr>
          <w:b/>
          <w:bCs/>
          <w:i/>
          <w:iCs/>
        </w:rPr>
        <w:t xml:space="preserve"> </w:t>
      </w:r>
      <w:r>
        <w:rPr>
          <w:b/>
          <w:bCs/>
          <w:i/>
          <w:iCs/>
        </w:rPr>
        <w:t xml:space="preserve">improvement</w:t>
      </w:r>
      <w:r>
        <w:rPr>
          <w:b/>
          <w:bCs/>
          <w:i/>
          <w:iCs/>
        </w:rPr>
        <w:t xml:space="preserve"> </w:t>
      </w:r>
      <w:r>
        <w:rPr>
          <w:b/>
          <w:bCs/>
          <w:i/>
          <w:iCs/>
        </w:rPr>
        <w:t xml:space="preserve">upon</w:t>
      </w:r>
      <w:r>
        <w:rPr>
          <w:b/>
          <w:bCs/>
          <w:i/>
          <w:iCs/>
        </w:rPr>
        <w:t xml:space="preserve"> </w:t>
      </w:r>
      <w:r>
        <w:rPr>
          <w:b/>
          <w:bCs/>
          <w:i/>
          <w:iCs/>
        </w:rPr>
        <w:t xml:space="preserve">real</w:t>
      </w:r>
      <w:r>
        <w:rPr>
          <w:b/>
          <w:bCs/>
          <w:i/>
          <w:iCs/>
        </w:rPr>
        <w:t xml:space="preserve"> </w:t>
      </w:r>
      <w:r>
        <w:rPr>
          <w:b/>
          <w:bCs/>
          <w:i/>
          <w:iCs/>
        </w:rPr>
        <w:t xml:space="preserve">property</w:t>
      </w:r>
      <w:r>
        <w:rPr>
          <w:b/>
          <w:bCs/>
          <w:i/>
          <w:iCs/>
        </w:rPr>
        <w:t xml:space="preserve"> </w:t>
      </w:r>
      <w:r>
        <w:rPr>
          <w:b/>
          <w:bCs/>
          <w:i/>
          <w:iCs/>
        </w:rPr>
        <w:t xml:space="preserve">according</w:t>
      </w:r>
      <w:r>
        <w:rPr>
          <w:b/>
          <w:bCs/>
          <w:i/>
          <w:iCs/>
        </w:rPr>
        <w:t xml:space="preserve"> </w:t>
      </w:r>
      <w:r>
        <w:rPr>
          <w:b/>
          <w:bCs/>
          <w:i/>
          <w:iCs/>
        </w:rPr>
        <w:t xml:space="preserve">to</w:t>
      </w:r>
      <w:r>
        <w:rPr>
          <w:b/>
          <w:bCs/>
          <w:i/>
          <w:iCs/>
        </w:rPr>
        <w:t xml:space="preserve"> </w:t>
      </w:r>
      <w:r>
        <w:rPr>
          <w:b/>
          <w:bCs/>
        </w:rPr>
        <w:t xml:space="preserve">Condit</w:t>
      </w:r>
      <w:r>
        <w:rPr>
          <w:b/>
          <w:bCs/>
          <w:i/>
          <w:iCs/>
        </w:rPr>
        <w:t xml:space="preserve">.</w:t>
      </w:r>
    </w:p>
    <w:p>
      <w:pPr>
        <w:pStyle w:val="BodyText"/>
      </w:pPr>
      <w:r>
        <w:t xml:space="preserve">The issue presented in</w:t>
      </w:r>
      <w:r>
        <w:t xml:space="preserve"> </w:t>
      </w:r>
      <w:r>
        <w:rPr>
          <w:i/>
          <w:iCs/>
        </w:rPr>
        <w:t xml:space="preserve">Condit</w:t>
      </w:r>
      <w:r>
        <w:t xml:space="preserve"> </w:t>
      </w:r>
      <w:r>
        <w:t xml:space="preserve">was whether or not a manufacturer of a conveyor assembly installed in a vegetable processing plant was protected by the statute.</w:t>
      </w:r>
      <w:r>
        <w:t xml:space="preserve"> </w:t>
      </w:r>
      <w:r>
        <w:rPr>
          <w:i/>
          <w:iCs/>
        </w:rPr>
        <w:t xml:space="preserve">Condit</w:t>
      </w:r>
      <w:r>
        <w:t xml:space="preserve"> </w:t>
      </w:r>
      <w:r>
        <w:t xml:space="preserve">101 Wn.2d at 108. The manufacturer of the conveyor belt sought the protection of the statute of repose, arguing that</w:t>
      </w:r>
      <w:r>
        <w:t xml:space="preserve"> </w:t>
      </w:r>
      <w:r>
        <w:rPr>
          <w:i/>
          <w:iCs/>
        </w:rPr>
        <w:t xml:space="preserve">the conveyor</w:t>
      </w:r>
      <w:r>
        <w:t xml:space="preserve"> </w:t>
      </w:r>
      <w:r>
        <w:rPr>
          <w:i/>
          <w:iCs/>
        </w:rPr>
        <w:t xml:space="preserve">assembly</w:t>
      </w:r>
      <w:r>
        <w:t xml:space="preserve"> </w:t>
      </w:r>
      <w:r>
        <w:t xml:space="preserve">was an “improvement upon real property” within the meaning of the statute of repose.</w:t>
      </w:r>
      <w:r>
        <w:t xml:space="preserve"> </w:t>
      </w:r>
      <w:r>
        <w:rPr>
          <w:i/>
          <w:iCs/>
        </w:rPr>
        <w:t xml:space="preserve">Id.</w:t>
      </w:r>
      <w:r>
        <w:t xml:space="preserve"> </w:t>
      </w:r>
      <w:r>
        <w:t xml:space="preserve">at 109.</w:t>
      </w:r>
    </w:p>
    <w:p>
      <w:pPr>
        <w:pStyle w:val="BodyTextNote"/>
      </w:pPr>
      <w:r>
        <w:t xml:space="preserve">The Washington Supreme Court considered the case as one dealing with the law of fixtures in the context of real property law; an argument that was not raised to the trial court.</w:t>
      </w:r>
      <w:r>
        <w:rPr>
          <w:rStyle w:val="FootnoteReference"/>
        </w:rPr>
        <w:footnoteReference w:id="16"/>
      </w:r>
      <w:r>
        <w:t xml:space="preserve"> </w:t>
      </w:r>
      <w:r>
        <w:rPr>
          <w:i/>
          <w:iCs/>
        </w:rPr>
        <w:t xml:space="preserve">Id.</w:t>
      </w:r>
      <w:r>
        <w:t xml:space="preserve"> </w:t>
      </w:r>
      <w:r>
        <w:t xml:space="preserve">at 109- 110. Although the</w:t>
      </w:r>
      <w:r>
        <w:t xml:space="preserve"> </w:t>
      </w:r>
      <w:r>
        <w:rPr>
          <w:i/>
          <w:iCs/>
        </w:rPr>
        <w:t xml:space="preserve">Condit</w:t>
      </w:r>
      <w:r>
        <w:t xml:space="preserve"> </w:t>
      </w:r>
      <w:r>
        <w:t xml:space="preserve">court rejected the “mechanistic” reasoning of prior decisions, vestiges of real property law remain. Relying on a New Jersey case</w:t>
      </w:r>
      <w:r>
        <w:t xml:space="preserve"> </w:t>
      </w:r>
      <w:r>
        <w:rPr>
          <w:i/>
          <w:iCs/>
        </w:rPr>
        <w:t xml:space="preserve">Brown v. Jersey</w:t>
      </w:r>
      <w:r>
        <w:rPr>
          <w:i/>
          <w:iCs/>
        </w:rPr>
        <w:t xml:space="preserve"> </w:t>
      </w:r>
      <w:r>
        <w:rPr>
          <w:i/>
          <w:iCs/>
        </w:rPr>
        <w:t xml:space="preserve">Central</w:t>
      </w:r>
      <w:r>
        <w:t xml:space="preserve"> </w:t>
      </w:r>
      <w:r>
        <w:rPr>
          <w:i/>
          <w:iCs/>
        </w:rPr>
        <w:t xml:space="preserve">Power &amp; Light Co.,</w:t>
      </w:r>
      <w:r>
        <w:t xml:space="preserve"> </w:t>
      </w:r>
      <w:r>
        <w:t xml:space="preserve">163 N.J.Super. 179, 195, 394 A.2d 397 (1978), the</w:t>
      </w:r>
      <w:r>
        <w:t xml:space="preserve"> </w:t>
      </w:r>
      <w:r>
        <w:rPr>
          <w:i/>
          <w:iCs/>
        </w:rPr>
        <w:t xml:space="preserve">Condit</w:t>
      </w:r>
      <w:r>
        <w:t xml:space="preserve"> </w:t>
      </w:r>
      <w:r>
        <w:t xml:space="preserve">court noted:</w:t>
      </w:r>
    </w:p>
    <w:p>
      <w:pPr>
        <w:pStyle w:val="XdQuoteOnly"/>
      </w:pPr>
      <w:r>
        <w:t xml:space="preserve">We believe our statute also should be so limited. The test suggested by the</w:t>
      </w:r>
      <w:r>
        <w:t xml:space="preserve"> </w:t>
      </w:r>
      <w:r>
        <w:rPr>
          <w:i/>
          <w:iCs/>
        </w:rPr>
        <w:t xml:space="preserve">Brown</w:t>
      </w:r>
      <w:r>
        <w:t xml:space="preserve"> </w:t>
      </w:r>
      <w:r>
        <w:t xml:space="preserve">court protects individuals who work on structural aspects of the building but not manufacturers of heavy equipment or nonintegral systems within the building. As we read the statute, this latter group was not intended to be protected.</w:t>
      </w:r>
    </w:p>
    <w:p>
      <w:pPr>
        <w:pStyle w:val="BodyText"/>
      </w:pPr>
      <w:r>
        <w:rPr>
          <w:i/>
          <w:iCs/>
        </w:rPr>
        <w:t xml:space="preserve">Condit</w:t>
      </w:r>
      <w:r>
        <w:t xml:space="preserve">, 101 Wn.2d at 111.</w:t>
      </w:r>
    </w:p>
    <w:p>
      <w:pPr>
        <w:pStyle w:val="BodyText"/>
      </w:pPr>
      <w:r>
        <w:t xml:space="preserve">The inclusion of the word “structural” in this short quotation, has resulted in an inordinate focus on whether a defendant’s work relates to some structural element of the improvement in order to be protected. A focus on the “structural aspect” of a building only is at odds with the quotation relied upon by the</w:t>
      </w:r>
      <w:r>
        <w:t xml:space="preserve"> </w:t>
      </w:r>
      <w:r>
        <w:rPr>
          <w:i/>
          <w:iCs/>
        </w:rPr>
        <w:t xml:space="preserve">Condit</w:t>
      </w:r>
      <w:r>
        <w:t xml:space="preserve"> </w:t>
      </w:r>
      <w:r>
        <w:t xml:space="preserve">court from</w:t>
      </w:r>
      <w:r>
        <w:t xml:space="preserve"> </w:t>
      </w:r>
      <w:r>
        <w:rPr>
          <w:i/>
          <w:iCs/>
        </w:rPr>
        <w:t xml:space="preserve">Brown.</w:t>
      </w:r>
      <w:r>
        <w:t xml:space="preserve"> </w:t>
      </w:r>
      <w:r>
        <w:t xml:space="preserve">In fact, the</w:t>
      </w:r>
      <w:r>
        <w:t xml:space="preserve"> </w:t>
      </w:r>
      <w:r>
        <w:rPr>
          <w:i/>
          <w:iCs/>
        </w:rPr>
        <w:t xml:space="preserve">Brown</w:t>
      </w:r>
      <w:r>
        <w:t xml:space="preserve"> </w:t>
      </w:r>
      <w:r>
        <w:t xml:space="preserve">court drew no such distinction in its test that was adopted by the</w:t>
      </w:r>
      <w:r>
        <w:t xml:space="preserve"> </w:t>
      </w:r>
      <w:r>
        <w:rPr>
          <w:i/>
          <w:iCs/>
        </w:rPr>
        <w:t xml:space="preserve">Condit</w:t>
      </w:r>
      <w:r>
        <w:t xml:space="preserve"> </w:t>
      </w:r>
      <w:r>
        <w:t xml:space="preserve">Court.</w:t>
      </w:r>
    </w:p>
    <w:p>
      <w:pPr>
        <w:pStyle w:val="XdQuoteOnly"/>
      </w:pPr>
      <w:r>
        <w:t xml:space="preserve">As best we can perceive, the intent of the language of the statute was to protect those who contribute to the design, planning, supervision or construction of a structural improvement to real estate and those systems, ordinarily mechanical systems, such as heating, electrical, plumbing and air conditioning, which are integrally a normal part of that kind of improvement, and which are required for the structure to actually function as intended.</w:t>
      </w:r>
    </w:p>
    <w:p>
      <w:pPr>
        <w:pStyle w:val="BodyText"/>
      </w:pPr>
      <w:r>
        <w:rPr>
          <w:i/>
          <w:iCs/>
        </w:rPr>
        <w:t xml:space="preserve">Id.</w:t>
      </w:r>
      <w:r>
        <w:t xml:space="preserve"> </w:t>
      </w:r>
      <w:r>
        <w:t xml:space="preserve">at 110</w:t>
      </w:r>
      <w:r>
        <w:t xml:space="preserve"> </w:t>
      </w:r>
      <w:r>
        <w:rPr>
          <w:i/>
          <w:iCs/>
        </w:rPr>
        <w:t xml:space="preserve">quoting Brown</w:t>
      </w:r>
      <w:r>
        <w:t xml:space="preserve">, 163 N.J.Super at 195.</w:t>
      </w:r>
    </w:p>
    <w:p>
      <w:pPr>
        <w:pStyle w:val="BodyText"/>
      </w:pPr>
      <w:r>
        <w:t xml:space="preserve">The</w:t>
      </w:r>
      <w:r>
        <w:t xml:space="preserve"> </w:t>
      </w:r>
      <w:r>
        <w:rPr>
          <w:i/>
          <w:iCs/>
        </w:rPr>
        <w:t xml:space="preserve">Brown</w:t>
      </w:r>
      <w:r>
        <w:t xml:space="preserve"> </w:t>
      </w:r>
      <w:r>
        <w:t xml:space="preserve">test distinguishes products manufactured by others and installed on or in the improvement from the construction of the improvement itself. The statute applies to work performed by contractors in constructing the improvement and does not apply to manufacturers whose products are installed in or on the improvement. The Supreme Court recognized more than a decade after</w:t>
      </w:r>
      <w:r>
        <w:t xml:space="preserve"> </w:t>
      </w:r>
      <w:r>
        <w:rPr>
          <w:i/>
          <w:iCs/>
        </w:rPr>
        <w:t xml:space="preserve">Condit</w:t>
      </w:r>
      <w:r>
        <w:t xml:space="preserve"> </w:t>
      </w:r>
      <w:r>
        <w:t xml:space="preserve">that the “structural aspects” of construction activities discussed in</w:t>
      </w:r>
      <w:r>
        <w:t xml:space="preserve"> </w:t>
      </w:r>
      <w:r>
        <w:rPr>
          <w:i/>
          <w:iCs/>
        </w:rPr>
        <w:t xml:space="preserve">Condit</w:t>
      </w:r>
      <w:r>
        <w:t xml:space="preserve"> </w:t>
      </w:r>
      <w:r>
        <w:t xml:space="preserve">are but one of several “rational distinctions” in law between a manufacturer and contractors.</w:t>
      </w:r>
      <w:r>
        <w:t xml:space="preserve"> </w:t>
      </w:r>
      <w:r>
        <w:rPr>
          <w:i/>
          <w:iCs/>
        </w:rPr>
        <w:t xml:space="preserve">1519</w:t>
      </w:r>
      <w:r>
        <w:noBreakHyphen/>
      </w:r>
      <w:r>
        <w:rPr>
          <w:i/>
          <w:iCs/>
        </w:rPr>
        <w:t xml:space="preserve">1525 Lakeview</w:t>
      </w:r>
      <w:r>
        <w:rPr>
          <w:i/>
          <w:iCs/>
        </w:rPr>
        <w:t xml:space="preserve"> </w:t>
      </w:r>
      <w:r>
        <w:rPr>
          <w:i/>
          <w:iCs/>
        </w:rPr>
        <w:t xml:space="preserve">Blvd. Condo. Ass’n v.</w:t>
      </w:r>
      <w:r>
        <w:t xml:space="preserve"> </w:t>
      </w:r>
      <w:r>
        <w:rPr>
          <w:i/>
          <w:iCs/>
        </w:rPr>
        <w:t xml:space="preserve">Apartment Sales Corp.</w:t>
      </w:r>
      <w:r>
        <w:t xml:space="preserve"> </w:t>
      </w:r>
      <w:r>
        <w:t xml:space="preserve">144 Wn.2d at 578</w:t>
      </w:r>
      <w:r>
        <w:noBreakHyphen/>
      </w:r>
      <w:r>
        <w:t xml:space="preserve">579. This focus has been reiterated time and time again.</w:t>
      </w:r>
      <w:r>
        <w:t xml:space="preserve"> </w:t>
      </w:r>
      <w:r>
        <w:rPr>
          <w:i/>
          <w:iCs/>
        </w:rPr>
        <w:t xml:space="preserve">See e.g.,</w:t>
      </w:r>
      <w:r>
        <w:t xml:space="preserve"> </w:t>
      </w:r>
      <w:r>
        <w:rPr>
          <w:i/>
          <w:iCs/>
        </w:rPr>
        <w:t xml:space="preserve">Yakima</w:t>
      </w:r>
      <w:r>
        <w:rPr>
          <w:i/>
          <w:iCs/>
        </w:rPr>
        <w:t xml:space="preserve"> </w:t>
      </w:r>
      <w:r>
        <w:rPr>
          <w:i/>
          <w:iCs/>
        </w:rPr>
        <w:t xml:space="preserve">Fruit &amp;</w:t>
      </w:r>
      <w:r>
        <w:t xml:space="preserve"> </w:t>
      </w:r>
      <w:r>
        <w:rPr>
          <w:i/>
          <w:iCs/>
        </w:rPr>
        <w:t xml:space="preserve">Cold Storage Co. v. Central Heating &amp; Plumbing Co.,</w:t>
      </w:r>
      <w:r>
        <w:t xml:space="preserve"> </w:t>
      </w:r>
      <w:r>
        <w:t xml:space="preserve">81 Wn.2d 528, 503 P.2d 108 (1972) (applying the statute to “refrigeration system and equipment in a warehouse in order to modernize its use as a cold storage warehouse.”);</w:t>
      </w:r>
      <w:r>
        <w:t xml:space="preserve"> </w:t>
      </w:r>
      <w:r>
        <w:rPr>
          <w:i/>
          <w:iCs/>
        </w:rPr>
        <w:t xml:space="preserve">Pinneo</w:t>
      </w:r>
      <w:r>
        <w:rPr>
          <w:i/>
          <w:iCs/>
        </w:rPr>
        <w:t xml:space="preserve"> </w:t>
      </w:r>
      <w:r>
        <w:rPr>
          <w:i/>
          <w:iCs/>
        </w:rPr>
        <w:t xml:space="preserve">v. Stevens Pass,</w:t>
      </w:r>
      <w:r>
        <w:t xml:space="preserve"> </w:t>
      </w:r>
      <w:r>
        <w:rPr>
          <w:i/>
          <w:iCs/>
        </w:rPr>
        <w:t xml:space="preserve">Inc.,</w:t>
      </w:r>
      <w:r>
        <w:t xml:space="preserve"> </w:t>
      </w:r>
      <w:r>
        <w:t xml:space="preserve">14 Wn.App. 848, 545 P.2d 1207 (1976) (applying statute to a ski lift at a ski resort);</w:t>
      </w:r>
      <w:r>
        <w:t xml:space="preserve"> </w:t>
      </w:r>
      <w:r>
        <w:rPr>
          <w:i/>
          <w:iCs/>
        </w:rPr>
        <w:t xml:space="preserve">Wash. Nat. Gas Co. v. Tyee</w:t>
      </w:r>
      <w:r>
        <w:rPr>
          <w:i/>
          <w:iCs/>
        </w:rPr>
        <w:t xml:space="preserve"> </w:t>
      </w:r>
      <w:r>
        <w:rPr>
          <w:i/>
          <w:iCs/>
        </w:rPr>
        <w:t xml:space="preserve">Const. Co.</w:t>
      </w:r>
      <w:r>
        <w:t xml:space="preserve">, 26 Wn. App. 235, 239, 611 P.2d 1378 (1980) (applying statute to underground power lines);</w:t>
      </w:r>
      <w:r>
        <w:t xml:space="preserve"> </w:t>
      </w:r>
      <w:r>
        <w:rPr>
          <w:i/>
          <w:iCs/>
        </w:rPr>
        <w:t xml:space="preserve">Smith v. Showalter</w:t>
      </w:r>
      <w:r>
        <w:rPr>
          <w:i/>
          <w:iCs/>
        </w:rPr>
        <w:t xml:space="preserve">,</w:t>
      </w:r>
      <w:r>
        <w:t xml:space="preserve"> </w:t>
      </w:r>
      <w:r>
        <w:t xml:space="preserve">47 Wn.App. 245; 734 P.2d 928 (1987) (a case which involved a fire caused by faulty wiring);</w:t>
      </w:r>
      <w:r>
        <w:t xml:space="preserve"> </w:t>
      </w:r>
      <w:r>
        <w:rPr>
          <w:i/>
          <w:iCs/>
        </w:rPr>
        <w:t xml:space="preserve">Puget Sound Energy, Inc. v. Pilchuck</w:t>
      </w:r>
      <w:r>
        <w:rPr>
          <w:i/>
          <w:iCs/>
        </w:rPr>
        <w:t xml:space="preserve"> </w:t>
      </w:r>
      <w:r>
        <w:rPr>
          <w:i/>
          <w:iCs/>
        </w:rPr>
        <w:t xml:space="preserve">Contractors,</w:t>
      </w:r>
      <w:r>
        <w:t xml:space="preserve"> </w:t>
      </w:r>
      <w:r>
        <w:rPr>
          <w:i/>
          <w:iCs/>
        </w:rPr>
        <w:t xml:space="preserve">Inc.</w:t>
      </w:r>
      <w:r>
        <w:t xml:space="preserve">, 15 Wn. App. 2d 1004 (2020) (unpublished),</w:t>
      </w:r>
      <w:r>
        <w:t xml:space="preserve"> </w:t>
      </w:r>
      <w:r>
        <w:rPr>
          <w:i/>
          <w:iCs/>
        </w:rPr>
        <w:t xml:space="preserve">review</w:t>
      </w:r>
      <w:r>
        <w:t xml:space="preserve"> </w:t>
      </w:r>
      <w:r>
        <w:rPr>
          <w:i/>
          <w:iCs/>
        </w:rPr>
        <w:t xml:space="preserve">denied</w:t>
      </w:r>
      <w:r>
        <w:t xml:space="preserve">, 196 Wn.2d 1046, 481 P.3d 1060 (2021) (applying statute to gas service lines)</w:t>
      </w:r>
      <w:r>
        <w:t xml:space="preserve"> </w:t>
      </w:r>
      <w:r>
        <w:rPr>
          <w:i/>
          <w:iCs/>
        </w:rPr>
        <w:t xml:space="preserve">.</w:t>
      </w:r>
    </w:p>
    <w:p>
      <w:pPr>
        <w:pStyle w:val="BodyText"/>
      </w:pPr>
      <w:r>
        <w:t xml:space="preserve">It is clear that the</w:t>
      </w:r>
      <w:r>
        <w:t xml:space="preserve"> </w:t>
      </w:r>
      <w:r>
        <w:rPr>
          <w:i/>
          <w:iCs/>
        </w:rPr>
        <w:t xml:space="preserve">Brown</w:t>
      </w:r>
      <w:r>
        <w:t xml:space="preserve"> </w:t>
      </w:r>
      <w:r>
        <w:t xml:space="preserve">court and, by implication the</w:t>
      </w:r>
      <w:r>
        <w:t xml:space="preserve"> </w:t>
      </w:r>
      <w:r>
        <w:rPr>
          <w:i/>
          <w:iCs/>
        </w:rPr>
        <w:t xml:space="preserve">Condit</w:t>
      </w:r>
      <w:r>
        <w:t xml:space="preserve"> </w:t>
      </w:r>
      <w:r>
        <w:t xml:space="preserve">court, did not intend to restrict the application of a statute of repose to “structural”</w:t>
      </w:r>
      <w:r>
        <w:t xml:space="preserve"> </w:t>
      </w:r>
      <w:r>
        <w:rPr>
          <w:i/>
          <w:iCs/>
        </w:rPr>
        <w:t xml:space="preserve">components</w:t>
      </w:r>
      <w:r>
        <w:t xml:space="preserve"> </w:t>
      </w:r>
      <w:r>
        <w:t xml:space="preserve">of an improvement; nor could it because the legislative mandate—the language of the statute itself—did not include such restriction; nor was the “test” the</w:t>
      </w:r>
      <w:r>
        <w:t xml:space="preserve"> </w:t>
      </w:r>
      <w:r>
        <w:rPr>
          <w:i/>
          <w:iCs/>
        </w:rPr>
        <w:t xml:space="preserve">Condit</w:t>
      </w:r>
      <w:r>
        <w:t xml:space="preserve"> </w:t>
      </w:r>
      <w:r>
        <w:t xml:space="preserve">court borrowed from</w:t>
      </w:r>
      <w:r>
        <w:t xml:space="preserve"> </w:t>
      </w:r>
      <w:r>
        <w:rPr>
          <w:i/>
          <w:iCs/>
        </w:rPr>
        <w:t xml:space="preserve">Brown</w:t>
      </w:r>
      <w:r>
        <w:t xml:space="preserve"> </w:t>
      </w:r>
      <w:r>
        <w:t xml:space="preserve">so limited. A court’s “primary duty in interpreting any statute is to discern and implement the intent of the legislature” and the starting point is always the statute’s plain language and ordinary meaning.</w:t>
      </w:r>
      <w:r>
        <w:t xml:space="preserve"> </w:t>
      </w:r>
      <w:r>
        <w:rPr>
          <w:i/>
          <w:iCs/>
        </w:rPr>
        <w:t xml:space="preserve">State</w:t>
      </w:r>
      <w:r>
        <w:t xml:space="preserve"> </w:t>
      </w:r>
      <w:r>
        <w:rPr>
          <w:i/>
          <w:iCs/>
        </w:rPr>
        <w:t xml:space="preserve">v. J.P.</w:t>
      </w:r>
      <w:r>
        <w:t xml:space="preserve">, 149 Wn.2d 444, 450 69 P.3d 318 (2003).</w:t>
      </w:r>
      <w:r>
        <w:t xml:space="preserve"> </w:t>
      </w:r>
      <w:r>
        <w:rPr>
          <w:i/>
          <w:iCs/>
        </w:rPr>
        <w:t xml:space="preserve">Black’s</w:t>
      </w:r>
      <w:r>
        <w:rPr>
          <w:i/>
          <w:iCs/>
        </w:rPr>
        <w:t xml:space="preserve"> </w:t>
      </w:r>
      <w:r>
        <w:rPr>
          <w:i/>
          <w:iCs/>
        </w:rPr>
        <w:t xml:space="preserve">Law</w:t>
      </w:r>
      <w:r>
        <w:t xml:space="preserve"> </w:t>
      </w:r>
      <w:r>
        <w:rPr>
          <w:i/>
          <w:iCs/>
        </w:rPr>
        <w:t xml:space="preserve">Dictionary</w:t>
      </w:r>
      <w:r>
        <w:t xml:space="preserve"> </w:t>
      </w:r>
      <w:r>
        <w:t xml:space="preserve">defines “structure” as “any construction, production, or piece of work artificially built up or composed of parts purposefully joined together.” Black’s</w:t>
      </w:r>
      <w:r>
        <w:t xml:space="preserve"> </w:t>
      </w:r>
      <w:r>
        <w:t xml:space="preserve">Law Dictionary 1559 (9th ed. 2009). There is no doubt that the ARCO refinery is a “structure,” there is no issue of fact that Brand’s construction activities contributed to its creation and Respondent’s claims arose from such activities.</w:t>
      </w:r>
    </w:p>
    <w:p>
      <w:pPr>
        <w:keepNext/>
        <w:keepLines/>
        <w:spacing w:before="280" w:after="224" w:line="322" w:lineRule="exact"/>
        <w:ind w:left="720" w:hanging="720"/>
        <w:jc w:val="left"/>
      </w:pPr>
      <w:r>
        <w:rPr>
          <w:b/>
          <w:bCs/>
          <w:i/>
          <w:iCs/>
        </w:rPr>
        <w:t xml:space="preserve">3.</w:t>
      </w:r>
      <w:r>
        <w:rPr>
          <w:b/>
          <w:bCs/>
          <w:i/>
          <w:iCs/>
        </w:rPr>
        <w:t xml:space="preserve"> </w:t>
      </w:r>
      <w:r>
        <w:rPr>
          <w:b/>
          <w:bCs/>
        </w:rPr>
        <w:t xml:space="preserve">Maxwell</w:t>
      </w:r>
      <w:r>
        <w:rPr>
          <w:b/>
          <w:bCs/>
          <w:i/>
          <w:iCs/>
        </w:rPr>
        <w:t xml:space="preserve"> </w:t>
      </w:r>
      <w:r>
        <w:rPr>
          <w:b/>
          <w:bCs/>
          <w:i/>
          <w:iCs/>
        </w:rPr>
        <w:t xml:space="preserve">interpreted</w:t>
      </w:r>
      <w:r>
        <w:rPr>
          <w:b/>
          <w:bCs/>
          <w:i/>
          <w:iCs/>
        </w:rPr>
        <w:t xml:space="preserve"> </w:t>
      </w:r>
      <w:r>
        <w:rPr>
          <w:b/>
          <w:bCs/>
          <w:i/>
          <w:iCs/>
        </w:rPr>
        <w:t xml:space="preserve">and</w:t>
      </w:r>
      <w:r>
        <w:rPr>
          <w:b/>
          <w:bCs/>
          <w:i/>
          <w:iCs/>
        </w:rPr>
        <w:t xml:space="preserve"> </w:t>
      </w:r>
      <w:r>
        <w:rPr>
          <w:b/>
          <w:bCs/>
          <w:i/>
          <w:iCs/>
        </w:rPr>
        <w:t xml:space="preserve">applied</w:t>
      </w:r>
      <w:r>
        <w:rPr>
          <w:b/>
          <w:bCs/>
          <w:i/>
          <w:iCs/>
        </w:rPr>
        <w:t xml:space="preserve"> </w:t>
      </w:r>
      <w:r>
        <w:rPr>
          <w:b/>
          <w:bCs/>
        </w:rPr>
        <w:t xml:space="preserve">Condit</w:t>
      </w:r>
      <w:r>
        <w:rPr>
          <w:b/>
          <w:bCs/>
          <w:i/>
          <w:iCs/>
        </w:rPr>
        <w:t xml:space="preserve"> </w:t>
      </w:r>
      <w:r>
        <w:rPr>
          <w:b/>
          <w:bCs/>
          <w:i/>
          <w:iCs/>
        </w:rPr>
        <w:t xml:space="preserve">correctly</w:t>
      </w:r>
      <w:r>
        <w:rPr>
          <w:b/>
          <w:bCs/>
          <w:i/>
          <w:iCs/>
        </w:rPr>
        <w:t xml:space="preserve"> </w:t>
      </w:r>
      <w:r>
        <w:rPr>
          <w:b/>
          <w:bCs/>
          <w:i/>
          <w:iCs/>
        </w:rPr>
        <w:t xml:space="preserve">whereas</w:t>
      </w:r>
      <w:r>
        <w:rPr>
          <w:b/>
          <w:bCs/>
          <w:i/>
          <w:iCs/>
        </w:rPr>
        <w:t xml:space="preserve"> </w:t>
      </w:r>
      <w:r>
        <w:rPr>
          <w:b/>
          <w:bCs/>
        </w:rPr>
        <w:t xml:space="preserve">Welch</w:t>
      </w:r>
      <w:r>
        <w:rPr>
          <w:b/>
          <w:bCs/>
          <w:i/>
          <w:iCs/>
        </w:rPr>
        <w:t xml:space="preserve"> </w:t>
      </w:r>
      <w:r>
        <w:rPr>
          <w:b/>
          <w:bCs/>
          <w:i/>
          <w:iCs/>
        </w:rPr>
        <w:t xml:space="preserve">did</w:t>
      </w:r>
      <w:r>
        <w:rPr>
          <w:b/>
          <w:bCs/>
          <w:i/>
          <w:iCs/>
        </w:rPr>
        <w:t xml:space="preserve"> </w:t>
      </w:r>
      <w:r>
        <w:rPr>
          <w:b/>
          <w:bCs/>
          <w:i/>
          <w:iCs/>
        </w:rPr>
        <w:t xml:space="preserve">not.</w:t>
      </w:r>
    </w:p>
    <w:p>
      <w:pPr>
        <w:pStyle w:val="BodyText"/>
      </w:pPr>
      <w:r>
        <w:t xml:space="preserve">The</w:t>
      </w:r>
      <w:r>
        <w:t xml:space="preserve"> </w:t>
      </w:r>
      <w:r>
        <w:rPr>
          <w:i/>
          <w:iCs/>
        </w:rPr>
        <w:t xml:space="preserve">Maxwell</w:t>
      </w:r>
      <w:r>
        <w:t xml:space="preserve"> </w:t>
      </w:r>
      <w:r>
        <w:t xml:space="preserve">court focused on the undisputed facts: 1) the refinery was new construction; 2) Brand’s construction activities contributed to the new construction of the refinery; and 3) Brand’s work were not within an existing “improvement” but on the improvement itself.</w:t>
      </w:r>
      <w:r>
        <w:t xml:space="preserve"> </w:t>
      </w:r>
      <w:r>
        <w:rPr>
          <w:i/>
          <w:iCs/>
        </w:rPr>
        <w:t xml:space="preserve">Maxwell</w:t>
      </w:r>
      <w:r>
        <w:t xml:space="preserve"> </w:t>
      </w:r>
      <w:r>
        <w:t xml:space="preserve">at 584</w:t>
      </w:r>
      <w:r>
        <w:noBreakHyphen/>
      </w:r>
      <w:r>
        <w:t xml:space="preserve">585. It then then drew comparisons with</w:t>
      </w:r>
      <w:r>
        <w:t xml:space="preserve"> </w:t>
      </w:r>
      <w:r>
        <w:rPr>
          <w:i/>
          <w:iCs/>
        </w:rPr>
        <w:t xml:space="preserve">Condit</w:t>
      </w:r>
      <w:r>
        <w:t xml:space="preserve"> </w:t>
      </w:r>
      <w:r>
        <w:t xml:space="preserve">and</w:t>
      </w:r>
      <w:r>
        <w:t xml:space="preserve"> </w:t>
      </w:r>
      <w:r>
        <w:rPr>
          <w:i/>
          <w:iCs/>
        </w:rPr>
        <w:t xml:space="preserve">Puente</w:t>
      </w:r>
      <w:r>
        <w:t xml:space="preserve"> </w:t>
      </w:r>
      <w:r>
        <w:t xml:space="preserve">ultimately holding: “unlike the defendants in</w:t>
      </w:r>
      <w:r>
        <w:t xml:space="preserve"> </w:t>
      </w:r>
      <w:r>
        <w:rPr>
          <w:i/>
          <w:iCs/>
        </w:rPr>
        <w:t xml:space="preserve">Condit</w:t>
      </w:r>
      <w:r>
        <w:t xml:space="preserve"> </w:t>
      </w:r>
      <w:r>
        <w:t xml:space="preserve">and</w:t>
      </w:r>
      <w:r>
        <w:t xml:space="preserve"> </w:t>
      </w:r>
      <w:r>
        <w:rPr>
          <w:i/>
          <w:iCs/>
        </w:rPr>
        <w:t xml:space="preserve">Puente</w:t>
      </w:r>
      <w:r>
        <w:t xml:space="preserve">, Brand did not merely install a new system within an existing real property improvement” and noted that the “entire refinery included the “columns, heat exchangers, vessels, reformers, tanks and piping in the various refinery units.””</w:t>
      </w:r>
      <w:r>
        <w:t xml:space="preserve"> </w:t>
      </w:r>
      <w:r>
        <w:rPr>
          <w:i/>
          <w:iCs/>
        </w:rPr>
        <w:t xml:space="preserve">Id</w:t>
      </w:r>
      <w:r>
        <w:t xml:space="preserve"> </w:t>
      </w:r>
      <w:r>
        <w:t xml:space="preserve">at 585.</w:t>
      </w:r>
      <w:r>
        <w:t xml:space="preserve"> </w:t>
      </w:r>
      <w:r>
        <w:rPr>
          <w:i/>
          <w:iCs/>
        </w:rPr>
        <w:t xml:space="preserve">Maxwell</w:t>
      </w:r>
      <w:r>
        <w:t xml:space="preserve"> </w:t>
      </w:r>
      <w:r>
        <w:t xml:space="preserve">correctly found that the “improvement upon real property” requirement in the statute was satisfied by Brand having performed construction activities (installing insulation) on a massive oil refinery—an obvious structural improvement to real estate, a finding entirely consistent with</w:t>
      </w:r>
      <w:r>
        <w:t xml:space="preserve"> </w:t>
      </w:r>
      <w:r>
        <w:rPr>
          <w:i/>
          <w:iCs/>
        </w:rPr>
        <w:t xml:space="preserve">Condit</w:t>
      </w:r>
      <w:r>
        <w:t xml:space="preserve">.</w:t>
      </w:r>
      <w:r>
        <w:t xml:space="preserve"> </w:t>
      </w:r>
      <w:r>
        <w:rPr>
          <w:i/>
          <w:iCs/>
        </w:rPr>
        <w:t xml:space="preserve">Id.</w:t>
      </w:r>
    </w:p>
    <w:p>
      <w:pPr>
        <w:pStyle w:val="BodyText"/>
      </w:pPr>
      <w:r>
        <w:t xml:space="preserve">It is the</w:t>
      </w:r>
      <w:r>
        <w:t xml:space="preserve"> </w:t>
      </w:r>
      <w:r>
        <w:rPr>
          <w:i/>
          <w:iCs/>
        </w:rPr>
        <w:t xml:space="preserve">Welch</w:t>
      </w:r>
      <w:r>
        <w:t xml:space="preserve"> </w:t>
      </w:r>
      <w:r>
        <w:t xml:space="preserve">Court that misapplied the</w:t>
      </w:r>
      <w:r>
        <w:t xml:space="preserve"> </w:t>
      </w:r>
      <w:r>
        <w:rPr>
          <w:i/>
          <w:iCs/>
        </w:rPr>
        <w:t xml:space="preserve">Condit</w:t>
      </w:r>
      <w:r>
        <w:t xml:space="preserve"> </w:t>
      </w:r>
      <w:r>
        <w:t xml:space="preserve">decision finding that Brand had to establish that its construction activities contributed to a “structural improvement in the refinery ” as opposed to establishing that it contributed to the construction of the refinery itself.</w:t>
      </w:r>
      <w:r>
        <w:t xml:space="preserve"> </w:t>
      </w:r>
      <w:r>
        <w:rPr>
          <w:i/>
          <w:iCs/>
        </w:rPr>
        <w:t xml:space="preserve">Welch</w:t>
      </w:r>
      <w:r>
        <w:t xml:space="preserve"> </w:t>
      </w:r>
      <w:r>
        <w:t xml:space="preserve">27 Wn.App.2d at 112</w:t>
      </w:r>
      <w:r>
        <w:t xml:space="preserve"> </w:t>
      </w:r>
      <w:r>
        <w:rPr>
          <w:i/>
          <w:iCs/>
        </w:rPr>
        <w:t xml:space="preserve">compare Condit</w:t>
      </w:r>
      <w:r>
        <w:t xml:space="preserve"> </w:t>
      </w:r>
      <w:r>
        <w:t xml:space="preserve">101 Wn.2d at 110 (“…a structural improvement to real estate…”)</w:t>
      </w:r>
      <w:r>
        <w:t xml:space="preserve"> </w:t>
      </w:r>
      <w:r>
        <w:rPr>
          <w:i/>
          <w:iCs/>
        </w:rPr>
        <w:t xml:space="preserve">quoting Brown</w:t>
      </w:r>
      <w:r>
        <w:t xml:space="preserve">, 163 N.J.Super. at 195.</w:t>
      </w:r>
    </w:p>
    <w:p>
      <w:pPr>
        <w:pStyle w:val="BodyText"/>
      </w:pPr>
      <w:r>
        <w:rPr>
          <w:i/>
          <w:iCs/>
        </w:rPr>
        <w:t xml:space="preserve">Welch</w:t>
      </w:r>
      <w:r>
        <w:t xml:space="preserve"> </w:t>
      </w:r>
      <w:r>
        <w:t xml:space="preserve">was laser focused on whether Brand presented evidence concerning whether it contributed to the construction of integral systems and ignored the first consideration under</w:t>
      </w:r>
      <w:r>
        <w:t xml:space="preserve"> </w:t>
      </w:r>
      <w:r>
        <w:rPr>
          <w:i/>
          <w:iCs/>
        </w:rPr>
        <w:t xml:space="preserve">Condit</w:t>
      </w:r>
      <w:r>
        <w:rPr>
          <w:i/>
          <w:iCs/>
        </w:rPr>
        <w:t xml:space="preserve">.</w:t>
      </w:r>
      <w:r>
        <w:t xml:space="preserve"> </w:t>
      </w:r>
      <w:r>
        <w:rPr>
          <w:i/>
          <w:iCs/>
        </w:rPr>
        <w:t xml:space="preserve">Welch</w:t>
      </w:r>
      <w:r>
        <w:rPr>
          <w:i/>
          <w:iCs/>
        </w:rPr>
        <w:t xml:space="preserve">,</w:t>
      </w:r>
      <w:r>
        <w:t xml:space="preserve"> </w:t>
      </w:r>
      <w:r>
        <w:t xml:space="preserve">27 Wn.App.2d at 127. For the proposition that Brand failed to carry its burden in summary judgment to be true on the first</w:t>
      </w:r>
      <w:r>
        <w:t xml:space="preserve"> </w:t>
      </w:r>
      <w:r>
        <w:rPr>
          <w:i/>
          <w:iCs/>
        </w:rPr>
        <w:t xml:space="preserve">Condit</w:t>
      </w:r>
      <w:r>
        <w:t xml:space="preserve"> </w:t>
      </w:r>
      <w:r>
        <w:t xml:space="preserve">proposition, it must follow that an oil refinery cannot be “a structural improvement to real estate” because the Court found there was no dispute whether Brand’s construction activities contributed to the refinery’s construction.</w:t>
      </w:r>
      <w:r>
        <w:t xml:space="preserve"> </w:t>
      </w:r>
      <w:r>
        <w:rPr>
          <w:i/>
          <w:iCs/>
        </w:rPr>
        <w:t xml:space="preserve">Id.</w:t>
      </w:r>
      <w:r>
        <w:t xml:space="preserve"> </w:t>
      </w:r>
      <w:r>
        <w:t xml:space="preserve">at 114. However, the Cherry Point refinery exists, it is an improvement to real property and Brand contributed to its construction. Those essential facts are unrefuted and are the focus of</w:t>
      </w:r>
      <w:r>
        <w:t xml:space="preserve"> </w:t>
      </w:r>
      <w:r>
        <w:rPr>
          <w:i/>
          <w:iCs/>
        </w:rPr>
        <w:t xml:space="preserve">Condit</w:t>
      </w:r>
      <w:r>
        <w:t xml:space="preserve">. No genuine issue of material fact remains, and for this reason alone, summary judgment dismissal in Brand’s favor was and still is warranted (and was warranted in</w:t>
      </w:r>
      <w:r>
        <w:t xml:space="preserve"> </w:t>
      </w:r>
      <w:r>
        <w:rPr>
          <w:i/>
          <w:iCs/>
        </w:rPr>
        <w:t xml:space="preserve">Welch</w:t>
      </w:r>
      <w:r>
        <w:t xml:space="preserve">) and it was obvious error for this trial court to find otherwise.</w:t>
      </w:r>
    </w:p>
    <w:p>
      <w:pPr>
        <w:keepNext/>
        <w:keepLines/>
        <w:spacing w:before="336" w:after="224" w:line="32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committed</w:t>
      </w:r>
      <w:r>
        <w:rPr>
          <w:b/>
          <w:bCs/>
        </w:rPr>
        <w:t xml:space="preserve"> </w:t>
      </w:r>
      <w:r>
        <w:rPr>
          <w:b/>
          <w:bCs/>
        </w:rPr>
        <w:t xml:space="preserve">obvious</w:t>
      </w:r>
      <w:r>
        <w:rPr>
          <w:b/>
          <w:bCs/>
        </w:rPr>
        <w:t xml:space="preserve"> </w:t>
      </w:r>
      <w:r>
        <w:rPr>
          <w:b/>
          <w:bCs/>
        </w:rPr>
        <w:t xml:space="preserve">error</w:t>
      </w:r>
      <w:r>
        <w:rPr>
          <w:b/>
          <w:bCs/>
        </w:rPr>
        <w:t xml:space="preserve"> </w:t>
      </w:r>
      <w:r>
        <w:rPr>
          <w:b/>
          <w:bCs/>
        </w:rPr>
        <w:t xml:space="preserve">by</w:t>
      </w:r>
      <w:r>
        <w:rPr>
          <w:b/>
          <w:bCs/>
        </w:rPr>
        <w:t xml:space="preserve"> </w:t>
      </w:r>
      <w:r>
        <w:rPr>
          <w:b/>
          <w:bCs/>
        </w:rPr>
        <w:t xml:space="preserve">relying</w:t>
      </w:r>
      <w:r>
        <w:rPr>
          <w:b/>
          <w:bCs/>
        </w:rPr>
        <w:t xml:space="preserve"> </w:t>
      </w:r>
      <w:r>
        <w:rPr>
          <w:b/>
          <w:bCs/>
        </w:rPr>
        <w:t xml:space="preserve">on</w:t>
      </w:r>
      <w:r>
        <w:rPr>
          <w:b/>
          <w:bCs/>
        </w:rPr>
        <w:t xml:space="preserve"> </w:t>
      </w:r>
      <w:r>
        <w:rPr>
          <w:b/>
          <w:bCs/>
        </w:rPr>
        <w:t xml:space="preserve">inadmissible</w:t>
      </w:r>
      <w:r>
        <w:rPr>
          <w:b/>
          <w:bCs/>
        </w:rPr>
        <w:t xml:space="preserve"> </w:t>
      </w:r>
      <w:r>
        <w:rPr>
          <w:b/>
          <w:bCs/>
        </w:rPr>
        <w:t xml:space="preserve">and</w:t>
      </w:r>
      <w:r>
        <w:rPr>
          <w:b/>
          <w:bCs/>
        </w:rPr>
        <w:t xml:space="preserve"> </w:t>
      </w:r>
      <w:r>
        <w:rPr>
          <w:b/>
          <w:bCs/>
        </w:rPr>
        <w:t xml:space="preserve">irrelevant</w:t>
      </w:r>
      <w:r>
        <w:rPr>
          <w:b/>
          <w:bCs/>
        </w:rPr>
        <w:t xml:space="preserve"> </w:t>
      </w:r>
      <w:r>
        <w:rPr>
          <w:b/>
          <w:bCs/>
        </w:rPr>
        <w:t xml:space="preserve">evidence</w:t>
      </w:r>
      <w:r>
        <w:rPr>
          <w:b/>
          <w:bCs/>
        </w:rPr>
        <w:t xml:space="preserve"> </w:t>
      </w:r>
      <w:r>
        <w:rPr>
          <w:b/>
          <w:bCs/>
        </w:rPr>
        <w:t xml:space="preserve">when</w:t>
      </w:r>
      <w:r>
        <w:rPr>
          <w:b/>
          <w:bCs/>
        </w:rPr>
        <w:t xml:space="preserve"> </w:t>
      </w:r>
      <w:r>
        <w:rPr>
          <w:b/>
          <w:bCs/>
        </w:rPr>
        <w:t xml:space="preserve">finding</w:t>
      </w:r>
      <w:r>
        <w:rPr>
          <w:b/>
          <w:bCs/>
        </w:rPr>
        <w:t xml:space="preserve"> </w:t>
      </w:r>
      <w:r>
        <w:rPr>
          <w:b/>
          <w:bCs/>
        </w:rPr>
        <w:t xml:space="preserve">against</w:t>
      </w:r>
      <w:r>
        <w:rPr>
          <w:b/>
          <w:bCs/>
        </w:rPr>
        <w:t xml:space="preserve"> </w:t>
      </w:r>
      <w:r>
        <w:rPr>
          <w:b/>
          <w:bCs/>
        </w:rPr>
        <w:t xml:space="preserve">Brand’s</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motion.</w:t>
      </w:r>
    </w:p>
    <w:p>
      <w:pPr>
        <w:pStyle w:val="BodyText"/>
      </w:pPr>
      <w:r>
        <w:t xml:space="preserve">Summary judgment in Brand’s favor was warranted even if</w:t>
      </w:r>
      <w:r>
        <w:t xml:space="preserve"> </w:t>
      </w:r>
      <w:r>
        <w:rPr>
          <w:i/>
          <w:iCs/>
        </w:rPr>
        <w:t xml:space="preserve">Welch</w:t>
      </w:r>
      <w:r>
        <w:t xml:space="preserve"> </w:t>
      </w:r>
      <w:r>
        <w:t xml:space="preserve">was considered in a vacuum. Brand carried its burden of proof in summary judgment, demonstrating both</w:t>
      </w:r>
      <w:r>
        <w:t xml:space="preserve"> </w:t>
      </w:r>
      <w:r>
        <w:rPr>
          <w:i/>
          <w:iCs/>
        </w:rPr>
        <w:t xml:space="preserve">Condit</w:t>
      </w:r>
      <w:r>
        <w:t xml:space="preserve"> </w:t>
      </w:r>
      <w:r>
        <w:t xml:space="preserve">requirements as interpreted by the</w:t>
      </w:r>
      <w:r>
        <w:t xml:space="preserve"> </w:t>
      </w:r>
      <w:r>
        <w:rPr>
          <w:i/>
          <w:iCs/>
        </w:rPr>
        <w:t xml:space="preserve">Welch</w:t>
      </w:r>
      <w:r>
        <w:t xml:space="preserve"> </w:t>
      </w:r>
      <w:r>
        <w:t xml:space="preserve">court.</w:t>
      </w:r>
      <w:r>
        <w:t xml:space="preserve"> </w:t>
      </w:r>
      <w:r>
        <w:rPr>
          <w:i/>
          <w:iCs/>
        </w:rPr>
        <w:t xml:space="preserve">Welch</w:t>
      </w:r>
      <w:r>
        <w:rPr>
          <w:i/>
          <w:iCs/>
        </w:rPr>
        <w:t xml:space="preserve">,</w:t>
      </w:r>
      <w:r>
        <w:t xml:space="preserve"> </w:t>
      </w:r>
      <w:r>
        <w:t xml:space="preserve">27 Wn.App.2d at 112. Respondent did not allege that Brand failed to carry its initial burden of proof in summary judgment; nor was such finding made by the trial court.</w:t>
      </w:r>
    </w:p>
    <w:p>
      <w:pPr>
        <w:pStyle w:val="BodyText"/>
      </w:pPr>
      <w:r>
        <w:t xml:space="preserve">The trial court’s obvious error was finding that issues of fact remained even under</w:t>
      </w:r>
      <w:r>
        <w:t xml:space="preserve"> </w:t>
      </w:r>
      <w:r>
        <w:rPr>
          <w:i/>
          <w:iCs/>
        </w:rPr>
        <w:t xml:space="preserve">Welch</w:t>
      </w:r>
      <w:r>
        <w:t xml:space="preserve">. Appx. 1624</w:t>
      </w:r>
      <w:r>
        <w:noBreakHyphen/>
      </w:r>
      <w:r>
        <w:t xml:space="preserve">1628. The Trial Court focused on two areas: 1) that “ARCO’s engineer Abe Johnson testified that refineries can operate without insulation;” 2) that the Cherry Point refinery began processing oil in 1971 and certain units at Cherry Point not being operated, while other units did operate.</w:t>
      </w:r>
      <w:r>
        <w:t xml:space="preserve"> </w:t>
      </w:r>
      <w:r>
        <w:rPr>
          <w:i/>
          <w:iCs/>
        </w:rPr>
        <w:t xml:space="preserve">Id.</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Mr.</w:t>
      </w:r>
      <w:r>
        <w:rPr>
          <w:b/>
          <w:bCs/>
          <w:i/>
          <w:iCs/>
        </w:rPr>
        <w:t xml:space="preserve"> </w:t>
      </w:r>
      <w:r>
        <w:rPr>
          <w:b/>
          <w:bCs/>
          <w:i/>
          <w:iCs/>
        </w:rPr>
        <w:t xml:space="preserve">Johnson’s</w:t>
      </w:r>
      <w:r>
        <w:rPr>
          <w:b/>
          <w:bCs/>
          <w:i/>
          <w:iCs/>
        </w:rPr>
        <w:t xml:space="preserve"> </w:t>
      </w:r>
      <w:r>
        <w:rPr>
          <w:b/>
          <w:bCs/>
          <w:i/>
          <w:iCs/>
        </w:rPr>
        <w:t xml:space="preserve">testimony</w:t>
      </w:r>
      <w:r>
        <w:rPr>
          <w:b/>
          <w:bCs/>
          <w:i/>
          <w:iCs/>
        </w:rPr>
        <w:t xml:space="preserve"> </w:t>
      </w:r>
      <w:r>
        <w:rPr>
          <w:b/>
          <w:bCs/>
          <w:i/>
          <w:iCs/>
        </w:rPr>
        <w:t xml:space="preserve">is</w:t>
      </w:r>
      <w:r>
        <w:rPr>
          <w:b/>
          <w:bCs/>
          <w:i/>
          <w:iCs/>
        </w:rPr>
        <w:t xml:space="preserve"> </w:t>
      </w:r>
      <w:r>
        <w:rPr>
          <w:b/>
          <w:bCs/>
          <w:i/>
          <w:iCs/>
        </w:rPr>
        <w:t xml:space="preserve">irrelevant</w:t>
      </w:r>
      <w:r>
        <w:rPr>
          <w:b/>
          <w:bCs/>
          <w:i/>
          <w:iCs/>
        </w:rPr>
        <w:t xml:space="preserve"> </w:t>
      </w:r>
      <w:r>
        <w:rPr>
          <w:b/>
          <w:bCs/>
          <w:i/>
          <w:iCs/>
        </w:rPr>
        <w:t xml:space="preserve">and</w:t>
      </w:r>
      <w:r>
        <w:rPr>
          <w:b/>
          <w:bCs/>
          <w:i/>
          <w:iCs/>
        </w:rPr>
        <w:t xml:space="preserve"> </w:t>
      </w:r>
      <w:r>
        <w:rPr>
          <w:b/>
          <w:bCs/>
          <w:i/>
          <w:iCs/>
        </w:rPr>
        <w:t xml:space="preserve">inadmissible.</w:t>
      </w:r>
    </w:p>
    <w:p>
      <w:pPr>
        <w:pStyle w:val="BodyText"/>
      </w:pPr>
      <w:r>
        <w:t xml:space="preserve">The trial court committed obvious error by finding an “issue of fact” based on the testimony of Abe Johnson. The testimony was admittedly conjecture, ultimately inadmissible and completely irrelevant.</w:t>
      </w:r>
    </w:p>
    <w:p>
      <w:pPr>
        <w:pStyle w:val="BodyText"/>
      </w:pPr>
      <w:r>
        <w:t xml:space="preserve">The trial court focused on his testimony “that refineries can operate without insulation” to create an issue of fact. In the same deposition, Johnson testified this comment was theoretical only, admits that insulation is a “basic and integral component of any completed refinery;” that he was unaware of any refinery constructed without insulation; and “you wouldn’t” design a refinery without thermal insulation in his opinion. Appx. 1581- 1585. His passing, theoretical statement speaks nothing about the intended function of the ARCO Cherry Point refinery. His complete testimony establishes Brand’s position and does not create an issue of fact.</w:t>
      </w:r>
    </w:p>
    <w:p>
      <w:pPr>
        <w:pStyle w:val="BodyText"/>
      </w:pPr>
      <w:r>
        <w:t xml:space="preserve">The trial court’s position assumes Mr. Johnson was qualified to opine on these issues. The laws of thermodynamics and how they apply to refinery energy balance and heat management in process unit design elements are matters that are beyond the common understanding of lay persons, requiring expert opinion.</w:t>
      </w:r>
      <w:r>
        <w:t xml:space="preserve"> </w:t>
      </w:r>
      <w:r>
        <w:rPr>
          <w:i/>
          <w:iCs/>
        </w:rPr>
        <w:t xml:space="preserve">State v. Thomas</w:t>
      </w:r>
      <w:r>
        <w:t xml:space="preserve">, 123 Wn.App. 771, 778 98 P.3d 1258 (2004);</w:t>
      </w:r>
      <w:r>
        <w:t xml:space="preserve"> </w:t>
      </w:r>
      <w:r>
        <w:rPr>
          <w:i/>
          <w:iCs/>
        </w:rPr>
        <w:t xml:space="preserve">see also</w:t>
      </w:r>
      <w:r>
        <w:t xml:space="preserve"> </w:t>
      </w:r>
      <w:r>
        <w:t xml:space="preserve">ER</w:t>
      </w:r>
      <w:r>
        <w:t xml:space="preserve"> </w:t>
      </w:r>
      <w:r>
        <w:t xml:space="preserve">702.</w:t>
      </w:r>
    </w:p>
    <w:p>
      <w:pPr>
        <w:pStyle w:val="BodyText"/>
      </w:pPr>
      <w:r>
        <w:t xml:space="preserve">No attempt was made to qualify Mr. Johnson as an expert witness; nor was there any evidence he possessed the requisite foundation to opine on refinery design, heat management and energy balance issues as related to process unit requirements in order for the refinery to function as intended. ER</w:t>
      </w:r>
      <w:r>
        <w:t xml:space="preserve"> </w:t>
      </w:r>
      <w:r>
        <w:t xml:space="preserve">701(c) does not permit a lay person to opine on matters “based on scientific, technical, or other specialized knowledge within the scope of rule 702.” The testimony was an inadmissible opinion of a lay person. ER</w:t>
      </w:r>
      <w:r>
        <w:t xml:space="preserve"> </w:t>
      </w:r>
      <w:r>
        <w:t xml:space="preserve">701. The testimony was unreliable, inadmissible and insufficient to create an issue of fact at summary judgment.</w:t>
      </w:r>
      <w:r>
        <w:t xml:space="preserve"> </w:t>
      </w:r>
      <w:r>
        <w:rPr>
          <w:i/>
          <w:iCs/>
        </w:rPr>
        <w:t xml:space="preserve">Lakey</w:t>
      </w:r>
      <w:r>
        <w:t xml:space="preserve"> </w:t>
      </w:r>
      <w:r>
        <w:rPr>
          <w:i/>
          <w:iCs/>
        </w:rPr>
        <w:t xml:space="preserve">v. Puget Sound Energy, Inc.,</w:t>
      </w:r>
      <w:r>
        <w:t xml:space="preserve"> </w:t>
      </w:r>
      <w:r>
        <w:t xml:space="preserve">176 Wn.2d 909, 918, 296 P.3d 860 (2013);</w:t>
      </w:r>
      <w:r>
        <w:t xml:space="preserve"> </w:t>
      </w:r>
      <w:r>
        <w:rPr>
          <w:i/>
          <w:iCs/>
        </w:rPr>
        <w:t xml:space="preserve">Chamberlain</w:t>
      </w:r>
      <w:r>
        <w:rPr>
          <w:i/>
          <w:iCs/>
        </w:rPr>
        <w:t xml:space="preserve"> </w:t>
      </w:r>
      <w:r>
        <w:rPr>
          <w:i/>
          <w:iCs/>
        </w:rPr>
        <w:t xml:space="preserve">v. Dept. of Trans.</w:t>
      </w:r>
      <w:r>
        <w:t xml:space="preserve">, 79 Wn. App. 212, 215- 16, 901 P.2d 344 (1995). The trial court committed obvious error finding an issue of fact based upon Mr. Johnson’s testimony.</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There</w:t>
      </w:r>
      <w:r>
        <w:rPr>
          <w:b/>
          <w:bCs/>
          <w:i/>
          <w:iCs/>
        </w:rPr>
        <w:t xml:space="preserve"> </w:t>
      </w:r>
      <w:r>
        <w:rPr>
          <w:b/>
          <w:bCs/>
          <w:i/>
          <w:iCs/>
        </w:rPr>
        <w:t xml:space="preserve">is</w:t>
      </w:r>
      <w:r>
        <w:rPr>
          <w:b/>
          <w:bCs/>
          <w:i/>
          <w:iCs/>
        </w:rPr>
        <w:t xml:space="preserve"> </w:t>
      </w:r>
      <w:r>
        <w:rPr>
          <w:b/>
          <w:bCs/>
          <w:i/>
          <w:iCs/>
        </w:rPr>
        <w:t xml:space="preserve">no</w:t>
      </w:r>
      <w:r>
        <w:rPr>
          <w:b/>
          <w:bCs/>
          <w:i/>
          <w:iCs/>
        </w:rPr>
        <w:t xml:space="preserve"> </w:t>
      </w:r>
      <w:r>
        <w:rPr>
          <w:b/>
          <w:bCs/>
          <w:i/>
          <w:iCs/>
        </w:rPr>
        <w:t xml:space="preserve">authority</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legal</w:t>
      </w:r>
      <w:r>
        <w:rPr>
          <w:b/>
          <w:bCs/>
          <w:i/>
          <w:iCs/>
        </w:rPr>
        <w:t xml:space="preserve"> </w:t>
      </w:r>
      <w:r>
        <w:rPr>
          <w:b/>
          <w:bCs/>
          <w:i/>
          <w:iCs/>
        </w:rPr>
        <w:t xml:space="preserve">character</w:t>
      </w:r>
      <w:r>
        <w:rPr>
          <w:b/>
          <w:bCs/>
          <w:i/>
          <w:iCs/>
        </w:rPr>
        <w:t xml:space="preserve"> </w:t>
      </w:r>
      <w:r>
        <w:rPr>
          <w:b/>
          <w:bCs/>
          <w:i/>
          <w:iCs/>
        </w:rPr>
        <w:t xml:space="preserve">of</w:t>
      </w:r>
      <w:r>
        <w:rPr>
          <w:b/>
          <w:bCs/>
          <w:i/>
          <w:iCs/>
        </w:rPr>
        <w:t xml:space="preserve"> </w:t>
      </w:r>
      <w:r>
        <w:rPr>
          <w:b/>
          <w:bCs/>
          <w:i/>
          <w:iCs/>
        </w:rPr>
        <w:t xml:space="preserve">an</w:t>
      </w:r>
      <w:r>
        <w:rPr>
          <w:b/>
          <w:bCs/>
          <w:i/>
          <w:iCs/>
        </w:rPr>
        <w:t xml:space="preserve"> </w:t>
      </w:r>
      <w:r>
        <w:rPr>
          <w:b/>
          <w:bCs/>
          <w:i/>
          <w:iCs/>
        </w:rPr>
        <w:t xml:space="preserve">improvement</w:t>
      </w:r>
      <w:r>
        <w:rPr>
          <w:b/>
          <w:bCs/>
          <w:i/>
          <w:iCs/>
        </w:rPr>
        <w:t xml:space="preserve"> </w:t>
      </w:r>
      <w:r>
        <w:rPr>
          <w:b/>
          <w:bCs/>
          <w:i/>
          <w:iCs/>
        </w:rPr>
        <w:t xml:space="preserve">upon</w:t>
      </w:r>
      <w:r>
        <w:rPr>
          <w:b/>
          <w:bCs/>
          <w:i/>
          <w:iCs/>
        </w:rPr>
        <w:t xml:space="preserve"> </w:t>
      </w:r>
      <w:r>
        <w:rPr>
          <w:b/>
          <w:bCs/>
          <w:i/>
          <w:iCs/>
        </w:rPr>
        <w:t xml:space="preserve">real</w:t>
      </w:r>
      <w:r>
        <w:rPr>
          <w:b/>
          <w:bCs/>
          <w:i/>
          <w:iCs/>
        </w:rPr>
        <w:t xml:space="preserve"> </w:t>
      </w:r>
      <w:r>
        <w:rPr>
          <w:b/>
          <w:bCs/>
          <w:i/>
          <w:iCs/>
        </w:rPr>
        <w:t xml:space="preserve">property</w:t>
      </w:r>
      <w:r>
        <w:rPr>
          <w:b/>
          <w:bCs/>
          <w:i/>
          <w:iCs/>
        </w:rPr>
        <w:t xml:space="preserve"> </w:t>
      </w:r>
      <w:r>
        <w:rPr>
          <w:b/>
          <w:bCs/>
          <w:i/>
          <w:iCs/>
        </w:rPr>
        <w:t xml:space="preserve">changes</w:t>
      </w:r>
      <w:r>
        <w:rPr>
          <w:b/>
          <w:bCs/>
          <w:i/>
          <w:iCs/>
        </w:rPr>
        <w:t xml:space="preserve"> </w:t>
      </w:r>
      <w:r>
        <w:rPr>
          <w:b/>
          <w:bCs/>
          <w:i/>
          <w:iCs/>
        </w:rPr>
        <w:t xml:space="preserve">if</w:t>
      </w:r>
      <w:r>
        <w:rPr>
          <w:b/>
          <w:bCs/>
          <w:i/>
          <w:iCs/>
        </w:rPr>
        <w:t xml:space="preserve"> </w:t>
      </w:r>
      <w:r>
        <w:rPr>
          <w:b/>
          <w:bCs/>
          <w:i/>
          <w:iCs/>
        </w:rPr>
        <w:t xml:space="preserve">it</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in</w:t>
      </w:r>
      <w:r>
        <w:rPr>
          <w:b/>
          <w:bCs/>
          <w:i/>
          <w:iCs/>
        </w:rPr>
        <w:t xml:space="preserve"> </w:t>
      </w:r>
      <w:r>
        <w:rPr>
          <w:b/>
          <w:bCs/>
          <w:i/>
          <w:iCs/>
        </w:rPr>
        <w:t xml:space="preserve">use.</w:t>
      </w:r>
    </w:p>
    <w:p>
      <w:pPr>
        <w:pStyle w:val="BodyText"/>
      </w:pPr>
      <w:r>
        <w:t xml:space="preserve">Brand provided evidence that a refinery is a collection of several integrated, dependent, yet discretely differentiated systems (referred to as process units), and that each process unit requires heat management, and thermal insulation is the critical element to maintain the energy balance in these systems. Appx. 788</w:t>
      </w:r>
      <w:r>
        <w:noBreakHyphen/>
      </w:r>
      <w:r>
        <w:t xml:space="preserve">797. The ARCO Cherry Point refinery was intended to have multiple process units, each of which was integral to the refinery’s overall intended function: to produce petroleum products (i.e. various grades of gasoline, diesel, jet fuel, lubricants, and other marketable products) to meet changing market conditions. Appx. 1548</w:t>
      </w:r>
      <w:r>
        <w:noBreakHyphen/>
      </w:r>
      <w:r>
        <w:t xml:space="preserve">49; 1260</w:t>
      </w:r>
      <w:r>
        <w:noBreakHyphen/>
      </w:r>
      <w:r>
        <w:t xml:space="preserve">1263</w:t>
      </w:r>
      <w:r>
        <w:t xml:space="preserve"> </w:t>
      </w:r>
      <w:r>
        <w:rPr>
          <w:i/>
          <w:iCs/>
        </w:rPr>
        <w:t xml:space="preserve">see also</w:t>
      </w:r>
      <w:r>
        <w:t xml:space="preserve"> </w:t>
      </w:r>
      <w:r>
        <w:t xml:space="preserve">Appx. 788</w:t>
      </w:r>
      <w:r>
        <w:noBreakHyphen/>
      </w:r>
      <w:r>
        <w:t xml:space="preserve">797. This definition of a “refinery” was not contested by Respondent. Appx. 1548</w:t>
      </w:r>
      <w:r>
        <w:noBreakHyphen/>
      </w:r>
      <w:r>
        <w:t xml:space="preserve">49.</w:t>
      </w:r>
    </w:p>
    <w:p>
      <w:pPr>
        <w:pStyle w:val="BodyText"/>
      </w:pPr>
      <w:r>
        <w:t xml:space="preserve">No authority exists that would dictate the legal character of an improvement upon real property would change in the context of the statute of repose if it, or a portion of it, was not in use as plaintiff argued and the trial court found. There is no “use” requirement in RCW 4.16.300</w:t>
      </w:r>
      <w:r>
        <w:t xml:space="preserve">-.310 or in the</w:t>
      </w:r>
      <w:r>
        <w:t xml:space="preserve"> </w:t>
      </w:r>
      <w:r>
        <w:rPr>
          <w:i/>
          <w:iCs/>
        </w:rPr>
        <w:t xml:space="preserve">Condit</w:t>
      </w:r>
      <w:r>
        <w:t xml:space="preserve"> </w:t>
      </w:r>
      <w:r>
        <w:t xml:space="preserve">decision. Such argument if accepted would pragmatically render the statute itself useless as the moment a portion of an improvement upon real property is not in use because its legal character would change and the statute not apply. For example, an abandoned residential home is still an improvement upon real property even if it has not been lived in for several years. The evidence that some units in the refinery operated at different times and some did not was irrelevant, and it was obvious error for the trial court to find that such evidence created an issue of fact at summary judgment. ER</w:t>
      </w:r>
      <w:r>
        <w:t xml:space="preserve"> </w:t>
      </w:r>
      <w:r>
        <w:t xml:space="preserve">402.</w:t>
      </w:r>
    </w:p>
    <w:p>
      <w:pPr>
        <w:keepNext/>
        <w:keepLines/>
        <w:spacing w:before="336" w:after="224" w:line="322" w:lineRule="exact"/>
        <w:ind w:left="720" w:hanging="720"/>
        <w:jc w:val="left"/>
      </w:pPr>
      <w:r>
        <w:rPr>
          <w:b/>
          <w:bCs/>
        </w:rPr>
        <w:t xml:space="preserve">C.</w:t>
      </w:r>
      <w:r>
        <w:rPr>
          <w:b/>
          <w:bCs/>
        </w:rPr>
        <w:t xml:space="preserve"> </w:t>
      </w:r>
      <w:r>
        <w:rPr>
          <w:b/>
          <w:bCs/>
        </w:rPr>
        <w:t xml:space="preserve">Granting</w:t>
      </w:r>
      <w:r>
        <w:rPr>
          <w:b/>
          <w:bCs/>
        </w:rPr>
        <w:t xml:space="preserve"> </w:t>
      </w:r>
      <w:r>
        <w:rPr>
          <w:b/>
          <w:bCs/>
        </w:rPr>
        <w:t xml:space="preserve">Brand’s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renders</w:t>
      </w:r>
      <w:r>
        <w:rPr>
          <w:b/>
          <w:bCs/>
        </w:rPr>
        <w:t xml:space="preserve"> </w:t>
      </w:r>
      <w:r>
        <w:rPr>
          <w:b/>
          <w:bCs/>
        </w:rPr>
        <w:t xml:space="preserve">further</w:t>
      </w:r>
      <w:r>
        <w:rPr>
          <w:b/>
          <w:bCs/>
        </w:rPr>
        <w:t xml:space="preserve"> </w:t>
      </w:r>
      <w:r>
        <w:rPr>
          <w:b/>
          <w:bCs/>
        </w:rPr>
        <w:t xml:space="preserve">proceedings</w:t>
      </w:r>
      <w:r>
        <w:rPr>
          <w:b/>
          <w:bCs/>
        </w:rPr>
        <w:t xml:space="preserve"> </w:t>
      </w:r>
      <w:r>
        <w:rPr>
          <w:b/>
          <w:bCs/>
        </w:rPr>
        <w:t xml:space="preserve">useless.</w:t>
      </w:r>
    </w:p>
    <w:p>
      <w:pPr>
        <w:pStyle w:val="BodyText"/>
      </w:pPr>
      <w:r>
        <w:t xml:space="preserve">An obvious error warrants review when further proceedings would be useless but for the error. RAP 2.3(b)⁠(1)</w:t>
      </w:r>
      <w:r>
        <w:t xml:space="preserve">. Brand is the only remaining defendant for trial. A grant of Brand’s Motion for Summary Judgment would render further proceedings useless. The Court should accept review under RAP 2.3(b)⁠(1)</w:t>
      </w:r>
      <w:r>
        <w:t xml:space="preserve"> </w:t>
      </w:r>
      <w:r>
        <w:t xml:space="preserve">and RAP 4.2(a)⁠(3)</w:t>
      </w:r>
      <w:r>
        <w:t xml:space="preserve">. There is a clear conflict between the Division Two decision in</w:t>
      </w:r>
      <w:r>
        <w:t xml:space="preserve"> </w:t>
      </w:r>
      <w:r>
        <w:rPr>
          <w:i/>
          <w:iCs/>
        </w:rPr>
        <w:t xml:space="preserve">Maxwell</w:t>
      </w:r>
      <w:r>
        <w:t xml:space="preserve"> </w:t>
      </w:r>
      <w:r>
        <w:t xml:space="preserve">and the Division One decision in</w:t>
      </w:r>
      <w:r>
        <w:t xml:space="preserve"> </w:t>
      </w:r>
      <w:r>
        <w:rPr>
          <w:i/>
          <w:iCs/>
        </w:rPr>
        <w:t xml:space="preserve">Welch</w:t>
      </w:r>
      <w:r>
        <w:rPr>
          <w:i/>
          <w:iCs/>
        </w:rPr>
        <w:t xml:space="preserve">.</w:t>
      </w:r>
      <w:r>
        <w:t xml:space="preserve"> </w:t>
      </w:r>
      <w:r>
        <w:t xml:space="preserve">The trial court granted summary judgment based on</w:t>
      </w:r>
      <w:r>
        <w:t xml:space="preserve"> </w:t>
      </w:r>
      <w:r>
        <w:rPr>
          <w:i/>
          <w:iCs/>
        </w:rPr>
        <w:t xml:space="preserve">Maxwell</w:t>
      </w:r>
      <w:r>
        <w:t xml:space="preserve"> </w:t>
      </w:r>
      <w:r>
        <w:t xml:space="preserve">and, then, vacated that judgment and denied summary judgment based on</w:t>
      </w:r>
      <w:r>
        <w:t xml:space="preserve"> </w:t>
      </w:r>
      <w:r>
        <w:rPr>
          <w:i/>
          <w:iCs/>
        </w:rPr>
        <w:t xml:space="preserve">Welch</w:t>
      </w:r>
      <w:r>
        <w:rPr>
          <w:i/>
          <w:iCs/>
        </w:rPr>
        <w:t xml:space="preserve">.</w:t>
      </w:r>
    </w:p>
    <w:p>
      <w:pPr>
        <w:keepNext/>
        <w:keepLines/>
        <w:spacing w:before="448" w:after="336" w:line="322" w:lineRule="exact"/>
        <w:ind w:left="0" w:firstLine="0"/>
        <w:jc w:val="center"/>
      </w:pPr>
      <w:r>
        <w:rPr>
          <w:b/>
          <w:bCs/>
        </w:rPr>
        <w:t xml:space="preserve">VI.</w:t>
      </w:r>
      <w:r>
        <w:rPr>
          <w:b/>
          <w:bCs/>
        </w:rPr>
        <w:t xml:space="preserve"> </w:t>
      </w:r>
      <w:r>
        <w:rPr>
          <w:b/>
          <w:bCs/>
        </w:rPr>
        <w:t xml:space="preserve">CONCLUSION</w:t>
      </w:r>
    </w:p>
    <w:p>
      <w:pPr>
        <w:pStyle w:val="BodyText"/>
      </w:pPr>
      <w:r>
        <w:t xml:space="preserve">This Court should grant discretionary review of the superior court’s decision denying Brand’s motion for summary judgment.</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This</w:t>
            </w:r>
            <w:r>
              <w:t xml:space="preserve"> </w:t>
            </w:r>
            <w:r>
              <w:t xml:space="preserve">document</w:t>
            </w:r>
            <w:r>
              <w:t xml:space="preserve"> </w:t>
            </w:r>
            <w:r>
              <w:t xml:space="preserve">contains</w:t>
            </w:r>
            <w:r>
              <w:t xml:space="preserve"> </w:t>
            </w:r>
            <w:r>
              <w:t xml:space="preserve">4745</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document</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RAP</w:t>
            </w:r>
            <w:r>
              <w:t xml:space="preserve"> </w:t>
            </w:r>
            <w:r>
              <w:t xml:space="preserve">18.17(b).</w:t>
            </w:r>
          </w:p>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15th</w:t>
            </w:r>
            <w:r>
              <w:t xml:space="preserve"> </w:t>
            </w:r>
            <w:r>
              <w:t xml:space="preserve">day</w:t>
            </w:r>
            <w:r>
              <w:t xml:space="preserve"> </w:t>
            </w:r>
            <w:r>
              <w:t xml:space="preserve">of</w:t>
            </w:r>
            <w:r>
              <w:t xml:space="preserve"> </w:t>
            </w:r>
            <w:r>
              <w:t xml:space="preserve">February,</w:t>
            </w:r>
            <w:r>
              <w:t xml:space="preserve"> </w:t>
            </w:r>
            <w:r>
              <w:t xml:space="preserve">2024.</w:t>
            </w:r>
          </w:p>
          <w:p>
            <w:pPr>
              <w:spacing w:before="112" w:after="224" w:line="322" w:lineRule="exact"/>
              <w:ind w:left="1440" w:firstLine="0"/>
              <w:jc w:val="left"/>
            </w:pPr>
            <w:r>
              <w:rPr>
                <w:b/>
                <w:bCs/>
              </w:rPr>
              <w:t xml:space="preserve">WILLIAMS,</w:t>
            </w:r>
            <w:r>
              <w:rPr>
                <w:b/>
                <w:bCs/>
              </w:rPr>
              <w:t xml:space="preserve"> </w:t>
            </w:r>
            <w:r>
              <w:rPr>
                <w:b/>
                <w:bCs/>
              </w:rPr>
              <w:t xml:space="preserve">KASTNER</w:t>
            </w:r>
            <w:r>
              <w:rPr>
                <w:b/>
                <w:bCs/>
              </w:rPr>
              <w:t xml:space="preserve"> </w:t>
            </w:r>
            <w:r>
              <w:rPr>
                <w:b/>
                <w:bCs/>
              </w:rPr>
              <w:t xml:space="preserve">&amp;</w:t>
            </w:r>
            <w:r>
              <w:rPr>
                <w:b/>
                <w:bCs/>
              </w:rPr>
              <w:t xml:space="preserve"> </w:t>
            </w:r>
            <w:r>
              <w:rPr>
                <w:b/>
                <w:bCs/>
              </w:rPr>
              <w:t xml:space="preserve">GIBBS</w:t>
            </w:r>
            <w:r>
              <w:rPr>
                <w:b/>
                <w:bCs/>
              </w:rPr>
              <w:t xml:space="preserve"> </w:t>
            </w:r>
            <w:r>
              <w:rPr>
                <w:b/>
                <w:bCs/>
              </w:rPr>
              <w:t xml:space="preserve">PLLC</w:t>
            </w:r>
          </w:p>
          <w:p>
            <w:pPr>
              <w:spacing w:before="252" w:after="0" w:line="322" w:lineRule="exact"/>
              <w:ind w:left="1440" w:firstLine="0"/>
              <w:jc w:val="left"/>
            </w:pPr>
            <w:r>
              <w:rPr>
                <w:u w:val="single"/>
              </w:rPr>
              <w:t xml:space="preserve">/s/</w:t>
            </w:r>
            <w:r>
              <w:rPr>
                <w:u w:val="single"/>
              </w:rPr>
              <w:t xml:space="preserve"> </w:t>
            </w:r>
            <w:r>
              <w:rPr>
                <w:i/>
                <w:iCs/>
                <w:u w:val="single"/>
              </w:rPr>
              <w:t xml:space="preserve">Tyler</w:t>
            </w:r>
            <w:r>
              <w:rPr>
                <w:i/>
                <w:iCs/>
                <w:u w:val="single"/>
              </w:rPr>
              <w:t xml:space="preserve"> </w:t>
            </w:r>
            <w:r>
              <w:rPr>
                <w:i/>
                <w:iCs/>
                <w:u w:val="single"/>
              </w:rPr>
              <w:t xml:space="preserve">J.</w:t>
            </w:r>
            <w:r>
              <w:rPr>
                <w:i/>
                <w:iCs/>
                <w:u w:val="single"/>
              </w:rPr>
              <w:t xml:space="preserve"> </w:t>
            </w:r>
            <w:r>
              <w:rPr>
                <w:i/>
                <w:iCs/>
                <w:u w:val="single"/>
              </w:rPr>
              <w:t xml:space="preserve">Hermsen,</w:t>
            </w:r>
            <w:r>
              <w:rPr>
                <w:i/>
                <w:iCs/>
                <w:u w:val="single"/>
              </w:rPr>
              <w:t xml:space="preserve"> </w:t>
            </w:r>
            <w:r>
              <w:rPr>
                <w:i/>
                <w:iCs/>
                <w:u w:val="single"/>
              </w:rPr>
              <w:t xml:space="preserve">WSBA</w:t>
            </w:r>
            <w:r>
              <w:rPr>
                <w:i/>
                <w:iCs/>
                <w:u w:val="single"/>
              </w:rPr>
              <w:t xml:space="preserve"> </w:t>
            </w:r>
            <w:r>
              <w:rPr>
                <w:i/>
                <w:iCs/>
                <w:u w:val="single"/>
              </w:rPr>
              <w:t xml:space="preserve">No.</w:t>
            </w:r>
            <w:r>
              <w:rPr>
                <w:i/>
                <w:iCs/>
                <w:u w:val="single"/>
              </w:rPr>
              <w:t xml:space="preserve"> </w:t>
            </w:r>
            <w:r>
              <w:rPr>
                <w:i/>
                <w:iCs/>
                <w:u w:val="single"/>
              </w:rPr>
              <w:t xml:space="preserve">43665</w:t>
            </w:r>
          </w:p>
          <w:p>
            <w:pPr>
              <w:spacing w:before="0" w:after="0" w:line="322" w:lineRule="exact"/>
              <w:ind w:left="1440" w:firstLine="0"/>
              <w:jc w:val="left"/>
            </w:pPr>
            <w:r>
              <w:t xml:space="preserve">Tyler</w:t>
            </w:r>
            <w:r>
              <w:t xml:space="preserve"> </w:t>
            </w:r>
            <w:r>
              <w:t xml:space="preserve">J.</w:t>
            </w:r>
            <w:r>
              <w:t xml:space="preserve"> </w:t>
            </w:r>
            <w:r>
              <w:t xml:space="preserve">Hermsen,</w:t>
            </w:r>
            <w:r>
              <w:t xml:space="preserve"> </w:t>
            </w:r>
            <w:r>
              <w:t xml:space="preserve">WSBA</w:t>
            </w:r>
            <w:r>
              <w:t xml:space="preserve"> </w:t>
            </w:r>
            <w:r>
              <w:t xml:space="preserve">No.</w:t>
            </w:r>
            <w:r>
              <w:t xml:space="preserve"> </w:t>
            </w:r>
            <w:r>
              <w:t xml:space="preserve">43665</w:t>
            </w:r>
          </w:p>
          <w:p>
            <w:pPr>
              <w:spacing w:before="252" w:after="0" w:line="322" w:lineRule="exact"/>
              <w:ind w:left="1440" w:firstLine="0"/>
              <w:jc w:val="left"/>
            </w:pPr>
            <w:r>
              <w:rPr>
                <w:u w:val="single"/>
              </w:rPr>
              <w:t xml:space="preserve">/s/</w:t>
            </w:r>
            <w:r>
              <w:rPr>
                <w:u w:val="single"/>
              </w:rPr>
              <w:t xml:space="preserve"> </w:t>
            </w:r>
            <w:r>
              <w:rPr>
                <w:i/>
                <w:iCs/>
                <w:u w:val="single"/>
              </w:rPr>
              <w:t xml:space="preserve">David</w:t>
            </w:r>
            <w:r>
              <w:rPr>
                <w:i/>
                <w:iCs/>
                <w:u w:val="single"/>
              </w:rPr>
              <w:t xml:space="preserve"> </w:t>
            </w:r>
            <w:r>
              <w:rPr>
                <w:i/>
                <w:iCs/>
                <w:u w:val="single"/>
              </w:rPr>
              <w:t xml:space="preserve">A.</w:t>
            </w:r>
            <w:r>
              <w:rPr>
                <w:i/>
                <w:iCs/>
                <w:u w:val="single"/>
              </w:rPr>
              <w:t xml:space="preserve"> </w:t>
            </w:r>
            <w:r>
              <w:rPr>
                <w:i/>
                <w:iCs/>
                <w:u w:val="single"/>
              </w:rPr>
              <w:t xml:space="preserve">Shaw,</w:t>
            </w:r>
            <w:r>
              <w:rPr>
                <w:i/>
                <w:iCs/>
                <w:u w:val="single"/>
              </w:rPr>
              <w:t xml:space="preserve"> </w:t>
            </w:r>
            <w:r>
              <w:rPr>
                <w:i/>
                <w:iCs/>
                <w:u w:val="single"/>
              </w:rPr>
              <w:t xml:space="preserve">WSBA</w:t>
            </w:r>
            <w:r>
              <w:rPr>
                <w:i/>
                <w:iCs/>
                <w:u w:val="single"/>
              </w:rPr>
              <w:t xml:space="preserve"> </w:t>
            </w:r>
            <w:r>
              <w:rPr>
                <w:i/>
                <w:iCs/>
                <w:u w:val="single"/>
              </w:rPr>
              <w:t xml:space="preserve">No.</w:t>
            </w:r>
            <w:r>
              <w:rPr>
                <w:i/>
                <w:iCs/>
                <w:u w:val="single"/>
              </w:rPr>
              <w:t xml:space="preserve"> </w:t>
            </w:r>
            <w:r>
              <w:rPr>
                <w:i/>
                <w:iCs/>
                <w:u w:val="single"/>
              </w:rPr>
              <w:t xml:space="preserve">08788</w:t>
            </w:r>
          </w:p>
          <w:p>
            <w:pPr>
              <w:spacing w:before="0" w:after="0" w:line="322" w:lineRule="exact"/>
              <w:ind w:left="1440" w:firstLine="0"/>
              <w:jc w:val="left"/>
            </w:pPr>
            <w:r>
              <w:t xml:space="preserve">David</w:t>
            </w:r>
            <w:r>
              <w:t xml:space="preserve"> </w:t>
            </w:r>
            <w:r>
              <w:t xml:space="preserve">A.</w:t>
            </w:r>
            <w:r>
              <w:t xml:space="preserve"> </w:t>
            </w:r>
            <w:r>
              <w:t xml:space="preserve">Shaw,</w:t>
            </w:r>
            <w:r>
              <w:t xml:space="preserve"> </w:t>
            </w:r>
            <w:r>
              <w:t xml:space="preserve">WSBA</w:t>
            </w:r>
            <w:r>
              <w:t xml:space="preserve"> </w:t>
            </w:r>
            <w:r>
              <w:t xml:space="preserve">No.</w:t>
            </w:r>
            <w:r>
              <w:t xml:space="preserve"> </w:t>
            </w:r>
            <w:r>
              <w:t xml:space="preserve">08788</w:t>
            </w:r>
          </w:p>
          <w:p>
            <w:pPr>
              <w:spacing w:before="168" w:after="0" w:line="322" w:lineRule="exact"/>
              <w:ind w:left="1440" w:firstLine="0"/>
              <w:jc w:val="left"/>
            </w:pPr>
            <w:r>
              <w:t xml:space="preserve">601</w:t>
            </w:r>
            <w:r>
              <w:t xml:space="preserve"> </w:t>
            </w:r>
            <w:r>
              <w:t xml:space="preserve">Union</w:t>
            </w:r>
            <w:r>
              <w:t xml:space="preserve"> </w:t>
            </w:r>
            <w:r>
              <w:t xml:space="preserve">Street,</w:t>
            </w:r>
            <w:r>
              <w:t xml:space="preserve"> </w:t>
            </w:r>
            <w:r>
              <w:t xml:space="preserve">Suite</w:t>
            </w:r>
            <w:r>
              <w:t xml:space="preserve"> </w:t>
            </w:r>
            <w:r>
              <w:t xml:space="preserve">4100</w:t>
            </w:r>
          </w:p>
          <w:p>
            <w:pPr>
              <w:spacing w:before="0" w:after="0" w:line="322" w:lineRule="exact"/>
              <w:ind w:left="1440" w:firstLine="0"/>
              <w:jc w:val="left"/>
            </w:pPr>
            <w:r>
              <w:t xml:space="preserve">Seattle,</w:t>
            </w:r>
            <w:r>
              <w:t xml:space="preserve"> </w:t>
            </w:r>
            <w:r>
              <w:t xml:space="preserve">WA</w:t>
            </w:r>
            <w:r>
              <w:t xml:space="preserve"> </w:t>
            </w:r>
            <w:r>
              <w:t xml:space="preserve">98101</w:t>
              <w:noBreakHyphen/>
              <w:t xml:space="preserve">2380</w:t>
            </w:r>
          </w:p>
          <w:p>
            <w:pPr>
              <w:spacing w:before="0" w:after="0" w:line="322" w:lineRule="exact"/>
              <w:ind w:left="1440" w:firstLine="0"/>
              <w:jc w:val="left"/>
            </w:pPr>
            <w:r>
              <w:t xml:space="preserve">Telephone:</w:t>
            </w:r>
            <w:r>
              <w:t xml:space="preserve"> </w:t>
            </w:r>
            <w:r>
              <w:t xml:space="preserve">(206)</w:t>
            </w:r>
            <w:r>
              <w:t xml:space="preserve"> </w:t>
            </w:r>
            <w:r>
              <w:t xml:space="preserve">628</w:t>
              <w:noBreakHyphen/>
              <w:t xml:space="preserve">6600</w:t>
            </w:r>
          </w:p>
          <w:p>
            <w:pPr>
              <w:spacing w:before="0" w:after="0" w:line="322" w:lineRule="exact"/>
              <w:ind w:left="1440" w:firstLine="0"/>
              <w:jc w:val="left"/>
            </w:pPr>
            <w:r>
              <w:rPr>
                <w:i/>
                <w:iCs/>
              </w:rPr>
              <w:t xml:space="preserve">Attorneys</w:t>
            </w:r>
            <w:r>
              <w:rPr>
                <w:i/>
                <w:iCs/>
              </w:rPr>
              <w:t xml:space="preserve"> </w:t>
            </w:r>
            <w:r>
              <w:rPr>
                <w:i/>
                <w:iCs/>
              </w:rPr>
              <w:t xml:space="preserve">for</w:t>
            </w:r>
            <w:r>
              <w:rPr>
                <w:i/>
                <w:iCs/>
              </w:rPr>
              <w:t xml:space="preserve"> </w:t>
            </w:r>
            <w:r>
              <w:rPr>
                <w:i/>
                <w:iCs/>
              </w:rPr>
              <w:t xml:space="preserve">Defendant/​Petitioner</w:t>
            </w:r>
            <w:r>
              <w:rPr>
                <w:i/>
                <w:iCs/>
              </w:rPr>
              <w:t xml:space="preserve"> </w:t>
            </w:r>
            <w:r>
              <w:rPr>
                <w:i/>
                <w:iCs/>
              </w:rPr>
              <w:t xml:space="preserve">Brand</w:t>
            </w:r>
            <w:r>
              <w:rPr>
                <w:i/>
                <w:iCs/>
              </w:rPr>
              <w:t xml:space="preserve"> </w:t>
            </w:r>
            <w:r>
              <w:rPr>
                <w:i/>
                <w:iCs/>
              </w:rPr>
              <w:t xml:space="preserve">Insulation,</w:t>
            </w:r>
            <w:r>
              <w:rPr>
                <w:i/>
                <w:iCs/>
              </w:rPr>
              <w:t xml:space="preserve"> </w:t>
            </w:r>
            <w:r>
              <w:rPr>
                <w:i/>
                <w:iCs/>
              </w:rPr>
              <w:t xml:space="preserve">Inc.</w:t>
            </w:r>
          </w:p>
        </w:tc>
      </w:tr>
    </w:tbl>
    <w:sectPr>
      <w:footerReference w:type="default" r:id="rIdXdPage"/>
      <w:pgSz w:w="12240" w:h="15840"/>
      <w:pgMar w:top="2160" w:right="2160" w:bottom="2304" w:left="2880" w:header="720" w:footer="1291"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Referred to as</w:t>
      </w:r>
      <w:r>
        <w:t xml:space="preserve"> </w:t>
      </w:r>
      <w:r>
        <w:rPr>
          <w:i/>
          <w:iCs/>
        </w:rPr>
        <w:t xml:space="preserve">“Maxwell</w:t>
      </w:r>
      <w:r>
        <w:rPr>
          <w:i/>
          <w:iCs/>
        </w:rPr>
        <w:t xml:space="preserve">”</w:t>
      </w:r>
      <w:r>
        <w:t xml:space="preserve"> </w:t>
      </w:r>
      <w:r>
        <w:t xml:space="preserve">throughout this Motion.</w:t>
      </w:r>
    </w:p>
  </w:footnote>
  <w:footnote w:id="10">
    <w:p>
      <w:pPr>
        <w:pStyle w:val="FootnoteText"/>
      </w:pPr>
      <w:r>
        <w:rPr>
          <w:rStyle w:val="FootnoteReference"/>
        </w:rPr>
        <w:footnoteRef/>
      </w:r>
      <w:r>
        <w:t xml:space="preserve"> </w:t>
      </w:r>
      <w:r>
        <w:t xml:space="preserve">Referred to as “</w:t>
      </w:r>
      <w:r>
        <w:rPr>
          <w:i/>
          <w:iCs/>
        </w:rPr>
        <w:t xml:space="preserve">Condit</w:t>
      </w:r>
      <w:r>
        <w:t xml:space="preserve"> </w:t>
      </w:r>
      <w:r>
        <w:t xml:space="preserve">” throughout this Motion.</w:t>
      </w:r>
    </w:p>
  </w:footnote>
  <w:footnote w:id="11">
    <w:p>
      <w:pPr>
        <w:pStyle w:val="FootnoteText"/>
      </w:pPr>
      <w:r>
        <w:rPr>
          <w:rStyle w:val="FootnoteReference"/>
        </w:rPr>
        <w:footnoteRef/>
      </w:r>
      <w:r>
        <w:t xml:space="preserve"> </w:t>
      </w:r>
      <w:r>
        <w:t xml:space="preserve">Referred to as “</w:t>
      </w:r>
      <w:r>
        <w:rPr>
          <w:i/>
          <w:iCs/>
        </w:rPr>
        <w:t xml:space="preserve">Welch</w:t>
      </w:r>
      <w:r>
        <w:t xml:space="preserve"> </w:t>
      </w:r>
      <w:r>
        <w:t xml:space="preserve">” throughout this Motion.</w:t>
      </w:r>
    </w:p>
  </w:footnote>
  <w:footnote w:id="12">
    <w:p>
      <w:pPr>
        <w:pStyle w:val="FootnoteText"/>
      </w:pPr>
      <w:r>
        <w:rPr>
          <w:rStyle w:val="FootnoteReference"/>
        </w:rPr>
        <w:footnoteRef/>
      </w:r>
      <w:r>
        <w:t xml:space="preserve"> </w:t>
      </w:r>
      <w:r>
        <w:t xml:space="preserve">The 1967 version of the statute of repose applies.</w:t>
      </w:r>
      <w:r>
        <w:t xml:space="preserve"> </w:t>
      </w:r>
      <w:r>
        <w:rPr>
          <w:i/>
          <w:iCs/>
        </w:rPr>
        <w:t xml:space="preserve">Cameron</w:t>
      </w:r>
      <w:r>
        <w:rPr>
          <w:i/>
          <w:iCs/>
        </w:rPr>
        <w:t xml:space="preserve"> </w:t>
      </w:r>
      <w:r>
        <w:rPr>
          <w:i/>
          <w:iCs/>
        </w:rPr>
        <w:t xml:space="preserve">v. Atlantic</w:t>
      </w:r>
      <w:r>
        <w:t xml:space="preserve"> </w:t>
      </w:r>
      <w:r>
        <w:rPr>
          <w:i/>
          <w:iCs/>
        </w:rPr>
        <w:t xml:space="preserve">Richfield Co.</w:t>
      </w:r>
      <w:r>
        <w:t xml:space="preserve">, 8 Wn.App.2d 795, 806, 442 P.3d 31 (2019).</w:t>
      </w:r>
    </w:p>
  </w:footnote>
  <w:footnote w:id="13">
    <w:p>
      <w:pPr>
        <w:pStyle w:val="FootnoteText"/>
      </w:pPr>
      <w:r>
        <w:rPr>
          <w:rStyle w:val="FootnoteReference"/>
        </w:rPr>
        <w:footnoteRef/>
      </w:r>
      <w:r>
        <w:t xml:space="preserve"> </w:t>
      </w:r>
      <w:r>
        <w:rPr>
          <w:i/>
          <w:iCs/>
        </w:rPr>
        <w:t xml:space="preserve">Quoting Jones v. Weyerhaeuser</w:t>
      </w:r>
      <w:r>
        <w:rPr>
          <w:i/>
          <w:iCs/>
        </w:rPr>
        <w:t xml:space="preserve"> </w:t>
      </w:r>
      <w:r>
        <w:rPr>
          <w:i/>
          <w:iCs/>
        </w:rPr>
        <w:t xml:space="preserve">Co.</w:t>
      </w:r>
      <w:r>
        <w:t xml:space="preserve">, 48 Wn.App. 894, 899, 741 P.2d 75 (1987).</w:t>
      </w:r>
    </w:p>
  </w:footnote>
  <w:footnote w:id="14">
    <w:p>
      <w:pPr>
        <w:pStyle w:val="FootnoteText"/>
      </w:pPr>
      <w:r>
        <w:rPr>
          <w:rStyle w:val="FootnoteReference"/>
        </w:rPr>
        <w:footnoteRef/>
      </w:r>
      <w:r>
        <w:t xml:space="preserve"> </w:t>
      </w:r>
      <w:r>
        <w:rPr>
          <w:i/>
          <w:iCs/>
        </w:rPr>
        <w:t xml:space="preserve">Citing Hudesman</w:t>
      </w:r>
      <w:r>
        <w:rPr>
          <w:i/>
          <w:iCs/>
        </w:rPr>
        <w:t xml:space="preserve"> </w:t>
      </w:r>
      <w:r>
        <w:rPr>
          <w:i/>
          <w:iCs/>
        </w:rPr>
        <w:t xml:space="preserve">v. Meriwether Leachman Assocs.,</w:t>
      </w:r>
      <w:r>
        <w:t xml:space="preserve"> </w:t>
      </w:r>
      <w:r>
        <w:t xml:space="preserve">35 Wn.App. 318, 321, 666 P.2d 937 (1983).</w:t>
      </w:r>
    </w:p>
  </w:footnote>
  <w:footnote w:id="15">
    <w:p>
      <w:pPr>
        <w:pStyle w:val="FootnoteText"/>
      </w:pPr>
      <w:r>
        <w:rPr>
          <w:rStyle w:val="FootnoteReference"/>
        </w:rPr>
        <w:footnoteRef/>
      </w:r>
      <w:r>
        <w:t xml:space="preserve"> </w:t>
      </w:r>
      <w:r>
        <w:rPr>
          <w:i/>
          <w:iCs/>
        </w:rPr>
        <w:t xml:space="preserve">Citing Douchette</w:t>
      </w:r>
      <w:r>
        <w:rPr>
          <w:i/>
          <w:iCs/>
        </w:rPr>
        <w:t xml:space="preserve"> </w:t>
      </w:r>
      <w:r>
        <w:rPr>
          <w:i/>
          <w:iCs/>
        </w:rPr>
        <w:t xml:space="preserve">v. Bethel Sch. Dist. No. 403,</w:t>
      </w:r>
      <w:r>
        <w:t xml:space="preserve"> </w:t>
      </w:r>
      <w:r>
        <w:t xml:space="preserve">117 Wn.2d 805, 813, 818 P.2d 1362 (1991).</w:t>
      </w:r>
    </w:p>
  </w:footnote>
  <w:footnote w:id="16">
    <w:p>
      <w:pPr>
        <w:pStyle w:val="FootnoteText"/>
      </w:pPr>
      <w:r>
        <w:rPr>
          <w:rStyle w:val="FootnoteReference"/>
        </w:rPr>
        <w:footnoteRef/>
      </w:r>
      <w:r>
        <w:t xml:space="preserve"> </w:t>
      </w:r>
      <w:r>
        <w:t xml:space="preserve">That is how the manufacturer presented its case, i.e. that its conveyor assembly was a “fixture” and, therefore, real property (a “fixture”), not personal property.</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