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roman.xml" ContentType="application/vnd.openxmlformats-officedocument.wordprocessingml.footer+xml"/>
  <Override PartName="/word/footer-arabic.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Centered"/>
        <w:keepNext/>
        <w:spacing w:before="168" w:after="0" w:line="340" w:lineRule="exact"/>
      </w:pPr>
      <w:r>
        <w:rPr>
          <w:b/>
        </w:rPr>
        <w:t xml:space="preserve">No. </w:t>
      </w:r>
      <w:r>
        <w:rPr>
          <w:b/>
        </w:rPr>
        <w:t xml:space="preserve">26-2459</w:t>
      </w:r>
    </w:p>
    <w:p>
      <w:pPr>
        <w:pStyle w:val="CADoubleRule"/>
        <w:spacing w:before="280" w:after="280" w:line="50" w:lineRule="exact"/>
      </w:pPr>
    </w:p>
    <w:p>
      <w:pPr>
        <w:pStyle w:val="CACentered"/>
        <w:keepNext/>
        <w:spacing w:before="0" w:after="0" w:line="340" w:lineRule="exact"/>
      </w:pPr>
      <w:r>
        <w:rPr>
          <w:b/>
        </w:rPr>
        <w:t xml:space="preserve">UNITED STATES COURT OF APPEALS FOR THE EIGHTH CIRCUIT</w:t>
      </w:r>
    </w:p>
    <w:p>
      <w:pPr>
        <w:pStyle w:val="CARule"/>
        <w:spacing w:before="280" w:after="280" w:line="20" w:lineRule="exact"/>
      </w:pPr>
    </w:p>
    <w:p>
      <w:pPr>
        <w:pStyle w:val="CACentered"/>
        <w:spacing w:before="98" w:after="0" w:line="340" w:lineRule="exact"/>
      </w:pPr>
      <w:r>
        <w:t xml:space="preserve">CHRIS</w:t>
      </w:r>
      <w:r>
        <w:t xml:space="preserve"> </w:t>
      </w:r>
      <w:r>
        <w:t xml:space="preserve">WOLTERS,</w:t>
      </w:r>
    </w:p>
    <w:p>
      <w:pPr>
        <w:pStyle w:val="CACounsel"/>
        <w:spacing w:before="98" w:after="0" w:line="340" w:lineRule="exact"/>
        <w:ind w:left="4680" w:firstLine="0"/>
      </w:pPr>
      <w:r>
        <w:t xml:space="preserve">Plaintiff</w:t>
      </w:r>
      <w:r>
        <w:t xml:space="preserve"> </w:t>
      </w:r>
      <w:r>
        <w:t xml:space="preserve">–</w:t>
      </w:r>
      <w:r>
        <w:t xml:space="preserve"> </w:t>
      </w:r>
      <w:r>
        <w:t xml:space="preserve">Appellee,</w:t>
      </w:r>
    </w:p>
    <w:p>
      <w:pPr>
        <w:pStyle w:val="CACentered"/>
        <w:spacing w:before="84" w:after="0" w:line="340" w:lineRule="exact"/>
      </w:pPr>
      <w:r>
        <w:t xml:space="preserve">v.</w:t>
      </w:r>
    </w:p>
    <w:p>
      <w:pPr>
        <w:pStyle w:val="CACentered"/>
        <w:spacing w:before="84" w:after="0" w:line="340" w:lineRule="exact"/>
      </w:pPr>
      <w:r>
        <w:t xml:space="preserve">SWEEPSTEAKS</w:t>
      </w:r>
      <w:r>
        <w:t xml:space="preserve"> </w:t>
      </w:r>
      <w:r>
        <w:t xml:space="preserve">LIMITED</w:t>
      </w:r>
      <w:r>
        <w:t xml:space="preserve"> </w:t>
      </w:r>
      <w:r>
        <w:t xml:space="preserve">d/​b/​a</w:t>
      </w:r>
      <w:r>
        <w:t xml:space="preserve"> </w:t>
      </w:r>
      <w:r>
        <w:t xml:space="preserve">STAKE.US,</w:t>
      </w:r>
    </w:p>
    <w:p>
      <w:pPr>
        <w:pStyle w:val="CACounsel"/>
        <w:spacing w:before="98" w:after="0" w:line="340" w:lineRule="exact"/>
        <w:ind w:left="4680" w:firstLine="0"/>
      </w:pPr>
      <w:r>
        <w:t xml:space="preserve">Defendant</w:t>
      </w:r>
      <w:r>
        <w:t xml:space="preserve"> </w:t>
      </w:r>
      <w:r>
        <w:t xml:space="preserve">–</w:t>
      </w:r>
      <w:r>
        <w:t xml:space="preserve"> </w:t>
      </w:r>
      <w:r>
        <w:t xml:space="preserve">Appellant.</w:t>
      </w:r>
    </w:p>
    <w:p>
      <w:pPr>
        <w:pStyle w:val="CARule"/>
        <w:spacing w:before="280" w:after="280" w:line="20" w:lineRule="exact"/>
      </w:pPr>
    </w:p>
    <w:p>
      <w:pPr>
        <w:pStyle w:val="CACentered"/>
        <w:spacing w:before="0" w:after="0" w:line="340" w:lineRule="exact"/>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Minnesota</w:t>
      </w:r>
    </w:p>
    <w:p>
      <w:pPr>
        <w:pStyle w:val="CACentered"/>
        <w:spacing w:before="98" w:after="0" w:line="340" w:lineRule="exact"/>
      </w:pPr>
      <w:r>
        <w:t xml:space="preserve">Case No. </w:t>
      </w:r>
      <w:r>
        <w:t xml:space="preserve">0:25-cv</w:t>
      </w:r>
      <w:r>
        <w:noBreakHyphen/>
      </w:r>
      <w:r>
        <w:t xml:space="preserve">03280-JRT-JFD</w:t>
      </w:r>
      <w:r>
        <w:t xml:space="preserve">; </w:t>
      </w:r>
      <w:r>
        <w:t xml:space="preserve">Hon.</w:t>
      </w:r>
      <w:r>
        <w:t xml:space="preserve"> </w:t>
      </w:r>
      <w:r>
        <w:t xml:space="preserve">John</w:t>
      </w:r>
      <w:r>
        <w:t xml:space="preserve"> </w:t>
      </w:r>
      <w:r>
        <w:t xml:space="preserve">R.</w:t>
      </w:r>
      <w:r>
        <w:t xml:space="preserve"> </w:t>
      </w:r>
      <w:r>
        <w:t xml:space="preserve">Tunheim</w:t>
      </w:r>
    </w:p>
    <w:p>
      <w:pPr>
        <w:pStyle w:val="CARule"/>
        <w:spacing w:before="280" w:after="280" w:line="20" w:lineRule="exact"/>
      </w:pPr>
    </w:p>
    <w:p>
      <w:pPr>
        <w:pStyle w:val="CACentered"/>
        <w:spacing w:before="0" w:after="0" w:line="340" w:lineRule="exact"/>
      </w:pPr>
      <w:r>
        <w:rPr>
          <w:b/>
        </w:rPr>
        <w:t xml:space="preserve">APPELLANT’S</w:t>
      </w:r>
      <w:r>
        <w:rPr>
          <w:b/>
        </w:rPr>
        <w:t xml:space="preserve"> </w:t>
      </w:r>
      <w:r>
        <w:rPr>
          <w:b/>
        </w:rPr>
        <w:t xml:space="preserve">OPENING</w:t>
      </w:r>
      <w:r>
        <w:rPr>
          <w:b/>
        </w:rPr>
        <w:t xml:space="preserve"> </w:t>
      </w:r>
      <w:r>
        <w:rPr>
          <w:b/>
        </w:rPr>
        <w:t xml:space="preserve">BRIEF</w:t>
      </w:r>
    </w:p>
    <w:p>
      <w:pPr>
        <w:pStyle w:val="CARule"/>
        <w:spacing w:before="280" w:after="280" w:line="20" w:lineRule="exact"/>
      </w:pPr>
    </w:p>
    <w:tbl>
      <w:tblPr>
        <w:tblW w:w="9360" w:type="dxa"/>
        <w:tblBorders>
          <w:top w:val="nil"/>
          <w:left w:val="nil"/>
          <w:bottom w:val="nil"/>
          <w:right w:val="nil"/>
          <w:insideH w:val="nil"/>
          <w:insideV w:val="nil"/>
        </w:tblBorders>
        <w:tblLayout w:type="fixed"/>
        <w:tblCellMar>
          <w:left w:w="0" w:type="dxa"/>
          <w:right w:w="0" w:type="dxa"/>
        </w:tblCellMar>
      </w:tblPr>
      <w:tblGrid>
        <w:gridCol w:w="4860"/>
        <w:gridCol w:w="4500"/>
      </w:tblGrid>
      <w:tr>
        <w:trPr>
          <w:cantSplit/>
        </w:trPr>
        <w:tc>
          <w:tcPr>
            <w:tcW w:w="4860" w:type="dxa"/>
            <w:tcMar>
              <w:right w:w="360" w:type="dxa"/>
            </w:tcMar>
          </w:tcPr>
          <w:p>
            <w:pPr>
              <w:pStyle w:val="CACounsel"/>
              <w:keepNext/>
              <w:spacing w:before="0" w:after="0" w:line="340" w:lineRule="exact"/>
            </w:pPr>
            <w:r>
              <w:t xml:space="preserve">Aaron</w:t>
            </w:r>
            <w:r>
              <w:t xml:space="preserve"> </w:t>
            </w:r>
            <w:r>
              <w:t xml:space="preserve">D.</w:t>
            </w:r>
            <w:r>
              <w:t xml:space="preserve"> </w:t>
            </w:r>
            <w:r>
              <w:t xml:space="preserve">Van</w:t>
            </w:r>
            <w:r>
              <w:t xml:space="preserve"> </w:t>
            </w:r>
            <w:r>
              <w:t xml:space="preserve">Oort</w:t>
            </w:r>
          </w:p>
          <w:p>
            <w:pPr>
              <w:pStyle w:val="CACounsel"/>
              <w:keepNext/>
              <w:spacing w:before="0" w:after="0" w:line="340" w:lineRule="exact"/>
            </w:pPr>
            <w:r>
              <w:t xml:space="preserve">Grace</w:t>
            </w:r>
            <w:r>
              <w:t xml:space="preserve"> </w:t>
            </w:r>
            <w:r>
              <w:t xml:space="preserve">Rybak</w:t>
            </w:r>
          </w:p>
          <w:p>
            <w:pPr>
              <w:pStyle w:val="CACounsel"/>
              <w:keepNext/>
              <w:spacing w:before="0" w:after="0" w:line="340" w:lineRule="exact"/>
            </w:pPr>
            <w:r>
              <w:rPr>
                <w:i/>
              </w:rPr>
              <w:t xml:space="preserve">Faegre</w:t>
            </w:r>
            <w:r>
              <w:rPr>
                <w:i/>
              </w:rPr>
              <w:t xml:space="preserve"> </w:t>
            </w:r>
            <w:r>
              <w:rPr>
                <w:i/>
              </w:rPr>
              <w:t xml:space="preserve">Drinker</w:t>
            </w:r>
            <w:r>
              <w:rPr>
                <w:i/>
              </w:rPr>
              <w:t xml:space="preserve"> </w:t>
            </w:r>
            <w:r>
              <w:rPr>
                <w:i/>
              </w:rPr>
              <w:t xml:space="preserve">Biddle</w:t>
            </w:r>
            <w:r>
              <w:rPr>
                <w:i/>
              </w:rPr>
              <w:t xml:space="preserve"> </w:t>
            </w:r>
            <w:r>
              <w:rPr>
                <w:i/>
              </w:rPr>
              <w:t xml:space="preserve">&amp;</w:t>
            </w:r>
            <w:r>
              <w:rPr>
                <w:i/>
              </w:rPr>
              <w:t xml:space="preserve"> </w:t>
            </w:r>
            <w:r>
              <w:rPr>
                <w:i/>
              </w:rPr>
              <w:t xml:space="preserve">Reath</w:t>
            </w:r>
            <w:r>
              <w:rPr>
                <w:i/>
              </w:rPr>
              <w:t xml:space="preserve"> </w:t>
            </w:r>
            <w:r>
              <w:rPr>
                <w:i/>
              </w:rPr>
              <w:t xml:space="preserve">LLP</w:t>
            </w:r>
          </w:p>
          <w:p>
            <w:pPr>
              <w:pStyle w:val="CACounsel"/>
              <w:keepNext/>
              <w:spacing w:before="0" w:after="0" w:line="340" w:lineRule="exact"/>
            </w:pPr>
            <w:r>
              <w:rPr>
                <w:i/>
              </w:rPr>
              <w:t xml:space="preserve">2200</w:t>
            </w:r>
            <w:r>
              <w:rPr>
                <w:i/>
              </w:rPr>
              <w:t xml:space="preserve"> </w:t>
            </w:r>
            <w:r>
              <w:rPr>
                <w:i/>
              </w:rPr>
              <w:t xml:space="preserve">Wells</w:t>
            </w:r>
            <w:r>
              <w:rPr>
                <w:i/>
              </w:rPr>
              <w:t xml:space="preserve"> </w:t>
            </w:r>
            <w:r>
              <w:rPr>
                <w:i/>
              </w:rPr>
              <w:t xml:space="preserve">Fargo</w:t>
            </w:r>
            <w:r>
              <w:rPr>
                <w:i/>
              </w:rPr>
              <w:t xml:space="preserve"> </w:t>
            </w:r>
            <w:r>
              <w:rPr>
                <w:i/>
              </w:rPr>
              <w:t xml:space="preserve">Center</w:t>
            </w:r>
          </w:p>
          <w:p>
            <w:pPr>
              <w:pStyle w:val="CACounsel"/>
              <w:keepNext/>
              <w:spacing w:before="0" w:after="0" w:line="340" w:lineRule="exact"/>
            </w:pPr>
            <w:r>
              <w:rPr>
                <w:i/>
              </w:rPr>
              <w:t xml:space="preserve">90</w:t>
            </w:r>
            <w:r>
              <w:rPr>
                <w:i/>
              </w:rPr>
              <w:t xml:space="preserve"> </w:t>
            </w:r>
            <w:r>
              <w:rPr>
                <w:i/>
              </w:rPr>
              <w:t xml:space="preserve">South</w:t>
            </w:r>
            <w:r>
              <w:rPr>
                <w:i/>
              </w:rPr>
              <w:t xml:space="preserve"> </w:t>
            </w:r>
            <w:r>
              <w:rPr>
                <w:i/>
              </w:rPr>
              <w:t xml:space="preserve">Seventh</w:t>
            </w:r>
            <w:r>
              <w:rPr>
                <w:i/>
              </w:rPr>
              <w:t xml:space="preserve"> </w:t>
            </w:r>
            <w:r>
              <w:rPr>
                <w:i/>
              </w:rPr>
              <w:t xml:space="preserve">Street</w:t>
            </w:r>
          </w:p>
          <w:p>
            <w:pPr>
              <w:pStyle w:val="CACounsel"/>
              <w:keepNext/>
              <w:spacing w:before="0" w:after="0" w:line="340" w:lineRule="exact"/>
            </w:pPr>
            <w:r>
              <w:rPr>
                <w:i/>
              </w:rPr>
              <w:t xml:space="preserve">Minneapolis,</w:t>
            </w:r>
            <w:r>
              <w:rPr>
                <w:i/>
              </w:rPr>
              <w:t xml:space="preserve"> </w:t>
            </w:r>
            <w:r>
              <w:rPr>
                <w:i/>
              </w:rPr>
              <w:t xml:space="preserve">Minnesota</w:t>
            </w:r>
            <w:r>
              <w:rPr>
                <w:i/>
              </w:rPr>
              <w:t xml:space="preserve"> </w:t>
            </w:r>
            <w:r>
              <w:rPr>
                <w:i/>
              </w:rPr>
              <w:t xml:space="preserve">55402</w:t>
            </w:r>
          </w:p>
          <w:p>
            <w:pPr>
              <w:pStyle w:val="CACounsel"/>
              <w:keepNext/>
              <w:spacing w:before="0" w:after="0" w:line="340" w:lineRule="exact"/>
            </w:pPr>
            <w:r>
              <w:rPr>
                <w:i/>
              </w:rPr>
              <w:t xml:space="preserve">Aaron.VanOort@FaegreDrinker.com</w:t>
            </w:r>
          </w:p>
          <w:p>
            <w:pPr>
              <w:pStyle w:val="CACounsel"/>
              <w:keepNext/>
              <w:spacing w:before="0" w:after="0" w:line="340" w:lineRule="exact"/>
            </w:pPr>
            <w:r>
              <w:rPr>
                <w:i/>
              </w:rPr>
              <w:t xml:space="preserve">Grace.Rybak@FaegreDrinker.com</w:t>
            </w:r>
          </w:p>
          <w:p>
            <w:pPr>
              <w:pStyle w:val="CACounsel"/>
              <w:keepNext/>
              <w:spacing w:before="0" w:after="0" w:line="340" w:lineRule="exact"/>
            </w:pPr>
            <w:r>
              <w:rPr>
                <w:i/>
              </w:rPr>
              <w:t xml:space="preserve">Phone:</w:t>
            </w:r>
            <w:r>
              <w:rPr>
                <w:i/>
              </w:rPr>
              <w:t xml:space="preserve"> </w:t>
            </w:r>
            <w:r>
              <w:rPr>
                <w:i/>
              </w:rPr>
              <w:t xml:space="preserve">(612)</w:t>
            </w:r>
            <w:r>
              <w:rPr>
                <w:i/>
              </w:rPr>
              <w:t xml:space="preserve"> </w:t>
            </w:r>
            <w:r>
              <w:rPr>
                <w:i/>
              </w:rPr>
              <w:t xml:space="preserve">766-7000</w:t>
            </w:r>
          </w:p>
        </w:tc>
        <w:tc>
          <w:tcPr>
            <w:tcW w:w="4500" w:type="dxa"/>
            <w:tcMar>
              <w:right w:w="0" w:type="dxa"/>
            </w:tcMar>
          </w:tcPr>
          <w:p>
            <w:pPr>
              <w:pStyle w:val="CACounsel"/>
              <w:keepNext/>
              <w:spacing w:before="0" w:after="0" w:line="340" w:lineRule="exact"/>
            </w:pPr>
            <w:r>
              <w:t xml:space="preserve">A.</w:t>
            </w:r>
            <w:r>
              <w:t xml:space="preserve"> </w:t>
            </w:r>
            <w:r>
              <w:t xml:space="preserve">Jeff.</w:t>
            </w:r>
            <w:r>
              <w:t xml:space="preserve"> </w:t>
            </w:r>
            <w:r>
              <w:t xml:space="preserve">Ifrah</w:t>
            </w:r>
          </w:p>
          <w:p>
            <w:pPr>
              <w:pStyle w:val="CACounsel"/>
              <w:keepNext/>
              <w:spacing w:before="0" w:after="0" w:line="340" w:lineRule="exact"/>
            </w:pPr>
            <w:r>
              <w:t xml:space="preserve">Kim</w:t>
            </w:r>
            <w:r>
              <w:t xml:space="preserve"> </w:t>
            </w:r>
            <w:r>
              <w:t xml:space="preserve">Conroy</w:t>
            </w:r>
          </w:p>
          <w:p>
            <w:pPr>
              <w:pStyle w:val="CACounsel"/>
              <w:keepNext/>
              <w:spacing w:before="0" w:after="0" w:line="340" w:lineRule="exact"/>
            </w:pPr>
            <w:r>
              <w:t xml:space="preserve">John</w:t>
            </w:r>
            <w:r>
              <w:t xml:space="preserve"> </w:t>
            </w:r>
            <w:r>
              <w:t xml:space="preserve">Mikuta</w:t>
            </w:r>
          </w:p>
          <w:p>
            <w:pPr>
              <w:pStyle w:val="CACounsel"/>
              <w:keepNext/>
              <w:spacing w:before="0" w:after="0" w:line="340" w:lineRule="exact"/>
            </w:pPr>
            <w:r>
              <w:rPr>
                <w:i/>
              </w:rPr>
              <w:t xml:space="preserve">Ifrah</w:t>
            </w:r>
            <w:r>
              <w:rPr>
                <w:i/>
              </w:rPr>
              <w:t xml:space="preserve"> </w:t>
            </w:r>
            <w:r>
              <w:rPr>
                <w:i/>
              </w:rPr>
              <w:t xml:space="preserve">PLLC</w:t>
            </w:r>
          </w:p>
          <w:p>
            <w:pPr>
              <w:pStyle w:val="CACounsel"/>
              <w:keepNext/>
              <w:spacing w:before="0" w:after="0" w:line="340" w:lineRule="exact"/>
            </w:pPr>
            <w:r>
              <w:rPr>
                <w:i/>
              </w:rPr>
              <w:t xml:space="preserve">1717</w:t>
            </w:r>
            <w:r>
              <w:rPr>
                <w:i/>
              </w:rPr>
              <w:t xml:space="preserve"> </w:t>
            </w:r>
            <w:r>
              <w:rPr>
                <w:i/>
              </w:rPr>
              <w:t xml:space="preserve">Pennsylvania</w:t>
            </w:r>
            <w:r>
              <w:rPr>
                <w:i/>
              </w:rPr>
              <w:t xml:space="preserve"> </w:t>
            </w:r>
            <w:r>
              <w:rPr>
                <w:i/>
              </w:rPr>
              <w:t xml:space="preserve">Ave.</w:t>
            </w:r>
            <w:r>
              <w:rPr>
                <w:i/>
              </w:rPr>
              <w:t xml:space="preserve"> </w:t>
            </w:r>
            <w:r>
              <w:rPr>
                <w:i/>
              </w:rPr>
              <w:t xml:space="preserve">NW,</w:t>
            </w:r>
            <w:r>
              <w:rPr>
                <w:i/>
              </w:rPr>
              <w:t xml:space="preserve"> </w:t>
            </w:r>
            <w:r>
              <w:rPr>
                <w:i/>
              </w:rPr>
              <w:t xml:space="preserve">Suite</w:t>
            </w:r>
            <w:r>
              <w:rPr>
                <w:i/>
              </w:rPr>
              <w:t xml:space="preserve"> </w:t>
            </w:r>
            <w:r>
              <w:rPr>
                <w:i/>
              </w:rPr>
              <w:t xml:space="preserve">650</w:t>
            </w:r>
          </w:p>
          <w:p>
            <w:pPr>
              <w:pStyle w:val="CACounsel"/>
              <w:keepNext/>
              <w:spacing w:before="0" w:after="0" w:line="340" w:lineRule="exact"/>
            </w:pPr>
            <w:r>
              <w:rPr>
                <w:i/>
              </w:rPr>
              <w:t xml:space="preserve">Washington,</w:t>
            </w:r>
            <w:r>
              <w:rPr>
                <w:i/>
              </w:rPr>
              <w:t xml:space="preserve"> </w:t>
            </w:r>
            <w:r>
              <w:rPr>
                <w:i/>
              </w:rPr>
              <w:t xml:space="preserve">D.C.</w:t>
            </w:r>
            <w:r>
              <w:rPr>
                <w:i/>
              </w:rPr>
              <w:t xml:space="preserve"> </w:t>
            </w:r>
            <w:r>
              <w:rPr>
                <w:i/>
              </w:rPr>
              <w:t xml:space="preserve">20006</w:t>
            </w:r>
          </w:p>
          <w:p>
            <w:pPr>
              <w:pStyle w:val="CACounsel"/>
              <w:keepNext/>
              <w:spacing w:before="0" w:after="0" w:line="340" w:lineRule="exact"/>
            </w:pPr>
            <w:r>
              <w:rPr>
                <w:i/>
              </w:rPr>
              <w:t xml:space="preserve">Jeff@IfrahLaw.com</w:t>
            </w:r>
          </w:p>
          <w:p>
            <w:pPr>
              <w:pStyle w:val="CACounsel"/>
              <w:keepNext/>
              <w:spacing w:before="0" w:after="0" w:line="340" w:lineRule="exact"/>
            </w:pPr>
            <w:r>
              <w:rPr>
                <w:i/>
              </w:rPr>
              <w:t xml:space="preserve">KConroy@IfrahLaw.com</w:t>
            </w:r>
          </w:p>
          <w:p>
            <w:pPr>
              <w:pStyle w:val="CACounsel"/>
              <w:keepNext/>
              <w:spacing w:before="0" w:after="0" w:line="340" w:lineRule="exact"/>
            </w:pPr>
            <w:r>
              <w:rPr>
                <w:i/>
              </w:rPr>
              <w:t xml:space="preserve">JMikuta@IfrahLaw.com</w:t>
            </w:r>
          </w:p>
          <w:p>
            <w:pPr>
              <w:pStyle w:val="CACounsel"/>
              <w:keepNext/>
              <w:spacing w:before="0" w:after="0" w:line="340" w:lineRule="exact"/>
            </w:pPr>
            <w:r>
              <w:rPr>
                <w:i/>
              </w:rPr>
              <w:t xml:space="preserve">(202)</w:t>
            </w:r>
            <w:r>
              <w:rPr>
                <w:i/>
              </w:rPr>
              <w:t xml:space="preserve"> </w:t>
            </w:r>
            <w:r>
              <w:rPr>
                <w:i/>
              </w:rPr>
              <w:t xml:space="preserve">524-4140</w:t>
            </w:r>
          </w:p>
        </w:tc>
      </w:tr>
    </w:tbl>
    <w:p>
      <w:pPr>
        <w:pStyle w:val="CADoubleRule"/>
        <w:spacing w:before="280" w:after="280" w:line="50" w:lineRule="exact"/>
      </w:pPr>
    </w:p>
    <w:p>
      <w:pPr>
        <w:spacing w:before="0" w:after="0" w:line="20" w:lineRule="exact"/>
        <w:sectPr>
          <w:pgSz w:w="12240" w:h="15840"/>
          <w:pgMar w:top="1440" w:right="1440" w:bottom="1440" w:left="1440" w:header="720" w:footer="720" w:gutter="0"/>
        </w:sectPr>
      </w:pPr>
    </w:p>
    <w:p>
      <w:pPr>
        <w:pStyle w:val="CASection"/>
        <w:spacing w:before="0" w:after="308" w:line="400" w:lineRule="exact"/>
      </w:pPr>
      <w:r>
        <w:t xml:space="preserve">Summary of the Case</w:t>
      </w:r>
    </w:p>
    <w:p>
      <w:pPr>
        <w:pStyle w:val="FirstParagraph"/>
      </w:pPr>
      <w:r>
        <w:t xml:space="preserve">When Chris Wolters joined Sweepsteaks Limited’s online social gaming platform, he agreed to arbitrate all disputes by affirmatively checking a box agreeing to the Terms and Conditions. He also unambiguously agreed to delegate all threshold questions of validity and enforceability of the Terms and Conditions to the arbitrator. Despite having entered that agreement, Wolters filed this suit. And despite the parties’ unmistakable delegation of questions of validity to the arbitrator, the district court ruled on them. That was an error, and this Court should reverse.</w:t>
      </w:r>
    </w:p>
    <w:p>
      <w:pPr>
        <w:pStyle w:val="BodyText"/>
      </w:pPr>
      <w:r>
        <w:t xml:space="preserve">As this Court recently and rightly declared in reversing another order denying a motion to compel arbitration issued by the same district court, “[c]hallenges to the validity of an agreement to arbitrate are distinct from challenges to the entire contract.”</w:t>
      </w:r>
      <w:r>
        <w:t xml:space="preserve"> </w:t>
      </w:r>
      <w:r>
        <w:rPr>
          <w:i/>
          <w:iCs/>
        </w:rPr>
        <w:t xml:space="preserve">Benchmark Ins. Co. v. SUNZ Ins. Co.</w:t>
      </w:r>
      <w:r>
        <w:t xml:space="preserve">, 36 F.4th 766, 772 (8th Cir. 2022). Challenges to the validity of the contract therefore must be sent to arbitration. This is true as a matter of federal substantive law, and the parties here could not and did not agree otherwise. The district court also wrongly found a question of fact regarding contract formation, despite objective evidence of consent and counsel’s concession that Wolters “does not necessarily dispute whether he signed the contract.”</w:t>
      </w:r>
    </w:p>
    <w:p>
      <w:pPr>
        <w:pStyle w:val="BodyText"/>
      </w:pPr>
      <w:r>
        <w:t xml:space="preserve">Four previous times, the Court has reversed this district court judge for denying motions to compel arbitration. The Court should do so again. Sweepsteaks Limited requests 15 minutes of oral argument per side.</w:t>
      </w:r>
    </w:p>
    <w:p>
      <w:pPr>
        <w:pStyle w:val="CASection"/>
        <w:pageBreakBefore/>
        <w:spacing w:before="0" w:after="308" w:line="400" w:lineRule="exact"/>
      </w:pPr>
      <w:r>
        <w:t xml:space="preserve">Corporate Disclosure Statement</w:t>
      </w:r>
    </w:p>
    <w:p>
      <w:pPr>
        <w:pStyle w:val="CACounsel"/>
        <w:spacing w:before="280" w:after="0" w:line="340" w:lineRule="exact"/>
      </w:pPr>
      <w:r>
        <w:t xml:space="preserve">Appellant</w:t>
      </w:r>
      <w:r>
        <w:t xml:space="preserve"> </w:t>
      </w:r>
      <w:r>
        <w:t xml:space="preserve">Sweepsteaks</w:t>
      </w:r>
      <w:r>
        <w:t xml:space="preserve"> </w:t>
      </w:r>
      <w:r>
        <w:t xml:space="preserve">Limited</w:t>
      </w:r>
      <w:r>
        <w:t xml:space="preserve"> </w:t>
      </w:r>
      <w:r>
        <w:t xml:space="preserve">has</w:t>
      </w:r>
      <w:r>
        <w:t xml:space="preserve"> </w:t>
      </w:r>
      <w:r>
        <w:t xml:space="preserve">a</w:t>
      </w:r>
      <w:r>
        <w:t xml:space="preserve"> </w:t>
      </w:r>
      <w:r>
        <w:t xml:space="preserve">parent</w:t>
      </w:r>
      <w:r>
        <w:t xml:space="preserve"> </w:t>
      </w:r>
      <w:r>
        <w:t xml:space="preserve">corporation,</w:t>
      </w:r>
      <w:r>
        <w:t xml:space="preserve"> </w:t>
      </w:r>
      <w:r>
        <w:t xml:space="preserve">Well</w:t>
      </w:r>
      <w:r>
        <w:t xml:space="preserve"> </w:t>
      </w:r>
      <w:r>
        <w:t xml:space="preserve">Done</w:t>
      </w:r>
      <w:r>
        <w:t xml:space="preserve"> </w:t>
      </w:r>
      <w:r>
        <w:t xml:space="preserve">STK</w:t>
      </w:r>
      <w:r>
        <w:t xml:space="preserve"> </w:t>
      </w:r>
      <w:r>
        <w:t xml:space="preserve">Limited.</w:t>
      </w:r>
      <w:r>
        <w:t xml:space="preserve"> </w:t>
      </w:r>
      <w:r>
        <w:t xml:space="preserve">No</w:t>
      </w:r>
      <w:r>
        <w:t xml:space="preserve"> </w:t>
      </w:r>
      <w:r>
        <w:t xml:space="preserve">publicly</w:t>
      </w:r>
      <w:r>
        <w:t xml:space="preserve"> </w:t>
      </w:r>
      <w:r>
        <w:t xml:space="preserve">held</w:t>
      </w:r>
      <w:r>
        <w:t xml:space="preserve"> </w:t>
      </w:r>
      <w:r>
        <w:t xml:space="preserve">corporation</w:t>
      </w:r>
      <w:r>
        <w:t xml:space="preserve"> </w:t>
      </w:r>
      <w:r>
        <w:t xml:space="preserve">owns</w:t>
      </w:r>
      <w:r>
        <w:t xml:space="preserve"> </w:t>
      </w:r>
      <w:r>
        <w:t xml:space="preserve">10</w:t>
      </w:r>
      <w:r>
        <w:t xml:space="preserve"> </w:t>
      </w:r>
      <w:r>
        <w:t xml:space="preserve">percent</w:t>
      </w:r>
      <w:r>
        <w:t xml:space="preserve"> </w:t>
      </w:r>
      <w:r>
        <w:t xml:space="preserve">or</w:t>
      </w:r>
      <w:r>
        <w:t xml:space="preserve"> </w:t>
      </w:r>
      <w:r>
        <w:t xml:space="preserve">more</w:t>
      </w:r>
      <w:r>
        <w:t xml:space="preserve"> </w:t>
      </w:r>
      <w:r>
        <w:t xml:space="preserve">of</w:t>
      </w:r>
      <w:r>
        <w:t xml:space="preserve"> </w:t>
      </w:r>
      <w:r>
        <w:t xml:space="preserve">Sweepsteaks</w:t>
      </w:r>
      <w:r>
        <w:t xml:space="preserve"> </w:t>
      </w:r>
      <w:r>
        <w:t xml:space="preserve">Limited’s</w:t>
      </w:r>
      <w:r>
        <w:t xml:space="preserve"> </w:t>
      </w:r>
      <w:r>
        <w:t xml:space="preserve">or</w:t>
      </w:r>
      <w:r>
        <w:t xml:space="preserve"> </w:t>
      </w:r>
      <w:r>
        <w:t xml:space="preserve">Well</w:t>
      </w:r>
      <w:r>
        <w:t xml:space="preserve"> </w:t>
      </w:r>
      <w:r>
        <w:t xml:space="preserve">Done</w:t>
      </w:r>
      <w:r>
        <w:t xml:space="preserve"> </w:t>
      </w:r>
      <w:r>
        <w:t xml:space="preserve">STK’s</w:t>
      </w:r>
      <w:r>
        <w:t xml:space="preserve"> </w:t>
      </w:r>
      <w:r>
        <w:t xml:space="preserve">stock.</w:t>
      </w:r>
      <w:r>
        <w:t xml:space="preserve"> </w:t>
      </w:r>
      <w:r>
        <w:t xml:space="preserve">See</w:t>
      </w:r>
      <w:r>
        <w:t xml:space="preserve"> </w:t>
      </w:r>
      <w:r>
        <w:t xml:space="preserve">Fed.</w:t>
      </w:r>
      <w:r>
        <w:t xml:space="preserve"> </w:t>
      </w:r>
      <w:r>
        <w:t xml:space="preserve">R.</w:t>
      </w:r>
      <w:r>
        <w:t xml:space="preserve"> </w:t>
      </w:r>
      <w:r>
        <w:t xml:space="preserve">App.</w:t>
      </w:r>
      <w:r>
        <w:t xml:space="preserve"> </w:t>
      </w:r>
      <w:r>
        <w:t xml:space="preserve">P.</w:t>
      </w:r>
      <w:r>
        <w:t xml:space="preserve"> </w:t>
      </w:r>
      <w:r>
        <w:t xml:space="preserve">26.1(a);</w:t>
      </w:r>
      <w:r>
        <w:t xml:space="preserve"> </w:t>
      </w:r>
      <w:r>
        <w:t xml:space="preserve">8th</w:t>
      </w:r>
      <w:r>
        <w:t xml:space="preserve"> </w:t>
      </w:r>
      <w:r>
        <w:t xml:space="preserve">Cir.</w:t>
      </w:r>
      <w:r>
        <w:t xml:space="preserve"> </w:t>
      </w:r>
      <w:r>
        <w:t xml:space="preserve">R.</w:t>
      </w:r>
      <w:r>
        <w:t xml:space="preserve"> </w:t>
      </w:r>
      <w:r>
        <w:t xml:space="preserve">26.1A.</w:t>
      </w:r>
    </w:p>
    <w:p>
      <w:pPr>
        <w:pStyle w:val="CASection"/>
        <w:pageBreakBefore/>
        <w:spacing w:before="0" w:after="308" w:line="400" w:lineRule="exact"/>
      </w:pPr>
      <w:r>
        <w:t xml:space="preserve">Table of Contents</w:t>
      </w:r>
    </w:p>
    <w:p>
      <w:pPr>
        <w:pStyle w:val="CATocPage"/>
      </w:pPr>
      <w:r>
        <w:t xml:space="preserve">Page</w:t>
      </w:r>
    </w:p>
    <w:p>
      <w:pPr>
        <w:pStyle w:val="CATocTop"/>
      </w:pPr>
      <w:r>
        <w:t xml:space="preserve">TABLE OF AUTHORITIES</w:t>
      </w:r>
      <w:r>
        <w:t xml:space="preserve">   </w:t>
      </w:r>
      <w:r>
        <w:tab/>
      </w:r>
      <w:r>
        <w:t xml:space="preserve">iv</w:t>
      </w:r>
    </w:p>
    <w:p>
      <w:pPr>
        <w:pStyle w:val="CATocTop"/>
      </w:pPr>
      <w:r>
        <w:t xml:space="preserve">JURISDICTIONAL</w:t>
      </w:r>
      <w:r>
        <w:t xml:space="preserve"> </w:t>
      </w:r>
      <w:r>
        <w:t xml:space="preserve">STATEMENT</w:t>
      </w:r>
      <w:r>
        <w:t xml:space="preserve">   </w:t>
      </w:r>
      <w:r>
        <w:tab/>
      </w:r>
      <w:r>
        <w:t xml:space="preserve">1</w:t>
      </w:r>
    </w:p>
    <w:p>
      <w:pPr>
        <w:pStyle w:val="CATocTop"/>
      </w:pPr>
      <w:r>
        <w:t xml:space="preserve">STATEMENT</w:t>
      </w:r>
      <w:r>
        <w:t xml:space="preserve"> </w:t>
      </w:r>
      <w:r>
        <w:t xml:space="preserve">OF</w:t>
      </w:r>
      <w:r>
        <w:t xml:space="preserve"> </w:t>
      </w:r>
      <w:r>
        <w:t xml:space="preserve">THE</w:t>
      </w:r>
      <w:r>
        <w:t xml:space="preserve"> </w:t>
      </w:r>
      <w:r>
        <w:t xml:space="preserve">ISSUES</w:t>
      </w:r>
      <w:r>
        <w:t xml:space="preserve">   </w:t>
      </w:r>
      <w:r>
        <w:tab/>
      </w:r>
      <w:r>
        <w:t xml:space="preserve">1</w:t>
      </w:r>
    </w:p>
    <w:p>
      <w:pPr>
        <w:pStyle w:val="CATocTop"/>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2</w:t>
      </w:r>
    </w:p>
    <w:p>
      <w:pPr>
        <w:pStyle w:val="CATocTop"/>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3</w:t>
      </w:r>
    </w:p>
    <w:p>
      <w:pPr>
        <w:pStyle w:val="CATocTop"/>
      </w:pPr>
      <w:r>
        <w:t xml:space="preserve">ARGUMENT</w:t>
      </w:r>
      <w:r>
        <w:t xml:space="preserve">   </w:t>
      </w:r>
      <w:r>
        <w:tab/>
      </w:r>
      <w:r>
        <w:t xml:space="preserve">3</w:t>
      </w:r>
    </w:p>
    <w:p>
      <w:pPr>
        <w:pStyle w:val="CATocS0"/>
      </w:pPr>
      <w:r>
        <w:t xml:space="preserve">I.</w:t>
      </w:r>
      <w:r>
        <w:tab/>
      </w:r>
      <w:r>
        <w:t xml:space="preserve">All</w:t>
      </w:r>
      <w:r>
        <w:t xml:space="preserve"> </w:t>
      </w:r>
      <w:r>
        <w:t xml:space="preserve">Disputes</w:t>
      </w:r>
      <w:r>
        <w:t xml:space="preserve"> </w:t>
      </w:r>
      <w:r>
        <w:t xml:space="preserve">Between</w:t>
      </w:r>
      <w:r>
        <w:t xml:space="preserve"> </w:t>
      </w:r>
      <w:r>
        <w:t xml:space="preserve">Wolters</w:t>
      </w:r>
      <w:r>
        <w:t xml:space="preserve"> </w:t>
      </w:r>
      <w:r>
        <w:t xml:space="preserve">and</w:t>
      </w:r>
      <w:r>
        <w:t xml:space="preserve"> </w:t>
      </w:r>
      <w:r>
        <w:t xml:space="preserve">Sweepsteaks</w:t>
      </w:r>
      <w:r>
        <w:t xml:space="preserve"> </w:t>
      </w:r>
      <w:r>
        <w:t xml:space="preserve">Should</w:t>
      </w:r>
      <w:r>
        <w:t xml:space="preserve"> </w:t>
      </w:r>
      <w:r>
        <w:t xml:space="preserve">Be</w:t>
      </w:r>
      <w:r>
        <w:t xml:space="preserve"> </w:t>
      </w:r>
      <w:r>
        <w:t xml:space="preserve">Directed</w:t>
      </w:r>
      <w:r>
        <w:t xml:space="preserve"> </w:t>
      </w:r>
      <w:r>
        <w:t xml:space="preserve">To</w:t>
      </w:r>
      <w:r>
        <w:t xml:space="preserve"> </w:t>
      </w:r>
      <w:r>
        <w:t xml:space="preserve">Arbitration,</w:t>
      </w:r>
      <w:r>
        <w:t xml:space="preserve"> </w:t>
      </w:r>
      <w:r>
        <w:t xml:space="preserve">And</w:t>
      </w:r>
      <w:r>
        <w:t xml:space="preserve"> </w:t>
      </w:r>
      <w:r>
        <w:t xml:space="preserve">This</w:t>
      </w:r>
      <w:r>
        <w:t xml:space="preserve"> </w:t>
      </w:r>
      <w:r>
        <w:t xml:space="preserve">Litigation</w:t>
      </w:r>
      <w:r>
        <w:t xml:space="preserve"> </w:t>
      </w:r>
      <w:r>
        <w:t xml:space="preserve">Should</w:t>
      </w:r>
      <w:r>
        <w:t xml:space="preserve"> </w:t>
      </w:r>
      <w:r>
        <w:t xml:space="preserve">Be</w:t>
      </w:r>
      <w:r>
        <w:t xml:space="preserve"> </w:t>
      </w:r>
      <w:r>
        <w:t xml:space="preserve">Stayed.</w:t>
      </w:r>
      <w:r>
        <w:t xml:space="preserve">   </w:t>
      </w:r>
      <w:r>
        <w:tab/>
      </w:r>
      <w:r>
        <w:t xml:space="preserve">4</w:t>
      </w:r>
    </w:p>
    <w:p>
      <w:pPr>
        <w:pStyle w:val="CATocS1"/>
      </w:pPr>
      <w:r>
        <w:t xml:space="preserve">A.</w:t>
      </w:r>
      <w:r>
        <w:tab/>
      </w:r>
      <w:r>
        <w:t xml:space="preserve">The</w:t>
      </w:r>
      <w:r>
        <w:t xml:space="preserve"> </w:t>
      </w:r>
      <w:r>
        <w:t xml:space="preserve">Parties</w:t>
      </w:r>
      <w:r>
        <w:t xml:space="preserve"> </w:t>
      </w:r>
      <w:r>
        <w:t xml:space="preserve">validly</w:t>
      </w:r>
      <w:r>
        <w:t xml:space="preserve"> </w:t>
      </w:r>
      <w:r>
        <w:t xml:space="preserve">formed</w:t>
      </w:r>
      <w:r>
        <w:t xml:space="preserve"> </w:t>
      </w:r>
      <w:r>
        <w:t xml:space="preserve">an</w:t>
      </w:r>
      <w:r>
        <w:t xml:space="preserve"> </w:t>
      </w:r>
      <w:r>
        <w:t xml:space="preserve">arbitration</w:t>
      </w:r>
      <w:r>
        <w:t xml:space="preserve"> </w:t>
      </w:r>
      <w:r>
        <w:t xml:space="preserve">agreement,</w:t>
      </w:r>
      <w:r>
        <w:t xml:space="preserve"> </w:t>
      </w:r>
      <w:r>
        <w:t xml:space="preserve">and</w:t>
      </w:r>
      <w:r>
        <w:t xml:space="preserve"> </w:t>
      </w:r>
      <w:r>
        <w:t xml:space="preserve">the</w:t>
      </w:r>
      <w:r>
        <w:t xml:space="preserve"> </w:t>
      </w:r>
      <w:r>
        <w:t xml:space="preserve">agreement</w:t>
      </w:r>
      <w:r>
        <w:t xml:space="preserve"> </w:t>
      </w:r>
      <w:r>
        <w:t xml:space="preserve">requires</w:t>
      </w:r>
      <w:r>
        <w:t xml:space="preserve"> </w:t>
      </w:r>
      <w:r>
        <w:t xml:space="preserve">arbitration</w:t>
      </w:r>
      <w:r>
        <w:t xml:space="preserve"> </w:t>
      </w:r>
      <w:r>
        <w:t xml:space="preserve">of</w:t>
      </w:r>
      <w:r>
        <w:t xml:space="preserve"> </w:t>
      </w:r>
      <w:r>
        <w:t xml:space="preserve">all</w:t>
      </w:r>
      <w:r>
        <w:t xml:space="preserve"> </w:t>
      </w:r>
      <w:r>
        <w:t xml:space="preserve">disputes</w:t>
      </w:r>
      <w:r>
        <w:t xml:space="preserve"> </w:t>
      </w:r>
      <w:r>
        <w:t xml:space="preserve">Wolters</w:t>
      </w:r>
      <w:r>
        <w:t xml:space="preserve"> </w:t>
      </w:r>
      <w:r>
        <w:t xml:space="preserve">raises.</w:t>
      </w:r>
      <w:r>
        <w:t xml:space="preserve">   </w:t>
      </w:r>
      <w:r>
        <w:tab/>
      </w:r>
      <w:r>
        <w:t xml:space="preserve">5</w:t>
      </w:r>
    </w:p>
    <w:p>
      <w:pPr>
        <w:pStyle w:val="CATocTop"/>
      </w:pPr>
      <w:r>
        <w:t xml:space="preserve">CONCLUSION</w:t>
      </w:r>
      <w:r>
        <w:t xml:space="preserve">   </w:t>
      </w:r>
      <w:r>
        <w:tab/>
      </w:r>
      <w:r>
        <w:t xml:space="preserve">7</w:t>
      </w:r>
    </w:p>
    <w:p>
      <w:pPr>
        <w:pStyle w:val="CATocTop"/>
      </w:pPr>
      <w:r>
        <w:t xml:space="preserve">CERTIFICATE OF COMPLIANCE</w:t>
      </w:r>
      <w:r>
        <w:t xml:space="preserve">   </w:t>
      </w:r>
      <w:r>
        <w:tab/>
      </w:r>
      <w:r>
        <w:t xml:space="preserve">8</w:t>
      </w:r>
    </w:p>
    <w:p>
      <w:pPr>
        <w:pStyle w:val="CATocTop"/>
      </w:pPr>
      <w:r>
        <w:t xml:space="preserve">CERTIFICATE OF SERVICE</w:t>
      </w:r>
      <w:r>
        <w:t xml:space="preserve">   </w:t>
      </w:r>
      <w:r>
        <w:tab/>
      </w:r>
      <w:r>
        <w:t xml:space="preserve">9</w:t>
      </w:r>
    </w:p>
    <w:p>
      <w:pPr>
        <w:pStyle w:val="CASection"/>
        <w:pageBreakBefore/>
        <w:spacing w:before="0" w:after="308" w:line="400" w:lineRule="exact"/>
      </w:pPr>
      <w:r>
        <w:t xml:space="preserve">Table of Authorities</w:t>
      </w:r>
    </w:p>
    <w:p>
      <w:pPr>
        <w:pStyle w:val="CAToaGroup"/>
        <w:spacing w:before="280" w:after="56" w:line="340" w:lineRule="exact"/>
      </w:pPr>
      <w:r>
        <w:t xml:space="preserve">Cases:</w:t>
      </w:r>
      <w:r>
        <w:tab/>
      </w:r>
      <w:r>
        <w:rPr>
          <w:b/>
          <w:u w:val="single"/>
        </w:rPr>
        <w:t>Page(s)</w:t>
      </w:r>
    </w:p>
    <w:p>
      <w:pPr>
        <w:pStyle w:val="CAToaEntry"/>
      </w:pPr>
      <w:r>
        <w:rPr>
          <w:i/>
        </w:rPr>
        <w:t xml:space="preserve">Am.</w:t>
      </w:r>
      <w:r>
        <w:rPr>
          <w:i/>
        </w:rPr>
        <w:t xml:space="preserve"> </w:t>
      </w:r>
      <w:r>
        <w:rPr>
          <w:i/>
        </w:rPr>
        <w:t xml:space="preserve">Express</w:t>
      </w:r>
      <w:r>
        <w:rPr>
          <w:i/>
        </w:rPr>
        <w:t xml:space="preserve"> </w:t>
      </w:r>
      <w:r>
        <w:rPr>
          <w:i/>
        </w:rPr>
        <w:t xml:space="preserve">Co. v.</w:t>
      </w:r>
      <w:r>
        <w:rPr>
          <w:i/>
        </w:rPr>
        <w:t xml:space="preserve"> </w:t>
      </w:r>
      <w:r>
        <w:rPr>
          <w:i/>
        </w:rPr>
        <w:t xml:space="preserve">Italian</w:t>
      </w:r>
      <w:r>
        <w:rPr>
          <w:i/>
        </w:rPr>
        <w:t xml:space="preserve"> </w:t>
      </w:r>
      <w:r>
        <w:rPr>
          <w:i/>
        </w:rPr>
        <w:t xml:space="preserve">Colors</w:t>
      </w:r>
      <w:r>
        <w:rPr>
          <w:i/>
        </w:rPr>
        <w:t xml:space="preserve"> </w:t>
      </w:r>
      <w:r>
        <w:rPr>
          <w:i/>
        </w:rPr>
        <w:t xml:space="preserve">Rest.</w:t>
      </w:r>
      <w:r>
        <w:t xml:space="preserve">,</w:t>
      </w:r>
      <w:r>
        <w:br/>
      </w:r>
      <w:r>
        <w:t xml:space="preserve">570</w:t>
      </w:r>
      <w:r>
        <w:t xml:space="preserve"> </w:t>
      </w:r>
      <w:r>
        <w:t xml:space="preserve">U.S.</w:t>
      </w:r>
      <w:r>
        <w:t xml:space="preserve"> </w:t>
      </w:r>
      <w:r>
        <w:t xml:space="preserve">228</w:t>
      </w:r>
      <w:r>
        <w:t xml:space="preserve"> </w:t>
      </w:r>
      <w:r>
        <w:t xml:space="preserve">(2013)</w:t>
      </w:r>
      <w:r>
        <w:t xml:space="preserve">   </w:t>
      </w:r>
      <w:r>
        <w:tab/>
      </w:r>
      <w:r>
        <w:t xml:space="preserve">4</w:t>
      </w:r>
    </w:p>
    <w:p>
      <w:pPr>
        <w:pStyle w:val="CAToaEntry"/>
      </w:pPr>
      <w:r>
        <w:rPr>
          <w:i/>
        </w:rPr>
        <w:t xml:space="preserve">Asia</w:t>
      </w:r>
      <w:r>
        <w:rPr>
          <w:i/>
        </w:rPr>
        <w:t xml:space="preserve"> </w:t>
      </w:r>
      <w:r>
        <w:rPr>
          <w:i/>
        </w:rPr>
        <w:t xml:space="preserve">Pac.</w:t>
      </w:r>
      <w:r>
        <w:rPr>
          <w:i/>
        </w:rPr>
        <w:t xml:space="preserve"> </w:t>
      </w:r>
      <w:r>
        <w:rPr>
          <w:i/>
        </w:rPr>
        <w:t xml:space="preserve">Indus.</w:t>
      </w:r>
      <w:r>
        <w:rPr>
          <w:i/>
        </w:rPr>
        <w:t xml:space="preserve"> </w:t>
      </w:r>
      <w:r>
        <w:rPr>
          <w:i/>
        </w:rPr>
        <w:t xml:space="preserve">Corp. v.</w:t>
      </w:r>
      <w:r>
        <w:rPr>
          <w:i/>
        </w:rPr>
        <w:t xml:space="preserve"> </w:t>
      </w:r>
      <w:r>
        <w:rPr>
          <w:i/>
        </w:rPr>
        <w:t xml:space="preserve">Rainforest</w:t>
      </w:r>
      <w:r>
        <w:rPr>
          <w:i/>
        </w:rPr>
        <w:t xml:space="preserve"> </w:t>
      </w:r>
      <w:r>
        <w:rPr>
          <w:i/>
        </w:rPr>
        <w:t xml:space="preserve">Café,</w:t>
      </w:r>
      <w:r>
        <w:rPr>
          <w:i/>
        </w:rPr>
        <w:t xml:space="preserve"> </w:t>
      </w:r>
      <w:r>
        <w:rPr>
          <w:i/>
        </w:rPr>
        <w:t xml:space="preserve">Inc.</w:t>
      </w:r>
      <w:r>
        <w:t xml:space="preserve">,</w:t>
      </w:r>
      <w:r>
        <w:br/>
      </w:r>
      <w:r>
        <w:t xml:space="preserve">380</w:t>
      </w:r>
      <w:r>
        <w:t xml:space="preserve"> </w:t>
      </w:r>
      <w:r>
        <w:t xml:space="preserve">F.3d</w:t>
      </w:r>
      <w:r>
        <w:t xml:space="preserve"> </w:t>
      </w:r>
      <w:r>
        <w:t xml:space="preserve">383</w:t>
      </w:r>
      <w:r>
        <w:t xml:space="preserve"> </w:t>
      </w:r>
      <w:r>
        <w:t xml:space="preserve">(8th</w:t>
      </w:r>
      <w:r>
        <w:t xml:space="preserve"> </w:t>
      </w:r>
      <w:r>
        <w:t xml:space="preserve">Cir.</w:t>
      </w:r>
      <w:r>
        <w:t xml:space="preserve"> </w:t>
      </w:r>
      <w:r>
        <w:t xml:space="preserve">2004)</w:t>
      </w:r>
      <w:r>
        <w:t xml:space="preserve">   </w:t>
      </w:r>
      <w:r>
        <w:tab/>
      </w:r>
      <w:r>
        <w:t xml:space="preserve">2, 5</w:t>
      </w:r>
    </w:p>
    <w:p>
      <w:pPr>
        <w:pStyle w:val="CAToaEntry"/>
      </w:pPr>
      <w:r>
        <w:rPr>
          <w:i/>
        </w:rPr>
        <w:t xml:space="preserve">Bailey</w:t>
      </w:r>
      <w:r>
        <w:rPr>
          <w:i/>
        </w:rPr>
        <w:t xml:space="preserve"> </w:t>
      </w:r>
      <w:r>
        <w:rPr>
          <w:i/>
        </w:rPr>
        <w:t xml:space="preserve">v.</w:t>
      </w:r>
      <w:r>
        <w:rPr>
          <w:i/>
        </w:rPr>
        <w:t xml:space="preserve"> </w:t>
      </w:r>
      <w:r>
        <w:rPr>
          <w:i/>
        </w:rPr>
        <w:t xml:space="preserve">Ameriquest</w:t>
      </w:r>
      <w:r>
        <w:rPr>
          <w:i/>
        </w:rPr>
        <w:t xml:space="preserve"> </w:t>
      </w:r>
      <w:r>
        <w:rPr>
          <w:i/>
        </w:rPr>
        <w:t xml:space="preserve">Mortg.</w:t>
      </w:r>
      <w:r>
        <w:rPr>
          <w:i/>
        </w:rPr>
        <w:t xml:space="preserve"> </w:t>
      </w:r>
      <w:r>
        <w:rPr>
          <w:i/>
        </w:rPr>
        <w:t xml:space="preserve">Co.</w:t>
      </w:r>
      <w:r>
        <w:t xml:space="preserve">,</w:t>
      </w:r>
      <w:r>
        <w:br/>
      </w:r>
      <w:r>
        <w:t xml:space="preserve">346</w:t>
      </w:r>
      <w:r>
        <w:t xml:space="preserve"> </w:t>
      </w:r>
      <w:r>
        <w:t xml:space="preserve">F.3d</w:t>
      </w:r>
      <w:r>
        <w:t xml:space="preserve"> </w:t>
      </w:r>
      <w:r>
        <w:t xml:space="preserve">821</w:t>
      </w:r>
      <w:r>
        <w:t xml:space="preserve"> </w:t>
      </w:r>
      <w:r>
        <w:t xml:space="preserve">(8th</w:t>
      </w:r>
      <w:r>
        <w:t xml:space="preserve"> </w:t>
      </w:r>
      <w:r>
        <w:t xml:space="preserve">Cir.</w:t>
      </w:r>
      <w:r>
        <w:t xml:space="preserve"> </w:t>
      </w:r>
      <w:r>
        <w:t xml:space="preserve">2003)</w:t>
      </w:r>
      <w:r>
        <w:t xml:space="preserve">   </w:t>
      </w:r>
      <w:r>
        <w:tab/>
      </w:r>
      <w:r>
        <w:t xml:space="preserve">3, 4</w:t>
      </w:r>
    </w:p>
    <w:p>
      <w:pPr>
        <w:pStyle w:val="CAToaEntry"/>
      </w:pPr>
      <w:r>
        <w:rPr>
          <w:i/>
        </w:rPr>
        <w:t xml:space="preserve">Benchmark</w:t>
      </w:r>
      <w:r>
        <w:rPr>
          <w:i/>
        </w:rPr>
        <w:t xml:space="preserve"> </w:t>
      </w:r>
      <w:r>
        <w:rPr>
          <w:i/>
        </w:rPr>
        <w:t xml:space="preserve">Ins.</w:t>
      </w:r>
      <w:r>
        <w:rPr>
          <w:i/>
        </w:rPr>
        <w:t xml:space="preserve"> </w:t>
      </w:r>
      <w:r>
        <w:rPr>
          <w:i/>
        </w:rPr>
        <w:t xml:space="preserve">Co. v.</w:t>
      </w:r>
      <w:r>
        <w:rPr>
          <w:i/>
        </w:rPr>
        <w:t xml:space="preserve"> </w:t>
      </w:r>
      <w:r>
        <w:rPr>
          <w:i/>
        </w:rPr>
        <w:t xml:space="preserve">SUNZ</w:t>
      </w:r>
      <w:r>
        <w:rPr>
          <w:i/>
        </w:rPr>
        <w:t xml:space="preserve"> </w:t>
      </w:r>
      <w:r>
        <w:rPr>
          <w:i/>
        </w:rPr>
        <w:t xml:space="preserve">Ins.</w:t>
      </w:r>
      <w:r>
        <w:rPr>
          <w:i/>
        </w:rPr>
        <w:t xml:space="preserve"> </w:t>
      </w:r>
      <w:r>
        <w:rPr>
          <w:i/>
        </w:rPr>
        <w:t xml:space="preserve">Co.</w:t>
      </w:r>
      <w:r>
        <w:t xml:space="preserve">,</w:t>
      </w:r>
      <w:r>
        <w:br/>
      </w:r>
      <w:r>
        <w:t xml:space="preserve">36</w:t>
      </w:r>
      <w:r>
        <w:t xml:space="preserve"> </w:t>
      </w:r>
      <w:r>
        <w:t xml:space="preserve">F.4th</w:t>
      </w:r>
      <w:r>
        <w:t xml:space="preserve"> </w:t>
      </w:r>
      <w:r>
        <w:t xml:space="preserve">766</w:t>
      </w:r>
      <w:r>
        <w:t xml:space="preserve"> </w:t>
      </w:r>
      <w:r>
        <w:t xml:space="preserve">(8th</w:t>
      </w:r>
      <w:r>
        <w:t xml:space="preserve"> </w:t>
      </w:r>
      <w:r>
        <w:t xml:space="preserve">Cir.</w:t>
      </w:r>
      <w:r>
        <w:t xml:space="preserve"> </w:t>
      </w:r>
      <w:r>
        <w:t xml:space="preserve">2022)</w:t>
      </w:r>
      <w:r>
        <w:t xml:space="preserve">   </w:t>
      </w:r>
      <w:r>
        <w:tab/>
      </w:r>
      <w:r>
        <w:t xml:space="preserve">1, 4</w:t>
      </w:r>
    </w:p>
    <w:p>
      <w:pPr>
        <w:pStyle w:val="CAToaEntry"/>
      </w:pPr>
      <w:r>
        <w:rPr>
          <w:i/>
        </w:rPr>
        <w:t xml:space="preserve">Buckeye</w:t>
      </w:r>
      <w:r>
        <w:rPr>
          <w:i/>
        </w:rPr>
        <w:t xml:space="preserve"> </w:t>
      </w:r>
      <w:r>
        <w:rPr>
          <w:i/>
        </w:rPr>
        <w:t xml:space="preserve">Check</w:t>
      </w:r>
      <w:r>
        <w:rPr>
          <w:i/>
        </w:rPr>
        <w:t xml:space="preserve"> </w:t>
      </w:r>
      <w:r>
        <w:rPr>
          <w:i/>
        </w:rPr>
        <w:t xml:space="preserve">Cashing,</w:t>
      </w:r>
      <w:r>
        <w:rPr>
          <w:i/>
        </w:rPr>
        <w:t xml:space="preserve"> </w:t>
      </w:r>
      <w:r>
        <w:rPr>
          <w:i/>
        </w:rPr>
        <w:t xml:space="preserve">Inc. v.</w:t>
      </w:r>
      <w:r>
        <w:rPr>
          <w:i/>
        </w:rPr>
        <w:t xml:space="preserve"> </w:t>
      </w:r>
      <w:r>
        <w:rPr>
          <w:i/>
        </w:rPr>
        <w:t xml:space="preserve">Cardegna</w:t>
      </w:r>
      <w:r>
        <w:t xml:space="preserve">,</w:t>
      </w:r>
      <w:r>
        <w:br/>
      </w:r>
      <w:r>
        <w:t xml:space="preserve">546</w:t>
      </w:r>
      <w:r>
        <w:t xml:space="preserve"> </w:t>
      </w:r>
      <w:r>
        <w:t xml:space="preserve">U.S.</w:t>
      </w:r>
      <w:r>
        <w:t xml:space="preserve"> </w:t>
      </w:r>
      <w:r>
        <w:t xml:space="preserve">440</w:t>
      </w:r>
      <w:r>
        <w:t xml:space="preserve"> </w:t>
      </w:r>
      <w:r>
        <w:t xml:space="preserve">(2006)</w:t>
      </w:r>
      <w:r>
        <w:t xml:space="preserve">   </w:t>
      </w:r>
      <w:r>
        <w:tab/>
      </w:r>
      <w:r>
        <w:t xml:space="preserve">1, 2</w:t>
      </w:r>
    </w:p>
    <w:p>
      <w:pPr>
        <w:pStyle w:val="CAToaEntry"/>
      </w:pPr>
      <w:r>
        <w:rPr>
          <w:i/>
        </w:rPr>
        <w:t xml:space="preserve">Epic</w:t>
      </w:r>
      <w:r>
        <w:rPr>
          <w:i/>
        </w:rPr>
        <w:t xml:space="preserve"> </w:t>
      </w:r>
      <w:r>
        <w:rPr>
          <w:i/>
        </w:rPr>
        <w:t xml:space="preserve">Sys.</w:t>
      </w:r>
      <w:r>
        <w:rPr>
          <w:i/>
        </w:rPr>
        <w:t xml:space="preserve"> </w:t>
      </w:r>
      <w:r>
        <w:rPr>
          <w:i/>
        </w:rPr>
        <w:t xml:space="preserve">Corp. v.</w:t>
      </w:r>
      <w:r>
        <w:rPr>
          <w:i/>
        </w:rPr>
        <w:t xml:space="preserve"> </w:t>
      </w:r>
      <w:r>
        <w:rPr>
          <w:i/>
        </w:rPr>
        <w:t xml:space="preserve">Lewis</w:t>
      </w:r>
      <w:r>
        <w:t xml:space="preserve">,</w:t>
      </w:r>
      <w:r>
        <w:br/>
      </w:r>
      <w:r>
        <w:t xml:space="preserve">584</w:t>
      </w:r>
      <w:r>
        <w:t xml:space="preserve"> </w:t>
      </w:r>
      <w:r>
        <w:t xml:space="preserve">U.S.</w:t>
      </w:r>
      <w:r>
        <w:t xml:space="preserve"> </w:t>
      </w:r>
      <w:r>
        <w:t xml:space="preserve">497</w:t>
      </w:r>
      <w:r>
        <w:t xml:space="preserve"> </w:t>
      </w:r>
      <w:r>
        <w:t xml:space="preserve">(2018)</w:t>
      </w:r>
      <w:r>
        <w:t xml:space="preserve">   </w:t>
      </w:r>
      <w:r>
        <w:tab/>
      </w:r>
      <w:r>
        <w:t xml:space="preserve">4</w:t>
      </w:r>
    </w:p>
    <w:p>
      <w:pPr>
        <w:pStyle w:val="CAToaEntry"/>
      </w:pPr>
      <w:r>
        <w:rPr>
          <w:i/>
        </w:rPr>
        <w:t xml:space="preserve">Erickson</w:t>
      </w:r>
      <w:r>
        <w:rPr>
          <w:i/>
        </w:rPr>
        <w:t xml:space="preserve"> </w:t>
      </w:r>
      <w:r>
        <w:rPr>
          <w:i/>
        </w:rPr>
        <w:t xml:space="preserve">v.</w:t>
      </w:r>
      <w:r>
        <w:rPr>
          <w:i/>
        </w:rPr>
        <w:t xml:space="preserve"> </w:t>
      </w:r>
      <w:r>
        <w:rPr>
          <w:i/>
        </w:rPr>
        <w:t xml:space="preserve">Nationstar</w:t>
      </w:r>
      <w:r>
        <w:rPr>
          <w:i/>
        </w:rPr>
        <w:t xml:space="preserve"> </w:t>
      </w:r>
      <w:r>
        <w:rPr>
          <w:i/>
        </w:rPr>
        <w:t xml:space="preserve">Mortg.,</w:t>
      </w:r>
      <w:r>
        <w:rPr>
          <w:i/>
        </w:rPr>
        <w:t xml:space="preserve"> </w:t>
      </w:r>
      <w:r>
        <w:rPr>
          <w:i/>
        </w:rPr>
        <w:t xml:space="preserve">LLC</w:t>
      </w:r>
      <w:r>
        <w:t xml:space="preserve">,</w:t>
      </w:r>
      <w:r>
        <w:br/>
      </w:r>
      <w:r>
        <w:t xml:space="preserve">31</w:t>
      </w:r>
      <w:r>
        <w:t xml:space="preserve"> </w:t>
      </w:r>
      <w:r>
        <w:t xml:space="preserve">F.4th</w:t>
      </w:r>
      <w:r>
        <w:t xml:space="preserve"> </w:t>
      </w:r>
      <w:r>
        <w:t xml:space="preserve">1044</w:t>
      </w:r>
      <w:r>
        <w:t xml:space="preserve"> </w:t>
      </w:r>
      <w:r>
        <w:t xml:space="preserve">(8th</w:t>
      </w:r>
      <w:r>
        <w:t xml:space="preserve"> </w:t>
      </w:r>
      <w:r>
        <w:t xml:space="preserve">Cir.</w:t>
      </w:r>
      <w:r>
        <w:t xml:space="preserve"> </w:t>
      </w:r>
      <w:r>
        <w:t xml:space="preserve">2022)</w:t>
      </w:r>
      <w:r>
        <w:t xml:space="preserve">   </w:t>
      </w:r>
      <w:r>
        <w:tab/>
      </w:r>
      <w:r>
        <w:t xml:space="preserve">2</w:t>
      </w:r>
    </w:p>
    <w:p>
      <w:pPr>
        <w:pStyle w:val="CAToaEntry"/>
      </w:pPr>
      <w:r>
        <w:rPr>
          <w:i/>
        </w:rPr>
        <w:t xml:space="preserve">Foster</w:t>
      </w:r>
      <w:r>
        <w:rPr>
          <w:i/>
        </w:rPr>
        <w:t xml:space="preserve"> </w:t>
      </w:r>
      <w:r>
        <w:rPr>
          <w:i/>
        </w:rPr>
        <w:t xml:space="preserve">v.</w:t>
      </w:r>
      <w:r>
        <w:rPr>
          <w:i/>
        </w:rPr>
        <w:t xml:space="preserve"> </w:t>
      </w:r>
      <w:r>
        <w:rPr>
          <w:i/>
        </w:rPr>
        <w:t xml:space="preserve">Walmart,</w:t>
      </w:r>
      <w:r>
        <w:rPr>
          <w:i/>
        </w:rPr>
        <w:t xml:space="preserve"> </w:t>
      </w:r>
      <w:r>
        <w:rPr>
          <w:i/>
        </w:rPr>
        <w:t xml:space="preserve">Inc.</w:t>
      </w:r>
      <w:r>
        <w:t xml:space="preserve">,</w:t>
      </w:r>
      <w:r>
        <w:br/>
      </w:r>
      <w:r>
        <w:t xml:space="preserve">15</w:t>
      </w:r>
      <w:r>
        <w:t xml:space="preserve"> </w:t>
      </w:r>
      <w:r>
        <w:t xml:space="preserve">F.4th</w:t>
      </w:r>
      <w:r>
        <w:t xml:space="preserve"> </w:t>
      </w:r>
      <w:r>
        <w:t xml:space="preserve">860</w:t>
      </w:r>
      <w:r>
        <w:t xml:space="preserve"> </w:t>
      </w:r>
      <w:r>
        <w:t xml:space="preserve">(8th</w:t>
      </w:r>
      <w:r>
        <w:t xml:space="preserve"> </w:t>
      </w:r>
      <w:r>
        <w:t xml:space="preserve">Cir.</w:t>
      </w:r>
      <w:r>
        <w:t xml:space="preserve"> </w:t>
      </w:r>
      <w:r>
        <w:t xml:space="preserve">2021)</w:t>
      </w:r>
      <w:r>
        <w:t xml:space="preserve">   </w:t>
      </w:r>
      <w:r>
        <w:tab/>
      </w:r>
      <w:r>
        <w:t xml:space="preserve">6</w:t>
      </w:r>
    </w:p>
    <w:p>
      <w:pPr>
        <w:pStyle w:val="CAToaEntry"/>
      </w:pPr>
      <w:r>
        <w:rPr>
          <w:i/>
        </w:rPr>
        <w:t xml:space="preserve">McLeod</w:t>
      </w:r>
      <w:r>
        <w:rPr>
          <w:i/>
        </w:rPr>
        <w:t xml:space="preserve"> </w:t>
      </w:r>
      <w:r>
        <w:rPr>
          <w:i/>
        </w:rPr>
        <w:t xml:space="preserve">v.</w:t>
      </w:r>
      <w:r>
        <w:rPr>
          <w:i/>
        </w:rPr>
        <w:t xml:space="preserve"> </w:t>
      </w:r>
      <w:r>
        <w:rPr>
          <w:i/>
        </w:rPr>
        <w:t xml:space="preserve">Gen. Mills,</w:t>
      </w:r>
      <w:r>
        <w:rPr>
          <w:i/>
        </w:rPr>
        <w:t xml:space="preserve"> </w:t>
      </w:r>
      <w:r>
        <w:rPr>
          <w:i/>
        </w:rPr>
        <w:t xml:space="preserve">Inc.</w:t>
      </w:r>
      <w:r>
        <w:t xml:space="preserve">,</w:t>
      </w:r>
      <w:r>
        <w:br/>
      </w:r>
      <w:r>
        <w:t xml:space="preserve">856</w:t>
      </w:r>
      <w:r>
        <w:t xml:space="preserve"> </w:t>
      </w:r>
      <w:r>
        <w:t xml:space="preserve">F.3d</w:t>
      </w:r>
      <w:r>
        <w:t xml:space="preserve"> </w:t>
      </w:r>
      <w:r>
        <w:t xml:space="preserve">1160</w:t>
      </w:r>
      <w:r>
        <w:t xml:space="preserve"> </w:t>
      </w:r>
      <w:r>
        <w:t xml:space="preserve">(8th</w:t>
      </w:r>
      <w:r>
        <w:t xml:space="preserve"> </w:t>
      </w:r>
      <w:r>
        <w:t xml:space="preserve">Cir.</w:t>
      </w:r>
      <w:r>
        <w:t xml:space="preserve"> </w:t>
      </w:r>
      <w:r>
        <w:t xml:space="preserve">2017)</w:t>
      </w:r>
      <w:r>
        <w:t xml:space="preserve">   </w:t>
      </w:r>
      <w:r>
        <w:tab/>
      </w:r>
      <w:r>
        <w:t xml:space="preserve">4</w:t>
      </w:r>
    </w:p>
    <w:p>
      <w:pPr>
        <w:pStyle w:val="CAToaEntry"/>
      </w:pPr>
      <w:r>
        <w:rPr>
          <w:i/>
        </w:rPr>
        <w:t xml:space="preserve">Parm</w:t>
      </w:r>
      <w:r>
        <w:rPr>
          <w:i/>
        </w:rPr>
        <w:t xml:space="preserve"> </w:t>
      </w:r>
      <w:r>
        <w:rPr>
          <w:i/>
        </w:rPr>
        <w:t xml:space="preserve">v.</w:t>
      </w:r>
      <w:r>
        <w:rPr>
          <w:i/>
        </w:rPr>
        <w:t xml:space="preserve"> </w:t>
      </w:r>
      <w:r>
        <w:rPr>
          <w:i/>
        </w:rPr>
        <w:t xml:space="preserve">Bluestem</w:t>
      </w:r>
      <w:r>
        <w:rPr>
          <w:i/>
        </w:rPr>
        <w:t xml:space="preserve"> </w:t>
      </w:r>
      <w:r>
        <w:rPr>
          <w:i/>
        </w:rPr>
        <w:t xml:space="preserve">Brands,</w:t>
      </w:r>
      <w:r>
        <w:rPr>
          <w:i/>
        </w:rPr>
        <w:t xml:space="preserve"> </w:t>
      </w:r>
      <w:r>
        <w:rPr>
          <w:i/>
        </w:rPr>
        <w:t xml:space="preserve">Inc.</w:t>
      </w:r>
      <w:r>
        <w:t xml:space="preserve">,</w:t>
      </w:r>
      <w:r>
        <w:br/>
      </w:r>
      <w:r>
        <w:t xml:space="preserve">898</w:t>
      </w:r>
      <w:r>
        <w:t xml:space="preserve"> </w:t>
      </w:r>
      <w:r>
        <w:t xml:space="preserve">F.3d</w:t>
      </w:r>
      <w:r>
        <w:t xml:space="preserve"> </w:t>
      </w:r>
      <w:r>
        <w:t xml:space="preserve">869</w:t>
      </w:r>
      <w:r>
        <w:t xml:space="preserve"> </w:t>
      </w:r>
      <w:r>
        <w:t xml:space="preserve">(8th</w:t>
      </w:r>
      <w:r>
        <w:t xml:space="preserve"> </w:t>
      </w:r>
      <w:r>
        <w:t xml:space="preserve">Cir.</w:t>
      </w:r>
      <w:r>
        <w:t xml:space="preserve"> </w:t>
      </w:r>
      <w:r>
        <w:t xml:space="preserve">2018)</w:t>
      </w:r>
      <w:r>
        <w:t xml:space="preserve">   </w:t>
      </w:r>
      <w:r>
        <w:tab/>
      </w:r>
      <w:r>
        <w:t xml:space="preserve">4, 5</w:t>
      </w:r>
    </w:p>
    <w:p>
      <w:pPr>
        <w:pStyle w:val="CAToaEntry"/>
      </w:pPr>
      <w:r>
        <w:rPr>
          <w:i/>
        </w:rPr>
        <w:t xml:space="preserve">Pine</w:t>
      </w:r>
      <w:r>
        <w:rPr>
          <w:i/>
        </w:rPr>
        <w:t xml:space="preserve"> </w:t>
      </w:r>
      <w:r>
        <w:rPr>
          <w:i/>
        </w:rPr>
        <w:t xml:space="preserve">River</w:t>
      </w:r>
      <w:r>
        <w:rPr>
          <w:i/>
        </w:rPr>
        <w:t xml:space="preserve"> </w:t>
      </w:r>
      <w:r>
        <w:rPr>
          <w:i/>
        </w:rPr>
        <w:t xml:space="preserve">State</w:t>
      </w:r>
      <w:r>
        <w:rPr>
          <w:i/>
        </w:rPr>
        <w:t xml:space="preserve"> </w:t>
      </w:r>
      <w:r>
        <w:rPr>
          <w:i/>
        </w:rPr>
        <w:t xml:space="preserve">Bank</w:t>
      </w:r>
      <w:r>
        <w:rPr>
          <w:i/>
        </w:rPr>
        <w:t xml:space="preserve"> </w:t>
      </w:r>
      <w:r>
        <w:rPr>
          <w:i/>
        </w:rPr>
        <w:t xml:space="preserve">v.</w:t>
      </w:r>
      <w:r>
        <w:rPr>
          <w:i/>
        </w:rPr>
        <w:t xml:space="preserve"> </w:t>
      </w:r>
      <w:r>
        <w:rPr>
          <w:i/>
        </w:rPr>
        <w:t xml:space="preserve">Mettille</w:t>
      </w:r>
      <w:r>
        <w:t xml:space="preserve">,</w:t>
      </w:r>
      <w:r>
        <w:br/>
      </w:r>
      <w:r>
        <w:t xml:space="preserve">333</w:t>
      </w:r>
      <w:r>
        <w:t xml:space="preserve"> </w:t>
      </w:r>
      <w:r>
        <w:t xml:space="preserve">N.W.2d</w:t>
      </w:r>
      <w:r>
        <w:t xml:space="preserve"> </w:t>
      </w:r>
      <w:r>
        <w:t xml:space="preserve">622</w:t>
      </w:r>
      <w:r>
        <w:t xml:space="preserve"> </w:t>
      </w:r>
      <w:r>
        <w:t xml:space="preserve">(Minn.</w:t>
      </w:r>
      <w:r>
        <w:t xml:space="preserve"> </w:t>
      </w:r>
      <w:r>
        <w:t xml:space="preserve">1983)</w:t>
      </w:r>
      <w:r>
        <w:t xml:space="preserve">   </w:t>
      </w:r>
      <w:r>
        <w:tab/>
      </w:r>
      <w:r>
        <w:t xml:space="preserve">5</w:t>
      </w:r>
    </w:p>
    <w:p>
      <w:pPr>
        <w:pStyle w:val="CAToaEntry"/>
      </w:pPr>
      <w:r>
        <w:rPr>
          <w:i/>
        </w:rPr>
        <w:t xml:space="preserve">Rent-A-Center,</w:t>
      </w:r>
      <w:r>
        <w:rPr>
          <w:i/>
        </w:rPr>
        <w:t xml:space="preserve"> </w:t>
      </w:r>
      <w:r>
        <w:rPr>
          <w:i/>
        </w:rPr>
        <w:t xml:space="preserve">W.,</w:t>
      </w:r>
      <w:r>
        <w:rPr>
          <w:i/>
        </w:rPr>
        <w:t xml:space="preserve"> </w:t>
      </w:r>
      <w:r>
        <w:rPr>
          <w:i/>
        </w:rPr>
        <w:t xml:space="preserve">Inc. v.</w:t>
      </w:r>
      <w:r>
        <w:rPr>
          <w:i/>
        </w:rPr>
        <w:t xml:space="preserve"> </w:t>
      </w:r>
      <w:r>
        <w:rPr>
          <w:i/>
        </w:rPr>
        <w:t xml:space="preserve">Jackson</w:t>
      </w:r>
      <w:r>
        <w:t xml:space="preserve">,</w:t>
      </w:r>
      <w:r>
        <w:br/>
      </w:r>
      <w:r>
        <w:t xml:space="preserve">561</w:t>
      </w:r>
      <w:r>
        <w:t xml:space="preserve"> </w:t>
      </w:r>
      <w:r>
        <w:t xml:space="preserve">U.S.</w:t>
      </w:r>
      <w:r>
        <w:t xml:space="preserve"> </w:t>
      </w:r>
      <w:r>
        <w:t xml:space="preserve">63</w:t>
      </w:r>
      <w:r>
        <w:t xml:space="preserve"> </w:t>
      </w:r>
      <w:r>
        <w:t xml:space="preserve">(2010)</w:t>
      </w:r>
      <w:r>
        <w:t xml:space="preserve">   </w:t>
      </w:r>
      <w:r>
        <w:tab/>
      </w:r>
      <w:r>
        <w:t xml:space="preserve">2, 3</w:t>
      </w:r>
    </w:p>
    <w:p>
      <w:pPr>
        <w:pStyle w:val="CAToaEntry"/>
      </w:pPr>
      <w:r>
        <w:rPr>
          <w:i/>
        </w:rPr>
        <w:t xml:space="preserve">SCI</w:t>
      </w:r>
      <w:r>
        <w:rPr>
          <w:i/>
        </w:rPr>
        <w:t xml:space="preserve"> </w:t>
      </w:r>
      <w:r>
        <w:rPr>
          <w:i/>
        </w:rPr>
        <w:t xml:space="preserve">Minn.</w:t>
      </w:r>
      <w:r>
        <w:rPr>
          <w:i/>
        </w:rPr>
        <w:t xml:space="preserve"> </w:t>
      </w:r>
      <w:r>
        <w:rPr>
          <w:i/>
        </w:rPr>
        <w:t xml:space="preserve">Funeral</w:t>
      </w:r>
      <w:r>
        <w:rPr>
          <w:i/>
        </w:rPr>
        <w:t xml:space="preserve"> </w:t>
      </w:r>
      <w:r>
        <w:rPr>
          <w:i/>
        </w:rPr>
        <w:t xml:space="preserve">Servs.,</w:t>
      </w:r>
      <w:r>
        <w:rPr>
          <w:i/>
        </w:rPr>
        <w:t xml:space="preserve"> </w:t>
      </w:r>
      <w:r>
        <w:rPr>
          <w:i/>
        </w:rPr>
        <w:t xml:space="preserve">Inc. v.</w:t>
      </w:r>
      <w:r>
        <w:rPr>
          <w:i/>
        </w:rPr>
        <w:t xml:space="preserve"> </w:t>
      </w:r>
      <w:r>
        <w:rPr>
          <w:i/>
        </w:rPr>
        <w:t xml:space="preserve">Washburn-McReavy</w:t>
      </w:r>
      <w:r>
        <w:rPr>
          <w:i/>
        </w:rPr>
        <w:t xml:space="preserve"> </w:t>
      </w:r>
      <w:r>
        <w:rPr>
          <w:i/>
        </w:rPr>
        <w:t xml:space="preserve">Funeral</w:t>
      </w:r>
      <w:r>
        <w:rPr>
          <w:i/>
        </w:rPr>
        <w:t xml:space="preserve"> </w:t>
      </w:r>
      <w:r>
        <w:rPr>
          <w:i/>
        </w:rPr>
        <w:t xml:space="preserve">Corp.</w:t>
      </w:r>
      <w:r>
        <w:t xml:space="preserve">,</w:t>
      </w:r>
      <w:r>
        <w:br/>
      </w:r>
      <w:r>
        <w:t xml:space="preserve">795</w:t>
      </w:r>
      <w:r>
        <w:t xml:space="preserve"> </w:t>
      </w:r>
      <w:r>
        <w:t xml:space="preserve">N.W.2d</w:t>
      </w:r>
      <w:r>
        <w:t xml:space="preserve"> </w:t>
      </w:r>
      <w:r>
        <w:t xml:space="preserve">855</w:t>
      </w:r>
      <w:r>
        <w:t xml:space="preserve"> </w:t>
      </w:r>
      <w:r>
        <w:t xml:space="preserve">(Minn.</w:t>
      </w:r>
      <w:r>
        <w:t xml:space="preserve"> </w:t>
      </w:r>
      <w:r>
        <w:t xml:space="preserve">2011)</w:t>
      </w:r>
      <w:r>
        <w:t xml:space="preserve">   </w:t>
      </w:r>
      <w:r>
        <w:tab/>
      </w:r>
      <w:r>
        <w:t xml:space="preserve">5</w:t>
      </w:r>
    </w:p>
    <w:p>
      <w:pPr>
        <w:pStyle w:val="CAToaGroup"/>
      </w:pPr>
      <w:r>
        <w:t xml:space="preserve">Statutes:</w:t>
      </w:r>
    </w:p>
    <w:p>
      <w:pPr>
        <w:pStyle w:val="CAToaEntry"/>
      </w:pPr>
      <w:r>
        <w:t xml:space="preserve">28</w:t>
      </w:r>
      <w:r>
        <w:t xml:space="preserve"> </w:t>
      </w:r>
      <w:r>
        <w:t xml:space="preserve">U.S.C.</w:t>
      </w:r>
      <w:r>
        <w:t xml:space="preserve"> </w:t>
      </w:r>
      <w:r>
        <w:t xml:space="preserve">§</w:t>
      </w:r>
      <w:r>
        <w:t xml:space="preserve"> </w:t>
      </w:r>
      <w:r>
        <w:t xml:space="preserve">1294</w:t>
      </w:r>
      <w:r>
        <w:t xml:space="preserve">   </w:t>
      </w:r>
      <w:r>
        <w:tab/>
      </w:r>
      <w:r>
        <w:t xml:space="preserve">1</w:t>
      </w:r>
    </w:p>
    <w:p>
      <w:pPr>
        <w:pStyle w:val="CAToaEntry"/>
      </w:pPr>
      <w:r>
        <w:t xml:space="preserve">28</w:t>
      </w:r>
      <w:r>
        <w:t xml:space="preserve"> </w:t>
      </w:r>
      <w:r>
        <w:t xml:space="preserve">U.S.C.</w:t>
      </w:r>
      <w:r>
        <w:t xml:space="preserve"> </w:t>
      </w:r>
      <w:r>
        <w:t xml:space="preserve">§</w:t>
      </w:r>
      <w:r>
        <w:t xml:space="preserve"> </w:t>
      </w:r>
      <w:r>
        <w:t xml:space="preserve">1332(d)</w:t>
      </w:r>
      <w:r>
        <w:t xml:space="preserve">   </w:t>
      </w:r>
      <w:r>
        <w:tab/>
      </w:r>
      <w:r>
        <w:t xml:space="preserve">1</w:t>
      </w:r>
    </w:p>
    <w:p>
      <w:pPr>
        <w:pStyle w:val="CAToaEntry"/>
      </w:pPr>
      <w:r>
        <w:t xml:space="preserve">9</w:t>
      </w:r>
      <w:r>
        <w:t xml:space="preserve"> </w:t>
      </w:r>
      <w:r>
        <w:t xml:space="preserve">U.S.C.</w:t>
      </w:r>
      <w:r>
        <w:t xml:space="preserve"> </w:t>
      </w:r>
      <w:r>
        <w:t xml:space="preserve">§</w:t>
      </w:r>
      <w:r>
        <w:t xml:space="preserve"> </w:t>
      </w:r>
      <w:r>
        <w:t xml:space="preserve">16(a)⁠(1)⁠(B)</w:t>
      </w:r>
      <w:r>
        <w:t xml:space="preserve">   </w:t>
      </w:r>
      <w:r>
        <w:tab/>
      </w:r>
      <w:r>
        <w:t xml:space="preserve">1</w:t>
      </w:r>
    </w:p>
    <w:p>
      <w:pPr>
        <w:pStyle w:val="CAToaEntry"/>
      </w:pPr>
      <w:r>
        <w:t xml:space="preserve">9</w:t>
      </w:r>
      <w:r>
        <w:t xml:space="preserve"> </w:t>
      </w:r>
      <w:r>
        <w:t xml:space="preserve">U.S.C.</w:t>
      </w:r>
      <w:r>
        <w:t xml:space="preserve"> </w:t>
      </w:r>
      <w:r>
        <w:t xml:space="preserve">§</w:t>
      </w:r>
      <w:r>
        <w:t xml:space="preserve"> </w:t>
      </w:r>
      <w:r>
        <w:t xml:space="preserve">2</w:t>
      </w:r>
      <w:r>
        <w:t xml:space="preserve">   </w:t>
      </w:r>
      <w:r>
        <w:tab/>
      </w:r>
      <w:r>
        <w:t xml:space="preserve">2</w:t>
      </w:r>
    </w:p>
    <w:p>
      <w:pPr>
        <w:pStyle w:val="CAToaGroup"/>
      </w:pPr>
      <w:r>
        <w:t xml:space="preserve">Rules:</w:t>
      </w:r>
    </w:p>
    <w:p>
      <w:pPr>
        <w:pStyle w:val="CAToaEntry"/>
      </w:pPr>
      <w:r>
        <w:t xml:space="preserve">Fed.</w:t>
      </w:r>
      <w:r>
        <w:t xml:space="preserve"> </w:t>
      </w:r>
      <w:r>
        <w:t xml:space="preserve">R.</w:t>
      </w:r>
      <w:r>
        <w:t xml:space="preserve"> </w:t>
      </w:r>
      <w:r>
        <w:t xml:space="preserve">Civ.</w:t>
      </w:r>
      <w:r>
        <w:t xml:space="preserve"> </w:t>
      </w:r>
      <w:r>
        <w:t xml:space="preserve">P.</w:t>
      </w:r>
      <w:r>
        <w:t xml:space="preserve"> </w:t>
      </w:r>
      <w:r>
        <w:t xml:space="preserve">56</w:t>
      </w:r>
      <w:r>
        <w:t xml:space="preserve">   </w:t>
      </w:r>
      <w:r>
        <w:tab/>
      </w:r>
      <w:r>
        <w:t xml:space="preserve">2</w:t>
      </w:r>
    </w:p>
    <w:p>
      <w:pPr>
        <w:spacing w:before="0" w:after="0" w:line="20" w:lineRule="exact"/>
        <w:sectPr>
          <w:footerReference w:type="default" r:id="rIdRomanFtr"/>
          <w:pgSz w:w="12240" w:h="15840"/>
          <w:pgMar w:top="1440" w:right="1440" w:bottom="1440" w:left="1440" w:header="720" w:footer="720" w:gutter="0"/>
          <w:pgNumType w:fmt="lowerRoman" w:start="1"/>
        </w:sectPr>
      </w:pPr>
    </w:p>
    <w:p>
      <w:pPr>
        <w:pStyle w:val="CASection"/>
        <w:keepNext/>
        <w:spacing w:before="0" w:after="308" w:line="400" w:lineRule="exact"/>
      </w:pPr>
      <w:r>
        <w:t xml:space="preserve">Jurisdictional</w:t>
      </w:r>
      <w:r>
        <w:t xml:space="preserve"> </w:t>
      </w:r>
      <w:r>
        <w:t xml:space="preserve">Statement</w:t>
      </w:r>
    </w:p>
    <w:p>
      <w:pPr>
        <w:pStyle w:val="BodyText"/>
      </w:pPr>
      <w:r>
        <w:t xml:space="preserve">The district court had original jurisdiction under the federal diversity jurisdiction statute, 28 U.S.C. § 1332(d), because the case is a putative class action involving more than 100 members, the parties are diverse, and Wolters alleges that the amount in controversy exceeds the jurisdictional minimum of $5 million.</w:t>
      </w:r>
    </w:p>
    <w:p>
      <w:pPr>
        <w:pStyle w:val="BodyText"/>
      </w:pPr>
      <w:r>
        <w:t xml:space="preserve">This Court has appellate jurisdiction under 28 U.S.C. § 1294 and 9 U.S.C. § 16(a)⁠(1)⁠(B). See</w:t>
      </w:r>
      <w:r>
        <w:t xml:space="preserve"> </w:t>
      </w:r>
      <w:r>
        <w:rPr>
          <w:i/>
          <w:iCs/>
        </w:rPr>
        <w:t xml:space="preserve">Benchmark Ins. Co. v. SUNZ Ins. Co.</w:t>
      </w:r>
      <w:r>
        <w:t xml:space="preserve">, 36 F.4th 766, 770 (8th Cir. 2022). Sweepsteaks Limited timely filed a notice of appeal on July 15, 2026, from a July 1, 2026, order of the district court that denied Sweepsteaks Limited’s motion to compel arbitration under the Federal Arbitration Act.</w:t>
      </w:r>
    </w:p>
    <w:p>
      <w:pPr>
        <w:pStyle w:val="CASection"/>
        <w:keepNext/>
      </w:pPr>
      <w:r>
        <w:t xml:space="preserve">Statement</w:t>
      </w:r>
      <w:r>
        <w:t xml:space="preserve"> </w:t>
      </w:r>
      <w:r>
        <w:t xml:space="preserve">of</w:t>
      </w:r>
      <w:r>
        <w:t xml:space="preserve"> </w:t>
      </w:r>
      <w:r>
        <w:t xml:space="preserve">the</w:t>
      </w:r>
      <w:r>
        <w:t xml:space="preserve"> </w:t>
      </w:r>
      <w:r>
        <w:t xml:space="preserve">Issues</w:t>
      </w:r>
    </w:p>
    <w:p>
      <w:pPr>
        <w:pStyle w:val="ListItem"/>
      </w:pPr>
      <w:r>
        <w:t xml:space="preserve">1.</w:t>
      </w:r>
      <w:r>
        <w:tab/>
      </w:r>
      <w:r>
        <w:t xml:space="preserve">Delegation to the arbitrator and severability. The parties agreed to arbitrate “any and all Disputes, including without limitation any question regarding the existence, validity, enforceability, or termination of these Terms and Conditions.” (App.84; R. Doc. 16</w:t>
      </w:r>
      <w:r>
        <w:noBreakHyphen/>
      </w:r>
      <w:r>
        <w:t xml:space="preserve">1, at 28 § 26.6(a).) Wolters argued that the Terms and Conditions were invalid as addressing the subject of gambling and so the arbitration agreement was invalid as well, but “[t]he Supreme Court has made clear that ‘unless the challenge is to the arbitration clause itself, the issue of the contract’s validity is considered by the arbitrator in the first instance.’”</w:t>
      </w:r>
      <w:r>
        <w:t xml:space="preserve"> </w:t>
      </w:r>
      <w:r>
        <w:rPr>
          <w:i/>
          <w:iCs/>
        </w:rPr>
        <w:t xml:space="preserve">Benchmark</w:t>
      </w:r>
      <w:r>
        <w:t xml:space="preserve">, 36 F.4th at 772 (quoting</w:t>
      </w:r>
      <w:r>
        <w:t xml:space="preserve"> </w:t>
      </w:r>
      <w:r>
        <w:rPr>
          <w:i/>
          <w:iCs/>
        </w:rPr>
        <w:t xml:space="preserve">Buckeye Check Cashing, Inc. v. Cardegna</w:t>
      </w:r>
      <w:r>
        <w:t xml:space="preserve">, 546 U.S. 440, 445–46 (2006)). Did the district court err in considering the contract’s validity instead of sending that issue to arbitration?</w:t>
      </w:r>
    </w:p>
    <w:p>
      <w:pPr>
        <w:pStyle w:val="BodyText"/>
      </w:pPr>
      <w:r>
        <w:t xml:space="preserve">Apposite statute: Federal Arbitration Act, 9 U.S.C. §§ 2–4. Apposite cases:</w:t>
      </w:r>
      <w:r>
        <w:t xml:space="preserve"> </w:t>
      </w:r>
      <w:r>
        <w:rPr>
          <w:i/>
          <w:iCs/>
        </w:rPr>
        <w:t xml:space="preserve">Buckeye</w:t>
      </w:r>
      <w:r>
        <w:t xml:space="preserve">, 546 U.S. 440 (2006);</w:t>
      </w:r>
      <w:r>
        <w:t xml:space="preserve"> </w:t>
      </w:r>
      <w:r>
        <w:rPr>
          <w:i/>
          <w:iCs/>
        </w:rPr>
        <w:t xml:space="preserve">Rent-A-Center, W., Inc. v. Jackson</w:t>
      </w:r>
      <w:r>
        <w:t xml:space="preserve">, 561 U.S. 63 (2010).</w:t>
      </w:r>
    </w:p>
    <w:p>
      <w:pPr>
        <w:pStyle w:val="ListItem"/>
      </w:pPr>
      <w:r>
        <w:t xml:space="preserve">2.</w:t>
      </w:r>
      <w:r>
        <w:tab/>
      </w:r>
      <w:r>
        <w:t xml:space="preserve">Contract formation. Sweepsteaks submitted evidence that no user could access its platform without checking a box next to the statement “I have read and agree to the terms and conditions,” and that Wolters checked that box when he created his account. (App.52; R. Doc. 15, at 3 ¶ 11.) Wolters presented no evidence. At oral argument on the motion to compel, counsel for Wolters stated that he “does not necessarily dispute whether he signed the contract.” (App.314; R. Doc. 31, at 19:16–17.) Did the district court err by finding a disputed issue of fact on contract formation?</w:t>
      </w:r>
    </w:p>
    <w:p>
      <w:pPr>
        <w:pStyle w:val="BodyText"/>
      </w:pPr>
      <w:r>
        <w:t xml:space="preserve">Apposite rule: Fed. R. Civ. P. 56. Apposite cases:</w:t>
      </w:r>
      <w:r>
        <w:t xml:space="preserve"> </w:t>
      </w:r>
      <w:r>
        <w:rPr>
          <w:i/>
          <w:iCs/>
        </w:rPr>
        <w:t xml:space="preserve">Asia Pacific Industrial Corp. v. Rainforest Café, Inc.</w:t>
      </w:r>
      <w:r>
        <w:t xml:space="preserve">, 380 F.3d 383 (8th Cir. 2004);</w:t>
      </w:r>
      <w:r>
        <w:t xml:space="preserve"> </w:t>
      </w:r>
      <w:r>
        <w:rPr>
          <w:i/>
          <w:iCs/>
        </w:rPr>
        <w:t xml:space="preserve">Erickson v. Nationstar Mortgage, LLC</w:t>
      </w:r>
      <w:r>
        <w:t xml:space="preserve">, 31 F.4th 1044 (8th Cir. 2022).</w:t>
      </w:r>
    </w:p>
    <w:p>
      <w:pPr>
        <w:pStyle w:val="CASection"/>
        <w:keepNext/>
      </w:pPr>
      <w:r>
        <w:t xml:space="preserve">Statement</w:t>
      </w:r>
      <w:r>
        <w:t xml:space="preserve"> </w:t>
      </w:r>
      <w:r>
        <w:t xml:space="preserve">of</w:t>
      </w:r>
      <w:r>
        <w:t xml:space="preserve"> </w:t>
      </w:r>
      <w:r>
        <w:t xml:space="preserve">the</w:t>
      </w:r>
      <w:r>
        <w:t xml:space="preserve"> </w:t>
      </w:r>
      <w:r>
        <w:t xml:space="preserve">Case</w:t>
      </w:r>
    </w:p>
    <w:p>
      <w:pPr>
        <w:pStyle w:val="BodyText"/>
      </w:pPr>
      <w:r>
        <w:t xml:space="preserve">On November 25, 2022, Plaintiff Chris Wolters created a user account on Stake.us. (App.51; R. Doc. 15, at 2 ¶ 8.) Stake.us is an online social gaming platform operated by Defendant Sweepsteaks Limited that provides interactive games. (App.50; R. Doc. 15, at 1 ¶ 4.)</w:t>
      </w:r>
    </w:p>
    <w:p>
      <w:pPr>
        <w:pStyle w:val="BodyText"/>
      </w:pPr>
      <w:r>
        <w:t xml:space="preserve">On July 1, 2026, the district court issued an order denying the motion to compel arbitration. (Add.1–Add.16; R. Doc. 26.) The court stated two grounds for its decision. First, the court held that, if Wolters’ allegations were credited, the Terms and Conditions as a whole would be void, and this would make the arbitration clause void, too. (Add.13; R. Doc. 26, at 13.) The court further acknowledged that “a party’s challenge to another provision of the contract, or to the contract as a whole, does not prevent a court from enforcing a specific agreement to arbitrate.” (Add.7; R. Doc. 26, at 7 (quoting</w:t>
      </w:r>
      <w:r>
        <w:t xml:space="preserve"> </w:t>
      </w:r>
      <w:r>
        <w:rPr>
          <w:i/>
          <w:iCs/>
        </w:rPr>
        <w:t xml:space="preserve">Rent-A-Center</w:t>
      </w:r>
      <w:r>
        <w:t xml:space="preserve">, 561 U.S. at 70).)</w:t>
      </w:r>
    </w:p>
    <w:p>
      <w:pPr>
        <w:pStyle w:val="BodyText"/>
      </w:pPr>
      <w:r>
        <w:t xml:space="preserve">Sweepsteaks Limited timely filed its notice of appeal on July 15, 2026.</w:t>
      </w:r>
    </w:p>
    <w:p>
      <w:pPr>
        <w:pStyle w:val="CASection"/>
        <w:keepNext/>
      </w:pPr>
      <w:r>
        <w:t xml:space="preserve">Summary</w:t>
      </w:r>
      <w:r>
        <w:t xml:space="preserve"> </w:t>
      </w:r>
      <w:r>
        <w:t xml:space="preserve">of</w:t>
      </w:r>
      <w:r>
        <w:t xml:space="preserve"> </w:t>
      </w:r>
      <w:r>
        <w:t xml:space="preserve">the</w:t>
      </w:r>
      <w:r>
        <w:t xml:space="preserve"> </w:t>
      </w:r>
      <w:r>
        <w:t xml:space="preserve">Argument</w:t>
      </w:r>
    </w:p>
    <w:p>
      <w:pPr>
        <w:pStyle w:val="BodyText"/>
      </w:pPr>
      <w:r>
        <w:t xml:space="preserve">Wolters entered into a binding arbitration agreement with Sweepsteaks Limited by clicking a box to indicate acceptance of the Terms and Conditions. Those Terms and Conditions contained an arbitration agreement sending “any and all Disputes,” including over threshold arbitrability issues, to arbitration. Wolters’s entire case, including his arguments that the Terms and Conditions permit illegal gambling and that the arbitration clause contains unconscionable terms, must therefore be heard by an arbitrator in the first instance.</w:t>
      </w:r>
    </w:p>
    <w:p>
      <w:pPr>
        <w:pStyle w:val="CASection"/>
        <w:keepNext/>
      </w:pPr>
      <w:r>
        <w:t xml:space="preserve">Argument</w:t>
      </w:r>
    </w:p>
    <w:p>
      <w:pPr>
        <w:pStyle w:val="BodyText"/>
      </w:pPr>
      <w:r>
        <w:t xml:space="preserve">In four prior appeals, this Court has reversed the same district court judge for erroneously denying motions to compel arbitration. See</w:t>
      </w:r>
      <w:r>
        <w:t xml:space="preserve"> </w:t>
      </w:r>
      <w:r>
        <w:rPr>
          <w:i/>
          <w:iCs/>
        </w:rPr>
        <w:t xml:space="preserve">Bailey v. Ameriquest Mortg. Co.</w:t>
      </w:r>
      <w:r>
        <w:t xml:space="preserve">, 346 F.3d 821, 823–24 (8th Cir. 2003);</w:t>
      </w:r>
      <w:r>
        <w:t xml:space="preserve"> </w:t>
      </w:r>
      <w:r>
        <w:rPr>
          <w:i/>
          <w:iCs/>
        </w:rPr>
        <w:t xml:space="preserve">McLeod v. Gen. Mills, Inc.</w:t>
      </w:r>
      <w:r>
        <w:t xml:space="preserve">, 856 F.3d 1160, 1168 (8th Cir. 2017);</w:t>
      </w:r>
      <w:r>
        <w:t xml:space="preserve"> </w:t>
      </w:r>
      <w:r>
        <w:rPr>
          <w:i/>
          <w:iCs/>
        </w:rPr>
        <w:t xml:space="preserve">Parm v. Bluestem Brands, Inc.</w:t>
      </w:r>
      <w:r>
        <w:t xml:space="preserve">, 898 F.3d 869, 871, 878 (8th Cir. 2018);</w:t>
      </w:r>
      <w:r>
        <w:t xml:space="preserve"> </w:t>
      </w:r>
      <w:r>
        <w:rPr>
          <w:i/>
          <w:iCs/>
        </w:rPr>
        <w:t xml:space="preserve">Benchmark</w:t>
      </w:r>
      <w:r>
        <w:t xml:space="preserve">, 36 F.4th at 772. In</w:t>
      </w:r>
      <w:r>
        <w:t xml:space="preserve"> </w:t>
      </w:r>
      <w:r>
        <w:rPr>
          <w:i/>
          <w:iCs/>
        </w:rPr>
        <w:t xml:space="preserve">Bailey</w:t>
      </w:r>
      <w:r>
        <w:t xml:space="preserve">, this Court observed that the “court’s decision is contrary to controlling decisions of the Supreme Court and this court.”</w:t>
      </w:r>
      <w:r>
        <w:t xml:space="preserve"> </w:t>
      </w:r>
      <w:r>
        <w:rPr>
          <w:i/>
          <w:iCs/>
        </w:rPr>
        <w:t xml:space="preserve">Bailey</w:t>
      </w:r>
      <w:r>
        <w:t xml:space="preserve">, 346 F.3d at 823. And in</w:t>
      </w:r>
      <w:r>
        <w:t xml:space="preserve"> </w:t>
      </w:r>
      <w:r>
        <w:rPr>
          <w:i/>
          <w:iCs/>
        </w:rPr>
        <w:t xml:space="preserve">Benchmark</w:t>
      </w:r>
      <w:r>
        <w:t xml:space="preserve">, this Court reversed because the district court incorrectly decided “a challenge to the contract’s validity that, under</w:t>
      </w:r>
      <w:r>
        <w:t xml:space="preserve"> </w:t>
      </w:r>
      <w:r>
        <w:rPr>
          <w:i/>
          <w:iCs/>
        </w:rPr>
        <w:t xml:space="preserve">Buckeye</w:t>
      </w:r>
      <w:r>
        <w:t xml:space="preserve">, shall be considered by an arbitrator, not a court.”</w:t>
      </w:r>
      <w:r>
        <w:t xml:space="preserve"> </w:t>
      </w:r>
      <w:r>
        <w:rPr>
          <w:i/>
          <w:iCs/>
        </w:rPr>
        <w:t xml:space="preserve">Benchmark</w:t>
      </w:r>
      <w:r>
        <w:t xml:space="preserve">, 36 F.4th at 772. The district court committed the same error here, and this Court should again reverse.</w:t>
      </w:r>
    </w:p>
    <w:p>
      <w:pPr>
        <w:pStyle w:val="BodyText"/>
      </w:pPr>
      <w:r>
        <w:rPr>
          <w:b/>
          <w:bCs/>
        </w:rPr>
        <w:t xml:space="preserve">Standard of review.</w:t>
      </w:r>
      <w:r>
        <w:t xml:space="preserve"> </w:t>
      </w:r>
      <w:r>
        <w:t xml:space="preserve">The Court “reviews a determination concerning the arbitrability of a dispute de novo.”</w:t>
      </w:r>
      <w:r>
        <w:t xml:space="preserve"> </w:t>
      </w:r>
      <w:r>
        <w:rPr>
          <w:i/>
          <w:iCs/>
        </w:rPr>
        <w:t xml:space="preserve">McLeod</w:t>
      </w:r>
      <w:r>
        <w:t xml:space="preserve">, 856 F.3d at 1163.</w:t>
      </w:r>
    </w:p>
    <w:p>
      <w:pPr>
        <w:pStyle w:val="CAPoint"/>
        <w:keepNext/>
      </w:pPr>
      <w:r>
        <w:t xml:space="preserve">I.</w:t>
      </w:r>
      <w:r>
        <w:t xml:space="preserve"> </w:t>
      </w:r>
      <w:r>
        <w:t xml:space="preserve">All</w:t>
      </w:r>
      <w:r>
        <w:t xml:space="preserve"> </w:t>
      </w:r>
      <w:r>
        <w:t xml:space="preserve">Disputes</w:t>
      </w:r>
      <w:r>
        <w:t xml:space="preserve"> </w:t>
      </w:r>
      <w:r>
        <w:t xml:space="preserve">Between</w:t>
      </w:r>
      <w:r>
        <w:t xml:space="preserve"> </w:t>
      </w:r>
      <w:r>
        <w:t xml:space="preserve">Wolters</w:t>
      </w:r>
      <w:r>
        <w:t xml:space="preserve"> </w:t>
      </w:r>
      <w:r>
        <w:t xml:space="preserve">and</w:t>
      </w:r>
      <w:r>
        <w:t xml:space="preserve"> </w:t>
      </w:r>
      <w:r>
        <w:t xml:space="preserve">Sweepsteaks</w:t>
      </w:r>
      <w:r>
        <w:t xml:space="preserve"> </w:t>
      </w:r>
      <w:r>
        <w:t xml:space="preserve">Should</w:t>
      </w:r>
      <w:r>
        <w:t xml:space="preserve"> </w:t>
      </w:r>
      <w:r>
        <w:t xml:space="preserve">Be</w:t>
      </w:r>
      <w:r>
        <w:t xml:space="preserve"> </w:t>
      </w:r>
      <w:r>
        <w:t xml:space="preserve">Directed</w:t>
      </w:r>
      <w:r>
        <w:t xml:space="preserve"> </w:t>
      </w:r>
      <w:r>
        <w:t xml:space="preserve">To</w:t>
      </w:r>
      <w:r>
        <w:t xml:space="preserve"> </w:t>
      </w:r>
      <w:r>
        <w:t xml:space="preserve">Arbitration,</w:t>
      </w:r>
      <w:r>
        <w:t xml:space="preserve"> </w:t>
      </w:r>
      <w:r>
        <w:t xml:space="preserve">And</w:t>
      </w:r>
      <w:r>
        <w:t xml:space="preserve"> </w:t>
      </w:r>
      <w:r>
        <w:t xml:space="preserve">This</w:t>
      </w:r>
      <w:r>
        <w:t xml:space="preserve"> </w:t>
      </w:r>
      <w:r>
        <w:t xml:space="preserve">Litigation</w:t>
      </w:r>
      <w:r>
        <w:t xml:space="preserve"> </w:t>
      </w:r>
      <w:r>
        <w:t xml:space="preserve">Should</w:t>
      </w:r>
      <w:r>
        <w:t xml:space="preserve"> </w:t>
      </w:r>
      <w:r>
        <w:t xml:space="preserve">Be</w:t>
      </w:r>
      <w:r>
        <w:t xml:space="preserve"> </w:t>
      </w:r>
      <w:r>
        <w:t xml:space="preserve">Stayed.</w:t>
      </w:r>
    </w:p>
    <w:p>
      <w:pPr>
        <w:pStyle w:val="BodyText"/>
      </w:pPr>
      <w:r>
        <w:t xml:space="preserve">Congress enacted the Federal Arbitration Act (FAA) “in response to widespread judicial hostility to arbitration.”</w:t>
      </w:r>
      <w:r>
        <w:t xml:space="preserve"> </w:t>
      </w:r>
      <w:r>
        <w:rPr>
          <w:i/>
          <w:iCs/>
        </w:rPr>
        <w:t xml:space="preserve">Am. Express Co. v. Italian Colors Rest.</w:t>
      </w:r>
      <w:r>
        <w:t xml:space="preserve">, 570 U.S. 228, 232 (2013). In the FAA, Congress “specifically directed [courts] to respect and enforce the parties’ chosen arbitration procedures” by “rigorously . . . enforc[ing] arbitration agreements according to their terms.”</w:t>
      </w:r>
      <w:r>
        <w:t xml:space="preserve"> </w:t>
      </w:r>
      <w:r>
        <w:rPr>
          <w:i/>
          <w:iCs/>
        </w:rPr>
        <w:t xml:space="preserve">Epic Sys. Corp. v. Lewis</w:t>
      </w:r>
      <w:r>
        <w:t xml:space="preserve">, 584 U.S. 497, 506 (2018) (quoting</w:t>
      </w:r>
      <w:r>
        <w:t xml:space="preserve"> </w:t>
      </w:r>
      <w:r>
        <w:rPr>
          <w:i/>
          <w:iCs/>
        </w:rPr>
        <w:t xml:space="preserve">Italian Colors</w:t>
      </w:r>
      <w:r>
        <w:t xml:space="preserve">, 570 U.S. at 233).</w:t>
      </w:r>
    </w:p>
    <w:p>
      <w:pPr>
        <w:pStyle w:val="CAHeadL3S1"/>
        <w:keepNext/>
      </w:pPr>
      <w:r>
        <w:t xml:space="preserve">A.</w:t>
      </w:r>
      <w:r>
        <w:tab/>
      </w:r>
      <w:r>
        <w:t xml:space="preserve">The</w:t>
      </w:r>
      <w:r>
        <w:t xml:space="preserve"> </w:t>
      </w:r>
      <w:r>
        <w:t xml:space="preserve">Parties</w:t>
      </w:r>
      <w:r>
        <w:t xml:space="preserve"> </w:t>
      </w:r>
      <w:r>
        <w:t xml:space="preserve">validly</w:t>
      </w:r>
      <w:r>
        <w:t xml:space="preserve"> </w:t>
      </w:r>
      <w:r>
        <w:t xml:space="preserve">formed</w:t>
      </w:r>
      <w:r>
        <w:t xml:space="preserve"> </w:t>
      </w:r>
      <w:r>
        <w:t xml:space="preserve">an</w:t>
      </w:r>
      <w:r>
        <w:t xml:space="preserve"> </w:t>
      </w:r>
      <w:r>
        <w:t xml:space="preserve">arbitration</w:t>
      </w:r>
      <w:r>
        <w:t xml:space="preserve"> </w:t>
      </w:r>
      <w:r>
        <w:t xml:space="preserve">agreement,</w:t>
      </w:r>
      <w:r>
        <w:t xml:space="preserve"> </w:t>
      </w:r>
      <w:r>
        <w:t xml:space="preserve">and</w:t>
      </w:r>
      <w:r>
        <w:t xml:space="preserve"> </w:t>
      </w:r>
      <w:r>
        <w:t xml:space="preserve">the</w:t>
      </w:r>
      <w:r>
        <w:t xml:space="preserve"> </w:t>
      </w:r>
      <w:r>
        <w:t xml:space="preserve">agreement</w:t>
      </w:r>
      <w:r>
        <w:t xml:space="preserve"> </w:t>
      </w:r>
      <w:r>
        <w:t xml:space="preserve">requires</w:t>
      </w:r>
      <w:r>
        <w:t xml:space="preserve"> </w:t>
      </w:r>
      <w:r>
        <w:t xml:space="preserve">arbitration</w:t>
      </w:r>
      <w:r>
        <w:t xml:space="preserve"> </w:t>
      </w:r>
      <w:r>
        <w:t xml:space="preserve">of</w:t>
      </w:r>
      <w:r>
        <w:t xml:space="preserve"> </w:t>
      </w:r>
      <w:r>
        <w:t xml:space="preserve">all</w:t>
      </w:r>
      <w:r>
        <w:t xml:space="preserve"> </w:t>
      </w:r>
      <w:r>
        <w:t xml:space="preserve">disputes</w:t>
      </w:r>
      <w:r>
        <w:t xml:space="preserve"> </w:t>
      </w:r>
      <w:r>
        <w:t xml:space="preserve">Wolters</w:t>
      </w:r>
      <w:r>
        <w:t xml:space="preserve"> </w:t>
      </w:r>
      <w:r>
        <w:t xml:space="preserve">raises.</w:t>
      </w:r>
    </w:p>
    <w:p>
      <w:pPr>
        <w:pStyle w:val="BodyText"/>
      </w:pPr>
      <w:r>
        <w:t xml:space="preserve">When this Court “review[s] an order denying a motion to compel arbitration,” it asks “[t]wo questions”: (1) “whether the parties entered a valid arbitration agreement”; and (2) “whether the parties’ particular dispute falls within the scope of the arbitration agreement.”</w:t>
      </w:r>
      <w:r>
        <w:t xml:space="preserve"> </w:t>
      </w:r>
      <w:r>
        <w:rPr>
          <w:i/>
          <w:iCs/>
        </w:rPr>
        <w:t xml:space="preserve">Parm</w:t>
      </w:r>
      <w:r>
        <w:t xml:space="preserve">, 898 F.3d at 873 (quotation marks omitted). Here, the answer to both questions is “yes.”</w:t>
      </w:r>
    </w:p>
    <w:p>
      <w:pPr>
        <w:pStyle w:val="BodyText"/>
      </w:pPr>
      <w:r>
        <w:t xml:space="preserve">First, Wolters and Sweepsteaks Limited formed a valid agreement to arbitrate. “[O]rdinary state-law contract principles” govern formation.</w:t>
      </w:r>
      <w:r>
        <w:t xml:space="preserve"> </w:t>
      </w:r>
      <w:r>
        <w:rPr>
          <w:i/>
          <w:iCs/>
        </w:rPr>
        <w:t xml:space="preserve">Asia Pac. Indus. Corp.</w:t>
      </w:r>
      <w:r>
        <w:t xml:space="preserve">, 380 F.3d at 385. Under Minnesota law (which the parties agree governs), forming a contract requires (1) an offer that is “definite in form” and “communicated to the offeree,” (2) “acceptance of the offer,” and (3) “consideration.”</w:t>
      </w:r>
      <w:r>
        <w:t xml:space="preserve"> </w:t>
      </w:r>
      <w:r>
        <w:rPr>
          <w:i/>
          <w:iCs/>
        </w:rPr>
        <w:t xml:space="preserve">Pine River State Bank v. Mettille</w:t>
      </w:r>
      <w:r>
        <w:t xml:space="preserve">, 333 N.W.2d 622, 626–27 (Minn. 1983). Offer and acceptance together show “mutual assent,” or a meeting of the minds on the essential elements of the contract, and “[w]hether mutual assent exists is tested under an objective standard,”</w:t>
      </w:r>
      <w:r>
        <w:t xml:space="preserve"> </w:t>
      </w:r>
      <w:r>
        <w:rPr>
          <w:i/>
          <w:iCs/>
        </w:rPr>
        <w:t xml:space="preserve">SCI Minn. Funeral Servs., Inc. v. Washburn-McReavy Funeral Corp.</w:t>
      </w:r>
      <w:r>
        <w:t xml:space="preserve">, 795 N.W.2d 855, 864 (Minn. 2011), meaning it is “judged by the words and actions of the parties,”</w:t>
      </w:r>
      <w:r>
        <w:t xml:space="preserve"> </w:t>
      </w:r>
      <w:r>
        <w:rPr>
          <w:i/>
          <w:iCs/>
        </w:rPr>
        <w:t xml:space="preserve">Asia Pac. Indus. Corp.</w:t>
      </w:r>
      <w:r>
        <w:t xml:space="preserve">, 380 F.3d at 385 (applying Minnesota law).</w:t>
      </w:r>
    </w:p>
    <w:p>
      <w:pPr>
        <w:pStyle w:val="BodyText"/>
      </w:pPr>
      <w:r>
        <w:t xml:space="preserve">Here, Sweepsteaks Limited made a definite offer to arbitrate “any and all Disputes.” (App.84; R. Doc. 16</w:t>
      </w:r>
      <w:r>
        <w:noBreakHyphen/>
      </w:r>
      <w:r>
        <w:t xml:space="preserve">1, at 28 § 26.6(a).) It specified that Wolters would accept the offer “[b]y agreeing to these Terms and Conditions.” (</w:t>
      </w:r>
      <w:r>
        <w:rPr>
          <w:i/>
          <w:iCs/>
        </w:rPr>
        <w:t xml:space="preserve">Id.</w:t>
      </w:r>
      <w:r>
        <w:t xml:space="preserve">) And Wolters did so by checking a box next to the statement: “I have read and agree to the terms and conditions.” (App.51; R. Doc. 15, at 2 ¶ 8; App.52; R. Doc. 15, at 3 ¶ 11.) By checking the box, Wolters “gave [his] assent in exactly the way the arbitration provision described.”</w:t>
      </w:r>
      <w:r>
        <w:t xml:space="preserve"> </w:t>
      </w:r>
      <w:r>
        <w:rPr>
          <w:i/>
          <w:iCs/>
        </w:rPr>
        <w:t xml:space="preserve">Foster v. Walmart, Inc.</w:t>
      </w:r>
      <w:r>
        <w:t xml:space="preserve">, 15 F.4th 860, 863 (8th Cir. 2021). Under Minnesota’s objective approach, Wolters accepted Sweepsteaks’ offer, and because the parties gave consideration through their mutual agreement to arbitrate (among other terms), a contract was validly formed.</w:t>
      </w:r>
    </w:p>
    <w:p>
      <w:pPr>
        <w:pStyle w:val="BodyText"/>
      </w:pPr>
      <w:r>
        <w:t xml:space="preserve">Under this law, Wolters and Sweepsteaks agreed to delegate all gateway issues to the arbitrator, including issues about the validity of both the Terms and Conditions generally and the arbitration clause specifically. Their written agreement states that “you and Stake agree that any and all Disputes, including without limitation any question regarding the existence, validity, enforceability, or termination of these Terms and Conditions and/​or this clause 26 (Dispute Resolution and Agreement to Arbitrate), shall be referred to and finally resolved by arbitration.” (App.84; R. Doc. 16</w:t>
      </w:r>
      <w:r>
        <w:noBreakHyphen/>
      </w:r>
      <w:r>
        <w:t xml:space="preserve">1, at 28 § 26.6(a).)</w:t>
      </w:r>
    </w:p>
    <w:p>
      <w:pPr>
        <w:pStyle w:val="CASection"/>
        <w:keepNext/>
      </w:pPr>
      <w:r>
        <w:t xml:space="preserve">Conclusion</w:t>
      </w:r>
    </w:p>
    <w:p>
      <w:pPr>
        <w:pStyle w:val="CABodyLast"/>
      </w:pPr>
      <w:r>
        <w:t xml:space="preserve">Sweepsteaks Limited respectfully requests that this Court reverse the district court’s July 1, 2026 order and remand with instructions to grant Sweepsteaks Limited’s motion to compel arbitration, stay this lawsuit, and order that all of Wolters’ claims, including all defenses and other issues related to his claims, be addressed in an individual arbitration proceeding.</w:t>
      </w:r>
    </w:p>
    <w:p>
      <w:pPr>
        <w:pStyle w:val="CACounsel"/>
        <w:keepNext/>
        <w:spacing w:before="392" w:after="0" w:line="340" w:lineRule="exact"/>
        <w:ind w:left="4680" w:firstLine="0"/>
      </w:pPr>
      <w:r>
        <w:t xml:space="preserve">Respectfully submitted,</w:t>
      </w:r>
    </w:p>
    <w:p>
      <w:pPr>
        <w:pStyle w:val="CACounsel"/>
        <w:keepNext/>
        <w:spacing w:before="336" w:after="0" w:line="340" w:lineRule="exact"/>
        <w:ind w:left="4680" w:firstLine="0"/>
      </w:pPr>
      <w:r>
        <w:t xml:space="preserve">/​s/​ Aaron D. Van Oort</w:t>
      </w:r>
    </w:p>
    <w:p>
      <w:pPr>
        <w:pStyle w:val="CACounsel"/>
        <w:keepNext/>
        <w:spacing w:before="0" w:after="0" w:line="340" w:lineRule="exact"/>
        <w:ind w:left="4680" w:firstLine="0"/>
      </w:pPr>
      <w:r>
        <w:t xml:space="preserve">AARON D. VAN OORT</w:t>
      </w:r>
    </w:p>
    <w:p>
      <w:pPr>
        <w:pStyle w:val="CACounsel"/>
        <w:keepNext/>
        <w:spacing w:before="0" w:after="0" w:line="340" w:lineRule="exact"/>
        <w:ind w:left="4820" w:firstLine="0"/>
      </w:pPr>
      <w:r>
        <w:rPr>
          <w:i/>
        </w:rPr>
        <w:t xml:space="preserve">Faegre</w:t>
      </w:r>
      <w:r>
        <w:rPr>
          <w:i/>
        </w:rPr>
        <w:t xml:space="preserve"> </w:t>
      </w:r>
      <w:r>
        <w:rPr>
          <w:i/>
        </w:rPr>
        <w:t xml:space="preserve">Drinker</w:t>
      </w:r>
      <w:r>
        <w:rPr>
          <w:i/>
        </w:rPr>
        <w:t xml:space="preserve"> </w:t>
      </w:r>
      <w:r>
        <w:rPr>
          <w:i/>
        </w:rPr>
        <w:t xml:space="preserve">Biddle</w:t>
      </w:r>
      <w:r>
        <w:rPr>
          <w:i/>
        </w:rPr>
        <w:t xml:space="preserve"> </w:t>
      </w:r>
      <w:r>
        <w:rPr>
          <w:i/>
        </w:rPr>
        <w:t xml:space="preserve">&amp;</w:t>
      </w:r>
      <w:r>
        <w:rPr>
          <w:i/>
        </w:rPr>
        <w:t xml:space="preserve"> </w:t>
      </w:r>
      <w:r>
        <w:rPr>
          <w:i/>
        </w:rPr>
        <w:t xml:space="preserve">Reath</w:t>
      </w:r>
      <w:r>
        <w:rPr>
          <w:i/>
        </w:rPr>
        <w:t xml:space="preserve"> </w:t>
      </w:r>
      <w:r>
        <w:rPr>
          <w:i/>
        </w:rPr>
        <w:t xml:space="preserve">LLP</w:t>
      </w:r>
    </w:p>
    <w:p>
      <w:pPr>
        <w:pStyle w:val="CACounsel"/>
        <w:keepNext/>
        <w:spacing w:before="0" w:after="0" w:line="340" w:lineRule="exact"/>
        <w:ind w:left="4820" w:firstLine="0"/>
      </w:pPr>
      <w:r>
        <w:rPr>
          <w:i/>
        </w:rPr>
        <w:t xml:space="preserve">2200</w:t>
      </w:r>
      <w:r>
        <w:rPr>
          <w:i/>
        </w:rPr>
        <w:t xml:space="preserve"> </w:t>
      </w:r>
      <w:r>
        <w:rPr>
          <w:i/>
        </w:rPr>
        <w:t xml:space="preserve">Wells</w:t>
      </w:r>
      <w:r>
        <w:rPr>
          <w:i/>
        </w:rPr>
        <w:t xml:space="preserve"> </w:t>
      </w:r>
      <w:r>
        <w:rPr>
          <w:i/>
        </w:rPr>
        <w:t xml:space="preserve">Fargo</w:t>
      </w:r>
      <w:r>
        <w:rPr>
          <w:i/>
        </w:rPr>
        <w:t xml:space="preserve"> </w:t>
      </w:r>
      <w:r>
        <w:rPr>
          <w:i/>
        </w:rPr>
        <w:t xml:space="preserve">Center</w:t>
      </w:r>
    </w:p>
    <w:p>
      <w:pPr>
        <w:pStyle w:val="CACounsel"/>
        <w:keepNext/>
        <w:spacing w:before="0" w:after="0" w:line="340" w:lineRule="exact"/>
        <w:ind w:left="4820" w:firstLine="0"/>
      </w:pPr>
      <w:r>
        <w:rPr>
          <w:i/>
        </w:rPr>
        <w:t xml:space="preserve">90</w:t>
      </w:r>
      <w:r>
        <w:rPr>
          <w:i/>
        </w:rPr>
        <w:t xml:space="preserve"> </w:t>
      </w:r>
      <w:r>
        <w:rPr>
          <w:i/>
        </w:rPr>
        <w:t xml:space="preserve">South</w:t>
      </w:r>
      <w:r>
        <w:rPr>
          <w:i/>
        </w:rPr>
        <w:t xml:space="preserve"> </w:t>
      </w:r>
      <w:r>
        <w:rPr>
          <w:i/>
        </w:rPr>
        <w:t xml:space="preserve">Seventh</w:t>
      </w:r>
      <w:r>
        <w:rPr>
          <w:i/>
        </w:rPr>
        <w:t xml:space="preserve"> </w:t>
      </w:r>
      <w:r>
        <w:rPr>
          <w:i/>
        </w:rPr>
        <w:t xml:space="preserve">Street</w:t>
      </w:r>
    </w:p>
    <w:p>
      <w:pPr>
        <w:pStyle w:val="CACounsel"/>
        <w:keepNext/>
        <w:spacing w:before="0" w:after="0" w:line="340" w:lineRule="exact"/>
        <w:ind w:left="4820" w:firstLine="0"/>
      </w:pPr>
      <w:r>
        <w:rPr>
          <w:i/>
        </w:rPr>
        <w:t xml:space="preserve">Minneapolis,</w:t>
      </w:r>
      <w:r>
        <w:rPr>
          <w:i/>
        </w:rPr>
        <w:t xml:space="preserve"> </w:t>
      </w:r>
      <w:r>
        <w:rPr>
          <w:i/>
        </w:rPr>
        <w:t xml:space="preserve">Minnesota</w:t>
      </w:r>
      <w:r>
        <w:rPr>
          <w:i/>
        </w:rPr>
        <w:t xml:space="preserve"> </w:t>
      </w:r>
      <w:r>
        <w:rPr>
          <w:i/>
        </w:rPr>
        <w:t xml:space="preserve">55402</w:t>
      </w:r>
    </w:p>
    <w:p>
      <w:pPr>
        <w:pStyle w:val="CACounsel"/>
        <w:keepNext/>
        <w:spacing w:before="0" w:after="0" w:line="340" w:lineRule="exact"/>
        <w:ind w:left="4820" w:firstLine="0"/>
      </w:pPr>
      <w:r>
        <w:rPr>
          <w:i/>
        </w:rPr>
        <w:t xml:space="preserve">Phone:</w:t>
      </w:r>
      <w:r>
        <w:rPr>
          <w:i/>
        </w:rPr>
        <w:t xml:space="preserve"> </w:t>
      </w:r>
      <w:r>
        <w:rPr>
          <w:i/>
        </w:rPr>
        <w:t xml:space="preserve">(612)</w:t>
      </w:r>
      <w:r>
        <w:rPr>
          <w:i/>
        </w:rPr>
        <w:t xml:space="preserve"> </w:t>
      </w:r>
      <w:r>
        <w:rPr>
          <w:i/>
        </w:rPr>
        <w:t xml:space="preserve">766-7000</w:t>
      </w:r>
    </w:p>
    <w:p>
      <w:pPr>
        <w:pStyle w:val="CACounsel"/>
        <w:keepNext/>
        <w:spacing w:before="0" w:after="0" w:line="340" w:lineRule="exact"/>
        <w:ind w:left="4820" w:firstLine="0"/>
      </w:pPr>
      <w:r>
        <w:rPr>
          <w:i/>
        </w:rPr>
        <w:t xml:space="preserve">Aaron.VanOort@FaegreDrinker.com</w:t>
      </w:r>
    </w:p>
    <w:p>
      <w:pPr>
        <w:pStyle w:val="CACounsel"/>
        <w:spacing w:before="224" w:after="0" w:line="340" w:lineRule="exact"/>
      </w:pPr>
      <w:r>
        <w:t xml:space="preserve">September</w:t>
      </w:r>
      <w:r>
        <w:t xml:space="preserve"> </w:t>
      </w:r>
      <w:r>
        <w:t xml:space="preserve">10,</w:t>
      </w:r>
      <w:r>
        <w:t xml:space="preserve"> </w:t>
      </w:r>
      <w:r>
        <w:t xml:space="preserve">2026</w:t>
      </w:r>
    </w:p>
    <w:p>
      <w:pPr>
        <w:pStyle w:val="CASection"/>
        <w:pageBreakBefore/>
        <w:spacing w:before="0" w:after="308" w:line="400" w:lineRule="exact"/>
      </w:pPr>
      <w:r>
        <w:t xml:space="preserve">Certificate of Compliance</w:t>
      </w:r>
    </w:p>
    <w:p>
      <w:pPr>
        <w:pStyle w:val="CACounsel"/>
        <w:keepNext/>
        <w:spacing w:before="280" w:after="0" w:line="340" w:lineRule="exact"/>
      </w:pPr>
      <w:r>
        <w:t xml:space="preserve">1. This document complies with the type-volume limit of Fed. R. App. P. 32(a)⁠(7)⁠(B) because, excluding the parts of the document exempted by Fed. R. App. P. 32(f):</w:t>
      </w:r>
    </w:p>
    <w:p>
      <w:pPr>
        <w:pStyle w:val="CACounsel"/>
        <w:keepLines/>
        <w:tabs>
          <w:tab w:val="left" w:pos="896"/>
        </w:tabs>
        <w:spacing w:before="224" w:after="224" w:line="340" w:lineRule="exact"/>
        <w:ind w:left="896" w:hanging="448"/>
      </w:pPr>
      <w:r>
        <w:rPr>
          <w:bdr w:val="single" w:sz="5" w:space="0" w:color="000000"/>
        </w:rPr>
        <w:t xml:space="preserve">X</w:t>
      </w:r>
      <w:r>
        <w:tab/>
      </w:r>
      <w:r>
        <w:t xml:space="preserve">this document contains 1,627 words.</w:t>
      </w:r>
    </w:p>
    <w:p>
      <w:pPr>
        <w:pStyle w:val="CACounsel"/>
        <w:keepNext/>
        <w:spacing w:before="280" w:after="0" w:line="340" w:lineRule="exact"/>
      </w:pPr>
      <w:r>
        <w:t xml:space="preserve">2. This document complies with the typeface requirements of Fed. R. App. P. 32(a)⁠(5) and the type-style requirements of Fed. R. App. P. 32(a)⁠(6) because:</w:t>
      </w:r>
    </w:p>
    <w:p>
      <w:pPr>
        <w:pStyle w:val="CACounsel"/>
        <w:keepLines/>
        <w:tabs>
          <w:tab w:val="left" w:pos="896"/>
        </w:tabs>
        <w:spacing w:before="224" w:after="224" w:line="340" w:lineRule="exact"/>
        <w:ind w:left="896" w:hanging="448"/>
      </w:pPr>
      <w:r>
        <w:rPr>
          <w:bdr w:val="single" w:sz="5" w:space="0" w:color="000000"/>
        </w:rPr>
        <w:t xml:space="preserve">X</w:t>
      </w:r>
      <w:r>
        <w:tab/>
      </w:r>
      <w:r>
        <w:t xml:space="preserve">this document has been prepared in a proportionally spaced typeface using </w:t>
      </w:r>
      <w:r>
        <w:t xml:space="preserve">Typst</w:t>
      </w:r>
      <w:r>
        <w:t xml:space="preserve"> </w:t>
      </w:r>
      <w:r>
        <w:t xml:space="preserve">0.15.0</w:t>
      </w:r>
      <w:r>
        <w:t xml:space="preserve"> in 14-point </w:t>
      </w:r>
      <w:r>
        <w:t xml:space="preserve">Times</w:t>
      </w:r>
      <w:r>
        <w:t xml:space="preserve"> </w:t>
      </w:r>
      <w:r>
        <w:t xml:space="preserve">New</w:t>
      </w:r>
      <w:r>
        <w:t xml:space="preserve"> </w:t>
      </w:r>
      <w:r>
        <w:t xml:space="preserve">Roman</w:t>
      </w:r>
      <w:r>
        <w:t xml:space="preserve"> roman type.</w:t>
      </w:r>
    </w:p>
    <w:p>
      <w:pPr>
        <w:pStyle w:val="CACounsel"/>
        <w:keepNext/>
        <w:spacing w:before="280" w:after="0" w:line="340" w:lineRule="exact"/>
      </w:pPr>
      <w:r>
        <w:t xml:space="preserve">3. The brief has been scanned for viruses and it is virus free.</w:t>
      </w:r>
    </w:p>
    <w:p>
      <w:pPr>
        <w:pStyle w:val="CACounsel"/>
        <w:keepNext/>
        <w:spacing w:before="448" w:after="0" w:line="340" w:lineRule="exact"/>
        <w:ind w:left="4680" w:firstLine="0"/>
      </w:pPr>
      <w:r>
        <w:t xml:space="preserve">/​s/​ Aaron D. Van Oort</w:t>
      </w:r>
    </w:p>
    <w:p>
      <w:pPr>
        <w:pStyle w:val="CACounsel"/>
        <w:keepNext/>
        <w:spacing w:before="0" w:after="0" w:line="340" w:lineRule="exact"/>
        <w:ind w:left="4680" w:firstLine="0"/>
      </w:pPr>
      <w:r>
        <w:t xml:space="preserve">Attorney for </w:t>
      </w:r>
      <w:r>
        <w:t xml:space="preserve">Defendant</w:t>
      </w:r>
      <w:r>
        <w:t xml:space="preserve"> </w:t>
      </w:r>
      <w:r>
        <w:t xml:space="preserve">–</w:t>
      </w:r>
      <w:r>
        <w:t xml:space="preserve"> </w:t>
      </w:r>
      <w:r>
        <w:t xml:space="preserve">Appellant</w:t>
      </w:r>
      <w:r>
        <w:t xml:space="preserve"> </w:t>
      </w:r>
      <w:r>
        <w:t xml:space="preserve">Sweepsteaks</w:t>
      </w:r>
      <w:r>
        <w:t xml:space="preserve"> </w:t>
      </w:r>
      <w:r>
        <w:t xml:space="preserve">Limited</w:t>
      </w:r>
    </w:p>
    <w:p>
      <w:pPr>
        <w:pStyle w:val="CACounsel"/>
        <w:spacing w:before="0" w:after="0" w:line="340" w:lineRule="exact"/>
        <w:ind w:left="4680" w:firstLine="0"/>
      </w:pPr>
      <w:r>
        <w:t xml:space="preserve">Dated: </w:t>
      </w:r>
      <w:r>
        <w:t xml:space="preserve">September</w:t>
      </w:r>
      <w:r>
        <w:t xml:space="preserve"> </w:t>
      </w:r>
      <w:r>
        <w:t xml:space="preserve">10,</w:t>
      </w:r>
      <w:r>
        <w:t xml:space="preserve"> </w:t>
      </w:r>
      <w:r>
        <w:t xml:space="preserve">2026</w:t>
      </w:r>
    </w:p>
    <w:p>
      <w:pPr>
        <w:pStyle w:val="CASection"/>
        <w:pageBreakBefore/>
        <w:spacing w:before="0" w:after="308" w:line="400" w:lineRule="exact"/>
      </w:pPr>
      <w:r>
        <w:t xml:space="preserve">Certificate of Service</w:t>
      </w:r>
    </w:p>
    <w:p>
      <w:pPr>
        <w:pStyle w:val="CACounsel"/>
        <w:spacing w:before="280" w:after="0" w:line="340" w:lineRule="exact"/>
      </w:pPr>
      <w:r>
        <w:t xml:space="preserve">I hereby certify that on </w:t>
      </w:r>
      <w:r>
        <w:t xml:space="preserve">September</w:t>
      </w:r>
      <w:r>
        <w:t xml:space="preserve"> </w:t>
      </w:r>
      <w:r>
        <w:t xml:space="preserve">10,</w:t>
      </w:r>
      <w:r>
        <w:t xml:space="preserve"> </w:t>
      </w:r>
      <w:r>
        <w:t xml:space="preserve">2026</w:t>
      </w:r>
      <w:r>
        <w:t xml:space="preserve">, I electronically filed the foregoing with the Clerk of the Court for the United States Court of Appeals for the Eighth Circuit by using the appellate CM/​ECF system, which will send notification of such filing to all counsel of record.</w:t>
      </w:r>
    </w:p>
    <w:p>
      <w:pPr>
        <w:pStyle w:val="CACounsel"/>
        <w:keepNext/>
        <w:spacing w:before="448" w:after="0" w:line="340" w:lineRule="exact"/>
        <w:ind w:left="4680" w:firstLine="0"/>
      </w:pPr>
      <w:r>
        <w:t xml:space="preserve">/​s/​ Aaron D. Van Oort</w:t>
      </w:r>
    </w:p>
    <w:p>
      <w:pPr>
        <w:pStyle w:val="CACounsel"/>
        <w:keepNext/>
        <w:spacing w:before="0" w:after="0" w:line="340" w:lineRule="exact"/>
        <w:ind w:left="4680" w:firstLine="0"/>
      </w:pPr>
      <w:r>
        <w:t xml:space="preserve">Attorney for </w:t>
      </w:r>
      <w:r>
        <w:t xml:space="preserve">Defendant</w:t>
      </w:r>
      <w:r>
        <w:t xml:space="preserve"> </w:t>
      </w:r>
      <w:r>
        <w:t xml:space="preserve">–</w:t>
      </w:r>
      <w:r>
        <w:t xml:space="preserve"> </w:t>
      </w:r>
      <w:r>
        <w:t xml:space="preserve">Appellant</w:t>
      </w:r>
      <w:r>
        <w:t xml:space="preserve"> </w:t>
      </w:r>
      <w:r>
        <w:t xml:space="preserve">Sweepsteaks</w:t>
      </w:r>
      <w:r>
        <w:t xml:space="preserve"> </w:t>
      </w:r>
      <w:r>
        <w:t xml:space="preserve">Limited</w:t>
      </w:r>
    </w:p>
    <w:p>
      <w:pPr>
        <w:pStyle w:val="CACounsel"/>
        <w:spacing w:before="0" w:after="0" w:line="340" w:lineRule="exact"/>
        <w:ind w:left="4680" w:firstLine="0"/>
      </w:pPr>
      <w:r>
        <w:t xml:space="preserve">Dated: </w:t>
      </w:r>
      <w:r>
        <w:t xml:space="preserve">September</w:t>
      </w:r>
      <w:r>
        <w:t xml:space="preserve"> </w:t>
      </w:r>
      <w:r>
        <w:t xml:space="preserve">10,</w:t>
      </w:r>
      <w:r>
        <w:t xml:space="preserve"> </w:t>
      </w:r>
      <w:r>
        <w:t xml:space="preserve">2026</w:t>
      </w:r>
    </w:p>
    <w:sectPr>
      <w:footerReference w:type="default" r:id="rIdArabicFtr"/>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arabic.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er-roman.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6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4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4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4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4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4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60" w:lineRule="exact"/>
      <w:ind w:left="720" w:hanging="720"/>
    </w:pPr>
  </w:style>
  <w:style w:type="paragraph" w:styleId="BlockText">
    <w:name w:val="Block Text"/>
    <w:basedOn w:val="BodyText"/>
    <w:next w:val="BodyText"/>
    <w:uiPriority w:val="9"/>
    <w:unhideWhenUsed/>
    <w:qFormat/>
    <w:pPr>
      <w:spacing w:before="280" w:after="280" w:line="340" w:lineRule="exact"/>
      <w:ind w:firstLine="0" w:left="720" w:right="720"/>
    </w:pPr>
  </w:style>
  <w:style w:type="paragraph" w:styleId="FootnoteText">
    <w:name w:val="Footnote Text"/>
    <w:basedOn w:val="Normal"/>
    <w:next w:val="FootnoteText"/>
    <w:uiPriority w:val="9"/>
    <w:unhideWhenUsed/>
    <w:qFormat/>
    <w:pPr>
      <w:keepLines/>
      <w:spacing w:before="0" w:after="140" w:line="34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ABodyLast">
    <w:name w:val="CA Body Last"/>
    <w:basedOn w:val="BodyText"/>
    <w:qFormat/>
    <w:pPr>
      <w:keepNext/>
      <w:keepLines/>
    </w:pPr>
    <w:rPr/>
  </w:style>
  <w:style w:type="paragraph" w:customStyle="1" w:styleId="CASection">
    <w:name w:val="CA Section"/>
    <w:basedOn w:val="Normal"/>
    <w:qFormat/>
    <w:pPr>
      <w:keepNext/>
      <w:keepLines/>
      <w:spacing w:before="420" w:after="308" w:line="400" w:lineRule="exact"/>
      <w:ind w:firstLine="0"/>
      <w:jc w:val="center"/>
      <w:outlineLvl w:val="0"/>
    </w:pPr>
    <w:rPr>
      <w:b/>
      <w:caps/>
      <w:sz w:val="32"/>
      <w:szCs w:val="32"/>
    </w:rPr>
  </w:style>
  <w:style w:type="paragraph" w:customStyle="1" w:styleId="CAPoint">
    <w:name w:val="CA Point"/>
    <w:basedOn w:val="Normal"/>
    <w:qFormat/>
    <w:pPr>
      <w:keepNext/>
      <w:keepLines/>
      <w:spacing w:before="336" w:after="280" w:line="340" w:lineRule="exact"/>
      <w:ind w:firstLine="0"/>
      <w:jc w:val="center"/>
      <w:outlineLvl w:val="1"/>
    </w:pPr>
    <w:rPr>
      <w:b/>
    </w:rPr>
  </w:style>
  <w:style w:type="paragraph" w:customStyle="1" w:styleId="CAHeadL2S0">
    <w:name w:val="CA Heading L2 S0"/>
    <w:basedOn w:val="Normal"/>
    <w:qFormat/>
    <w:pPr>
      <w:keepNext/>
      <w:keepLines/>
      <w:tabs>
        <w:tab w:val="left" w:pos="720"/>
      </w:tabs>
      <w:spacing w:before="308" w:after="252" w:line="340" w:lineRule="exact"/>
      <w:ind w:left="720" w:hanging="720"/>
      <w:jc w:val="left"/>
      <w:outlineLvl w:val="1"/>
    </w:pPr>
    <w:rPr>
      <w:b/>
    </w:rPr>
  </w:style>
  <w:style w:type="paragraph" w:customStyle="1" w:styleId="CAHeadL2S1">
    <w:name w:val="CA Heading L2 S1"/>
    <w:basedOn w:val="Normal"/>
    <w:qFormat/>
    <w:pPr>
      <w:keepNext/>
      <w:keepLines/>
      <w:tabs>
        <w:tab w:val="left" w:pos="1440"/>
      </w:tabs>
      <w:spacing w:before="308" w:after="252" w:line="340" w:lineRule="exact"/>
      <w:ind w:left="1440" w:hanging="720"/>
      <w:jc w:val="left"/>
      <w:outlineLvl w:val="1"/>
    </w:pPr>
    <w:rPr>
      <w:b/>
    </w:rPr>
  </w:style>
  <w:style w:type="paragraph" w:customStyle="1" w:styleId="CAHeadL2S2">
    <w:name w:val="CA Heading L2 S2"/>
    <w:basedOn w:val="Normal"/>
    <w:qFormat/>
    <w:pPr>
      <w:keepNext/>
      <w:keepLines/>
      <w:tabs>
        <w:tab w:val="left" w:pos="2160"/>
      </w:tabs>
      <w:spacing w:before="308" w:after="252" w:line="340" w:lineRule="exact"/>
      <w:ind w:left="2160" w:hanging="720"/>
      <w:jc w:val="left"/>
      <w:outlineLvl w:val="1"/>
    </w:pPr>
    <w:rPr>
      <w:b/>
    </w:rPr>
  </w:style>
  <w:style w:type="paragraph" w:customStyle="1" w:styleId="CAHeadL2S3">
    <w:name w:val="CA Heading L2 S3"/>
    <w:basedOn w:val="Normal"/>
    <w:qFormat/>
    <w:pPr>
      <w:keepNext/>
      <w:keepLines/>
      <w:tabs>
        <w:tab w:val="left" w:pos="2880"/>
      </w:tabs>
      <w:spacing w:before="308" w:after="252" w:line="340" w:lineRule="exact"/>
      <w:ind w:left="2880" w:hanging="720"/>
      <w:jc w:val="left"/>
      <w:outlineLvl w:val="1"/>
    </w:pPr>
    <w:rPr>
      <w:b/>
    </w:rPr>
  </w:style>
  <w:style w:type="paragraph" w:customStyle="1" w:styleId="CAHeadL2S4">
    <w:name w:val="CA Heading L2 S4"/>
    <w:basedOn w:val="Normal"/>
    <w:qFormat/>
    <w:pPr>
      <w:keepNext/>
      <w:keepLines/>
      <w:tabs>
        <w:tab w:val="left" w:pos="3600"/>
      </w:tabs>
      <w:spacing w:before="308" w:after="252" w:line="340" w:lineRule="exact"/>
      <w:ind w:left="3600" w:hanging="720"/>
      <w:jc w:val="left"/>
      <w:outlineLvl w:val="1"/>
    </w:pPr>
    <w:rPr>
      <w:b/>
    </w:rPr>
  </w:style>
  <w:style w:type="paragraph" w:customStyle="1" w:styleId="CAHeadL3S0">
    <w:name w:val="CA Heading L3 S0"/>
    <w:basedOn w:val="Normal"/>
    <w:qFormat/>
    <w:pPr>
      <w:keepNext/>
      <w:keepLines/>
      <w:tabs>
        <w:tab w:val="left" w:pos="720"/>
      </w:tabs>
      <w:spacing w:before="308" w:after="252" w:line="340" w:lineRule="exact"/>
      <w:ind w:left="720" w:hanging="720"/>
      <w:jc w:val="left"/>
      <w:outlineLvl w:val="2"/>
    </w:pPr>
    <w:rPr>
      <w:b/>
    </w:rPr>
  </w:style>
  <w:style w:type="paragraph" w:customStyle="1" w:styleId="CAHeadL3S1">
    <w:name w:val="CA Heading L3 S1"/>
    <w:basedOn w:val="Normal"/>
    <w:qFormat/>
    <w:pPr>
      <w:keepNext/>
      <w:keepLines/>
      <w:tabs>
        <w:tab w:val="left" w:pos="1440"/>
      </w:tabs>
      <w:spacing w:before="308" w:after="252" w:line="340" w:lineRule="exact"/>
      <w:ind w:left="1440" w:hanging="720"/>
      <w:jc w:val="left"/>
      <w:outlineLvl w:val="2"/>
    </w:pPr>
    <w:rPr>
      <w:b/>
    </w:rPr>
  </w:style>
  <w:style w:type="paragraph" w:customStyle="1" w:styleId="CAHeadL3S2">
    <w:name w:val="CA Heading L3 S2"/>
    <w:basedOn w:val="Normal"/>
    <w:qFormat/>
    <w:pPr>
      <w:keepNext/>
      <w:keepLines/>
      <w:tabs>
        <w:tab w:val="left" w:pos="2160"/>
      </w:tabs>
      <w:spacing w:before="308" w:after="252" w:line="340" w:lineRule="exact"/>
      <w:ind w:left="2160" w:hanging="720"/>
      <w:jc w:val="left"/>
      <w:outlineLvl w:val="2"/>
    </w:pPr>
    <w:rPr>
      <w:b/>
    </w:rPr>
  </w:style>
  <w:style w:type="paragraph" w:customStyle="1" w:styleId="CAHeadL3S3">
    <w:name w:val="CA Heading L3 S3"/>
    <w:basedOn w:val="Normal"/>
    <w:qFormat/>
    <w:pPr>
      <w:keepNext/>
      <w:keepLines/>
      <w:tabs>
        <w:tab w:val="left" w:pos="2880"/>
      </w:tabs>
      <w:spacing w:before="308" w:after="252" w:line="340" w:lineRule="exact"/>
      <w:ind w:left="2880" w:hanging="720"/>
      <w:jc w:val="left"/>
      <w:outlineLvl w:val="2"/>
    </w:pPr>
    <w:rPr>
      <w:b/>
    </w:rPr>
  </w:style>
  <w:style w:type="paragraph" w:customStyle="1" w:styleId="CAHeadL3S4">
    <w:name w:val="CA Heading L3 S4"/>
    <w:basedOn w:val="Normal"/>
    <w:qFormat/>
    <w:pPr>
      <w:keepNext/>
      <w:keepLines/>
      <w:tabs>
        <w:tab w:val="left" w:pos="3600"/>
      </w:tabs>
      <w:spacing w:before="308" w:after="252" w:line="340" w:lineRule="exact"/>
      <w:ind w:left="3600" w:hanging="720"/>
      <w:jc w:val="left"/>
      <w:outlineLvl w:val="2"/>
    </w:pPr>
    <w:rPr>
      <w:b/>
    </w:rPr>
  </w:style>
  <w:style w:type="paragraph" w:customStyle="1" w:styleId="CAHeadL4S0">
    <w:name w:val="CA Heading L4 S0"/>
    <w:basedOn w:val="Normal"/>
    <w:qFormat/>
    <w:pPr>
      <w:keepNext/>
      <w:keepLines/>
      <w:tabs>
        <w:tab w:val="left" w:pos="720"/>
      </w:tabs>
      <w:spacing w:before="308" w:after="252" w:line="340" w:lineRule="exact"/>
      <w:ind w:left="720" w:hanging="720"/>
      <w:jc w:val="left"/>
      <w:outlineLvl w:val="3"/>
    </w:pPr>
    <w:rPr>
      <w:b/>
      <w:i/>
    </w:rPr>
  </w:style>
  <w:style w:type="paragraph" w:customStyle="1" w:styleId="CAHeadL4S1">
    <w:name w:val="CA Heading L4 S1"/>
    <w:basedOn w:val="Normal"/>
    <w:qFormat/>
    <w:pPr>
      <w:keepNext/>
      <w:keepLines/>
      <w:tabs>
        <w:tab w:val="left" w:pos="1440"/>
      </w:tabs>
      <w:spacing w:before="308" w:after="252" w:line="340" w:lineRule="exact"/>
      <w:ind w:left="1440" w:hanging="720"/>
      <w:jc w:val="left"/>
      <w:outlineLvl w:val="3"/>
    </w:pPr>
    <w:rPr>
      <w:b/>
      <w:i/>
    </w:rPr>
  </w:style>
  <w:style w:type="paragraph" w:customStyle="1" w:styleId="CAHeadL4S2">
    <w:name w:val="CA Heading L4 S2"/>
    <w:basedOn w:val="Normal"/>
    <w:qFormat/>
    <w:pPr>
      <w:keepNext/>
      <w:keepLines/>
      <w:tabs>
        <w:tab w:val="left" w:pos="2160"/>
      </w:tabs>
      <w:spacing w:before="308" w:after="252" w:line="340" w:lineRule="exact"/>
      <w:ind w:left="2160" w:hanging="720"/>
      <w:jc w:val="left"/>
      <w:outlineLvl w:val="3"/>
    </w:pPr>
    <w:rPr>
      <w:b/>
      <w:i/>
    </w:rPr>
  </w:style>
  <w:style w:type="paragraph" w:customStyle="1" w:styleId="CAHeadL4S3">
    <w:name w:val="CA Heading L4 S3"/>
    <w:basedOn w:val="Normal"/>
    <w:qFormat/>
    <w:pPr>
      <w:keepNext/>
      <w:keepLines/>
      <w:tabs>
        <w:tab w:val="left" w:pos="2880"/>
      </w:tabs>
      <w:spacing w:before="308" w:after="252" w:line="340" w:lineRule="exact"/>
      <w:ind w:left="2880" w:hanging="720"/>
      <w:jc w:val="left"/>
      <w:outlineLvl w:val="3"/>
    </w:pPr>
    <w:rPr>
      <w:b/>
      <w:i/>
    </w:rPr>
  </w:style>
  <w:style w:type="paragraph" w:customStyle="1" w:styleId="CAHeadL4S4">
    <w:name w:val="CA Heading L4 S4"/>
    <w:basedOn w:val="Normal"/>
    <w:qFormat/>
    <w:pPr>
      <w:keepNext/>
      <w:keepLines/>
      <w:tabs>
        <w:tab w:val="left" w:pos="3600"/>
      </w:tabs>
      <w:spacing w:before="308" w:after="252" w:line="340" w:lineRule="exact"/>
      <w:ind w:left="3600" w:hanging="720"/>
      <w:jc w:val="left"/>
      <w:outlineLvl w:val="3"/>
    </w:pPr>
    <w:rPr>
      <w:b/>
      <w:i/>
    </w:rPr>
  </w:style>
  <w:style w:type="paragraph" w:customStyle="1" w:styleId="CAHeadL5S0">
    <w:name w:val="CA Heading L5 S0"/>
    <w:basedOn w:val="Normal"/>
    <w:qFormat/>
    <w:pPr>
      <w:keepNext/>
      <w:keepLines/>
      <w:tabs>
        <w:tab w:val="left" w:pos="720"/>
      </w:tabs>
      <w:spacing w:before="308" w:after="252" w:line="340" w:lineRule="exact"/>
      <w:ind w:left="720" w:hanging="720"/>
      <w:jc w:val="left"/>
      <w:outlineLvl w:val="4"/>
    </w:pPr>
    <w:rPr>
      <w:b/>
      <w:i/>
    </w:rPr>
  </w:style>
  <w:style w:type="paragraph" w:customStyle="1" w:styleId="CAHeadL5S1">
    <w:name w:val="CA Heading L5 S1"/>
    <w:basedOn w:val="Normal"/>
    <w:qFormat/>
    <w:pPr>
      <w:keepNext/>
      <w:keepLines/>
      <w:tabs>
        <w:tab w:val="left" w:pos="1440"/>
      </w:tabs>
      <w:spacing w:before="308" w:after="252" w:line="340" w:lineRule="exact"/>
      <w:ind w:left="1440" w:hanging="720"/>
      <w:jc w:val="left"/>
      <w:outlineLvl w:val="4"/>
    </w:pPr>
    <w:rPr>
      <w:b/>
      <w:i/>
    </w:rPr>
  </w:style>
  <w:style w:type="paragraph" w:customStyle="1" w:styleId="CAHeadL5S2">
    <w:name w:val="CA Heading L5 S2"/>
    <w:basedOn w:val="Normal"/>
    <w:qFormat/>
    <w:pPr>
      <w:keepNext/>
      <w:keepLines/>
      <w:tabs>
        <w:tab w:val="left" w:pos="2160"/>
      </w:tabs>
      <w:spacing w:before="308" w:after="252" w:line="340" w:lineRule="exact"/>
      <w:ind w:left="2160" w:hanging="720"/>
      <w:jc w:val="left"/>
      <w:outlineLvl w:val="4"/>
    </w:pPr>
    <w:rPr>
      <w:b/>
      <w:i/>
    </w:rPr>
  </w:style>
  <w:style w:type="paragraph" w:customStyle="1" w:styleId="CAHeadL5S3">
    <w:name w:val="CA Heading L5 S3"/>
    <w:basedOn w:val="Normal"/>
    <w:qFormat/>
    <w:pPr>
      <w:keepNext/>
      <w:keepLines/>
      <w:tabs>
        <w:tab w:val="left" w:pos="2880"/>
      </w:tabs>
      <w:spacing w:before="308" w:after="252" w:line="340" w:lineRule="exact"/>
      <w:ind w:left="2880" w:hanging="720"/>
      <w:jc w:val="left"/>
      <w:outlineLvl w:val="4"/>
    </w:pPr>
    <w:rPr>
      <w:b/>
      <w:i/>
    </w:rPr>
  </w:style>
  <w:style w:type="paragraph" w:customStyle="1" w:styleId="CAHeadL5S4">
    <w:name w:val="CA Heading L5 S4"/>
    <w:basedOn w:val="Normal"/>
    <w:qFormat/>
    <w:pPr>
      <w:keepNext/>
      <w:keepLines/>
      <w:tabs>
        <w:tab w:val="left" w:pos="3600"/>
      </w:tabs>
      <w:spacing w:before="308" w:after="252" w:line="340" w:lineRule="exact"/>
      <w:ind w:left="3600" w:hanging="720"/>
      <w:jc w:val="left"/>
      <w:outlineLvl w:val="4"/>
    </w:pPr>
    <w:rPr>
      <w:b/>
      <w:i/>
    </w:rPr>
  </w:style>
  <w:style w:type="paragraph" w:customStyle="1" w:styleId="CARule">
    <w:name w:val="CA Rule"/>
    <w:basedOn w:val="Normal"/>
    <w:qFormat/>
    <w:pPr>
      <w:keepNext/>
      <w:pBdr>
        <w:bottom w:val="single" w:sz="6" w:space="0" w:color="000000"/>
      </w:pBdr>
      <w:spacing w:before="0" w:after="0" w:line="20" w:lineRule="exact"/>
      <w:ind w:left="3240" w:right="3240" w:firstLine="0"/>
      <w:jc w:val="center"/>
    </w:pPr>
    <w:rPr/>
  </w:style>
  <w:style w:type="paragraph" w:customStyle="1" w:styleId="CACentered">
    <w:name w:val="CA Centered"/>
    <w:basedOn w:val="Normal"/>
    <w:qFormat/>
    <w:pPr>
      <w:spacing w:before="0" w:after="0" w:line="340" w:lineRule="exact"/>
      <w:ind w:firstLine="0"/>
      <w:jc w:val="center"/>
    </w:pPr>
    <w:rPr/>
  </w:style>
  <w:style w:type="paragraph" w:customStyle="1" w:styleId="CADoubleRule">
    <w:name w:val="CA Double Rule"/>
    <w:basedOn w:val="Normal"/>
    <w:qFormat/>
    <w:pPr>
      <w:keepNext/>
      <w:pBdr>
        <w:top w:val="single" w:sz="12" w:space="0" w:color="000000"/>
        <w:bottom w:val="single" w:sz="4" w:space="0" w:color="000000"/>
      </w:pBdr>
      <w:spacing w:before="0" w:after="0" w:line="50" w:lineRule="exact"/>
      <w:ind w:firstLine="0"/>
    </w:pPr>
    <w:rPr/>
  </w:style>
  <w:style w:type="paragraph" w:customStyle="1" w:styleId="CACounsel">
    <w:name w:val="CA Counsel"/>
    <w:basedOn w:val="Normal"/>
    <w:qFormat/>
    <w:pPr>
      <w:spacing w:before="0" w:after="0" w:line="340" w:lineRule="exact"/>
      <w:ind w:firstLine="0"/>
      <w:jc w:val="left"/>
    </w:pPr>
    <w:rPr/>
  </w:style>
  <w:style w:type="paragraph" w:customStyle="1" w:styleId="CATocTop">
    <w:name w:val="CA TOC 1"/>
    <w:basedOn w:val="Normal"/>
    <w:qFormat/>
    <w:pPr>
      <w:keepLines/>
      <w:tabs>
        <w:tab w:val="right" w:leader="dot" w:pos="9360"/>
      </w:tabs>
      <w:spacing w:before="168" w:after="0" w:line="340" w:lineRule="exact"/>
      <w:ind w:left="720" w:right="720" w:hanging="720"/>
    </w:pPr>
    <w:rPr/>
  </w:style>
  <w:style w:type="paragraph" w:customStyle="1" w:styleId="CATocS0">
    <w:name w:val="CA TOC Entry S0"/>
    <w:basedOn w:val="Normal"/>
    <w:qFormat/>
    <w:pPr>
      <w:keepLines/>
      <w:tabs>
        <w:tab w:val="left" w:leader="none" w:pos="720"/>
        <w:tab w:val="right" w:leader="dot" w:pos="9360"/>
      </w:tabs>
      <w:spacing w:before="98" w:after="0" w:line="340" w:lineRule="exact"/>
      <w:ind w:left="720" w:right="720" w:hanging="720"/>
    </w:pPr>
    <w:rPr/>
  </w:style>
  <w:style w:type="paragraph" w:customStyle="1" w:styleId="CATocS1">
    <w:name w:val="CA TOC Entry S1"/>
    <w:basedOn w:val="Normal"/>
    <w:qFormat/>
    <w:pPr>
      <w:keepLines/>
      <w:tabs>
        <w:tab w:val="left" w:leader="none" w:pos="1440"/>
        <w:tab w:val="right" w:leader="dot" w:pos="9360"/>
      </w:tabs>
      <w:spacing w:before="98" w:after="0" w:line="340" w:lineRule="exact"/>
      <w:ind w:left="1440" w:right="720" w:hanging="720"/>
    </w:pPr>
    <w:rPr/>
  </w:style>
  <w:style w:type="paragraph" w:customStyle="1" w:styleId="CATocS2">
    <w:name w:val="CA TOC Entry S2"/>
    <w:basedOn w:val="Normal"/>
    <w:qFormat/>
    <w:pPr>
      <w:keepLines/>
      <w:tabs>
        <w:tab w:val="left" w:leader="none" w:pos="2160"/>
        <w:tab w:val="right" w:leader="dot" w:pos="9360"/>
      </w:tabs>
      <w:spacing w:before="98" w:after="0" w:line="340" w:lineRule="exact"/>
      <w:ind w:left="2160" w:right="720" w:hanging="720"/>
    </w:pPr>
    <w:rPr/>
  </w:style>
  <w:style w:type="paragraph" w:customStyle="1" w:styleId="CATocS3">
    <w:name w:val="CA TOC Entry S3"/>
    <w:basedOn w:val="Normal"/>
    <w:qFormat/>
    <w:pPr>
      <w:keepLines/>
      <w:tabs>
        <w:tab w:val="left" w:leader="none" w:pos="2880"/>
        <w:tab w:val="right" w:leader="dot" w:pos="9360"/>
      </w:tabs>
      <w:spacing w:before="98" w:after="0" w:line="340" w:lineRule="exact"/>
      <w:ind w:left="2880" w:right="720" w:hanging="720"/>
    </w:pPr>
    <w:rPr/>
  </w:style>
  <w:style w:type="paragraph" w:customStyle="1" w:styleId="CATocS4">
    <w:name w:val="CA TOC Entry S4"/>
    <w:basedOn w:val="Normal"/>
    <w:qFormat/>
    <w:pPr>
      <w:keepLines/>
      <w:tabs>
        <w:tab w:val="left" w:leader="none" w:pos="3600"/>
        <w:tab w:val="right" w:leader="dot" w:pos="9360"/>
      </w:tabs>
      <w:spacing w:before="98" w:after="0" w:line="340" w:lineRule="exact"/>
      <w:ind w:left="3600" w:right="720" w:hanging="720"/>
    </w:pPr>
    <w:rPr/>
  </w:style>
  <w:style w:type="paragraph" w:customStyle="1" w:styleId="CATocPage">
    <w:name w:val="CA TOC Page"/>
    <w:basedOn w:val="Normal"/>
    <w:qFormat/>
    <w:pPr>
      <w:keepNext/>
      <w:spacing w:before="84" w:after="0" w:line="340" w:lineRule="exact"/>
      <w:ind w:firstLine="0"/>
      <w:jc w:val="right"/>
    </w:pPr>
    <w:rPr>
      <w:b/>
      <w:u w:val="single"/>
    </w:rPr>
  </w:style>
  <w:style w:type="paragraph" w:customStyle="1" w:styleId="CAToaGroup">
    <w:name w:val="CA TOA Group"/>
    <w:basedOn w:val="Normal"/>
    <w:qFormat/>
    <w:pPr>
      <w:keepNext/>
      <w:tabs>
        <w:tab w:val="right" w:pos="9360"/>
      </w:tabs>
      <w:spacing w:before="392" w:after="56" w:line="340" w:lineRule="exact"/>
      <w:ind w:firstLine="0"/>
    </w:pPr>
    <w:rPr>
      <w:b/>
    </w:rPr>
  </w:style>
  <w:style w:type="paragraph" w:customStyle="1" w:styleId="CAToaEntry">
    <w:name w:val="CA TOA Entry"/>
    <w:basedOn w:val="Normal"/>
    <w:qFormat/>
    <w:pPr>
      <w:keepLines/>
      <w:tabs>
        <w:tab w:val="right" w:leader="dot" w:pos="9360"/>
      </w:tabs>
      <w:spacing w:before="196" w:after="0" w:line="340" w:lineRule="exact"/>
      <w:ind w:left="504" w:right="1120" w:hanging="504"/>
    </w:pP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RomanFtr" Target="footer-roman.xml"/><Relationship Type="http://schemas.openxmlformats.org/officeDocument/2006/relationships/footer" Id="rIdArabicFtr" Target="footer-arabic.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