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LOUISIANA</w:t>
      </w:r>
    </w:p>
    <w:p>
      <w:pPr>
        <w:spacing w:before="288" w:after="0" w:line="276" w:lineRule="exact"/>
        <w:ind w:left="0" w:firstLine="0"/>
        <w:jc w:val="center"/>
      </w:pPr>
      <w:r>
        <w:t xml:space="preserve">No.</w:t>
      </w:r>
      <w:r>
        <w:t xml:space="preserve"> </w:t>
      </w:r>
      <w:r>
        <w:t xml:space="preserve">2021-KP</w:t>
        <w:noBreakHyphen/>
        <w:t xml:space="preserve">01893</w:t>
      </w:r>
    </w:p>
    <w:p>
      <w:pPr>
        <w:spacing w:before="384" w:after="0" w:line="276" w:lineRule="exact"/>
        <w:ind w:left="0" w:right="4968" w:firstLine="0"/>
        <w:jc w:val="left"/>
      </w:pPr>
      <w:r>
        <w:t xml:space="preserve">STATE</w:t>
      </w:r>
      <w:r>
        <w:t xml:space="preserve"> </w:t>
      </w:r>
      <w:r>
        <w:t xml:space="preserve">OF</w:t>
      </w:r>
      <w:r>
        <w:t xml:space="preserve"> </w:t>
      </w:r>
      <w:r>
        <w:t xml:space="preserve">LOUISIANA</w:t>
      </w:r>
    </w:p>
    <w:p>
      <w:pPr>
        <w:spacing w:before="0" w:after="0" w:line="276" w:lineRule="exact"/>
        <w:ind w:left="720" w:right="4968" w:firstLine="0"/>
        <w:jc w:val="left"/>
      </w:pPr>
      <w:r>
        <w:t xml:space="preserve">Applicant</w:t>
      </w:r>
    </w:p>
    <w:p>
      <w:pPr>
        <w:spacing w:before="192" w:after="192" w:line="276" w:lineRule="exact"/>
        <w:ind w:left="720" w:firstLine="0"/>
        <w:jc w:val="left"/>
      </w:pPr>
      <w:r>
        <w:t xml:space="preserve">V.</w:t>
      </w:r>
    </w:p>
    <w:p>
      <w:pPr>
        <w:spacing w:before="0" w:after="0" w:line="276" w:lineRule="exact"/>
        <w:ind w:left="0" w:right="4968" w:firstLine="0"/>
        <w:jc w:val="left"/>
      </w:pPr>
      <w:r>
        <w:t xml:space="preserve">REGINALD</w:t>
      </w:r>
      <w:r>
        <w:t xml:space="preserve"> </w:t>
      </w:r>
      <w:r>
        <w:t xml:space="preserve">REDDICK</w:t>
      </w:r>
    </w:p>
    <w:p>
      <w:pPr>
        <w:spacing w:before="0" w:after="0" w:line="276" w:lineRule="exact"/>
        <w:ind w:left="720" w:right="4968" w:firstLine="0"/>
        <w:jc w:val="left"/>
      </w:pPr>
      <w:r>
        <w:t xml:space="preserve">Respondent</w:t>
      </w:r>
    </w:p>
    <w:p>
      <w:pPr>
        <w:spacing w:before="288" w:after="0" w:line="276" w:lineRule="exact"/>
        <w:ind w:left="0" w:firstLine="0"/>
        <w:jc w:val="center"/>
      </w:pPr>
      <w:r>
        <w:t xml:space="preserve">On</w:t>
      </w:r>
      <w:r>
        <w:t xml:space="preserve"> </w:t>
      </w:r>
      <w:r>
        <w:t xml:space="preserve">Supervisory</w:t>
      </w:r>
      <w:r>
        <w:t xml:space="preserve"> </w:t>
      </w:r>
      <w:r>
        <w:t xml:space="preserve">and/​or</w:t>
      </w:r>
      <w:r>
        <w:t xml:space="preserve"> </w:t>
      </w:r>
      <w:r>
        <w:t xml:space="preserve">Remedial</w:t>
      </w:r>
      <w:r>
        <w:t xml:space="preserve"> </w:t>
      </w:r>
      <w:r>
        <w:t xml:space="preserve">Writs</w:t>
      </w:r>
    </w:p>
    <w:p>
      <w:pPr>
        <w:spacing w:before="0" w:after="0" w:line="276" w:lineRule="exact"/>
        <w:ind w:left="0" w:firstLine="0"/>
        <w:jc w:val="center"/>
      </w:pPr>
      <w:r>
        <w:t xml:space="preserve">Twenty-Fifth</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Plaquemines,</w:t>
      </w:r>
      <w:r>
        <w:t xml:space="preserve"> </w:t>
      </w:r>
      <w:r>
        <w:t xml:space="preserve">No.</w:t>
      </w:r>
      <w:r>
        <w:t xml:space="preserve"> </w:t>
      </w:r>
      <w:r>
        <w:t xml:space="preserve">93</w:t>
        <w:noBreakHyphen/>
        <w:t xml:space="preserve">03922;</w:t>
      </w:r>
    </w:p>
    <w:p>
      <w:pPr>
        <w:spacing w:before="0" w:after="0" w:line="276" w:lineRule="exact"/>
        <w:ind w:left="0" w:firstLine="0"/>
        <w:jc w:val="center"/>
      </w:pPr>
      <w:r>
        <w:t xml:space="preserve">Court</w:t>
      </w:r>
      <w:r>
        <w:t xml:space="preserve"> </w:t>
      </w:r>
      <w:r>
        <w:t xml:space="preserve">of</w:t>
      </w:r>
      <w:r>
        <w:t xml:space="preserve"> </w:t>
      </w:r>
      <w:r>
        <w:t xml:space="preserve">Appeal,</w:t>
      </w:r>
      <w:r>
        <w:t xml:space="preserve"> </w:t>
      </w:r>
      <w:r>
        <w:t xml:space="preserve">Fourth</w:t>
      </w:r>
      <w:r>
        <w:t xml:space="preserve"> </w:t>
      </w:r>
      <w:r>
        <w:t xml:space="preserve">Circuit,</w:t>
      </w:r>
      <w:r>
        <w:t xml:space="preserve"> </w:t>
      </w:r>
      <w:r>
        <w:t xml:space="preserve">No.</w:t>
      </w:r>
      <w:r>
        <w:t xml:space="preserve"> </w:t>
      </w:r>
      <w:r>
        <w:t xml:space="preserve">2021-K</w:t>
        <w:noBreakHyphen/>
        <w:t xml:space="preserve">0589</w:t>
      </w:r>
    </w:p>
    <w:p>
      <w:pPr>
        <w:spacing w:before="384" w:after="0" w:line="276" w:lineRule="exact"/>
        <w:ind w:left="0" w:firstLine="0"/>
        <w:jc w:val="center"/>
      </w:pPr>
      <w:r>
        <w:rPr>
          <w:b/>
          <w:bCs/>
        </w:rPr>
        <w:t xml:space="preserve">Louisiana’s</w:t>
      </w:r>
      <w:r>
        <w:rPr>
          <w:b/>
          <w:bCs/>
        </w:rPr>
        <w:t xml:space="preserve"> </w:t>
      </w:r>
      <w:r>
        <w:rPr>
          <w:b/>
          <w:bCs/>
        </w:rPr>
        <w:t xml:space="preserve">Original</w:t>
      </w:r>
      <w:r>
        <w:rPr>
          <w:b/>
          <w:bCs/>
        </w:rPr>
        <w:t xml:space="preserve"> </w:t>
      </w:r>
      <w:r>
        <w:rPr>
          <w:b/>
          <w:bCs/>
        </w:rPr>
        <w:t xml:space="preserve">Brief</w:t>
      </w:r>
    </w:p>
    <w:p>
      <w:pPr>
        <w:spacing w:before="0" w:after="0" w:line="5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JEFF</w:t>
            </w:r>
            <w:r>
              <w:t xml:space="preserve"> </w:t>
            </w:r>
            <w:r>
              <w:t xml:space="preserve">LANDRY</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r>
              <w:t xml:space="preserve">ELIZABETH</w:t>
            </w:r>
            <w:r>
              <w:t xml:space="preserve"> </w:t>
            </w:r>
            <w:r>
              <w:t xml:space="preserve">BAKER</w:t>
            </w:r>
            <w:r>
              <w:t xml:space="preserve"> </w:t>
            </w:r>
            <w:r>
              <w:t xml:space="preserve">MURRILL</w:t>
            </w:r>
            <w:r>
              <w:t xml:space="preserve"> </w:t>
            </w:r>
            <w:r>
              <w:t xml:space="preserve">(#20685)</w:t>
            </w:r>
          </w:p>
          <w:p>
            <w:pPr>
              <w:spacing w:before="0" w:after="0" w:line="276" w:lineRule="exact"/>
              <w:ind w:left="0" w:firstLine="0"/>
              <w:jc w:val="left"/>
            </w:pPr>
            <w:r>
              <w:t xml:space="preserve">Solicitor</w:t>
            </w:r>
            <w:r>
              <w:t xml:space="preserve"> </w:t>
            </w:r>
            <w:r>
              <w:t xml:space="preserve">General</w:t>
            </w:r>
          </w:p>
          <w:p>
            <w:pPr>
              <w:spacing w:before="0" w:after="0" w:line="276" w:lineRule="exact"/>
              <w:ind w:left="0" w:firstLine="0"/>
              <w:jc w:val="left"/>
            </w:pPr>
            <w:r>
              <w:t xml:space="preserve">SHAE</w:t>
            </w:r>
            <w:r>
              <w:t xml:space="preserve"> </w:t>
            </w:r>
            <w:r>
              <w:t xml:space="preserve">MCPHEE</w:t>
            </w:r>
            <w:r>
              <w:t xml:space="preserve"> </w:t>
            </w:r>
            <w:r>
              <w:t xml:space="preserve">(#38565)</w:t>
            </w:r>
          </w:p>
          <w:p>
            <w:pPr>
              <w:spacing w:before="0" w:after="0" w:line="276" w:lineRule="exact"/>
              <w:ind w:left="0" w:firstLine="0"/>
              <w:jc w:val="left"/>
            </w:pPr>
            <w:r>
              <w:t xml:space="preserve">Deputy</w:t>
            </w:r>
            <w:r>
              <w:t xml:space="preserve"> </w:t>
            </w:r>
            <w:r>
              <w:t xml:space="preserve">Solicitor</w:t>
            </w:r>
            <w:r>
              <w:t xml:space="preserve"> </w:t>
            </w:r>
            <w:r>
              <w:t xml:space="preserve">General</w:t>
            </w:r>
          </w:p>
          <w:p>
            <w:pPr>
              <w:spacing w:before="0" w:after="0" w:line="276" w:lineRule="exact"/>
              <w:ind w:left="0" w:firstLine="0"/>
              <w:jc w:val="left"/>
            </w:pPr>
            <w:r>
              <w:t xml:space="preserve">Lead</w:t>
            </w:r>
            <w:r>
              <w:t xml:space="preserve"> </w:t>
            </w:r>
            <w:r>
              <w:t xml:space="preserve">Counsel</w:t>
            </w:r>
          </w:p>
          <w:p>
            <w:pPr>
              <w:spacing w:before="0" w:after="0" w:line="276" w:lineRule="exact"/>
              <w:ind w:left="0" w:firstLine="0"/>
              <w:jc w:val="left"/>
            </w:pPr>
            <w:r>
              <w:t xml:space="preserve">J.</w:t>
            </w:r>
            <w:r>
              <w:t xml:space="preserve"> </w:t>
            </w:r>
            <w:r>
              <w:t xml:space="preserve">Taylor</w:t>
            </w:r>
            <w:r>
              <w:t xml:space="preserve"> </w:t>
            </w:r>
            <w:r>
              <w:t xml:space="preserve">Gray</w:t>
            </w:r>
            <w:r>
              <w:t xml:space="preserve"> </w:t>
            </w:r>
            <w:r>
              <w:t xml:space="preserve">(#33562)</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Louisiana</w:t>
            </w:r>
            <w:r>
              <w:t xml:space="preserve"> </w:t>
            </w:r>
            <w:r>
              <w:t xml:space="preserve">Department</w:t>
            </w:r>
            <w:r>
              <w:t xml:space="preserve"> </w:t>
            </w:r>
            <w:r>
              <w:t xml:space="preserve">of</w:t>
            </w:r>
            <w:r>
              <w:t xml:space="preserve"> </w:t>
            </w:r>
            <w:r>
              <w:t xml:space="preserve">Justice</w:t>
            </w:r>
          </w:p>
          <w:p>
            <w:pPr>
              <w:spacing w:before="0" w:after="0" w:line="276" w:lineRule="exact"/>
              <w:ind w:left="0" w:firstLine="0"/>
              <w:jc w:val="left"/>
            </w:pPr>
            <w:r>
              <w:t xml:space="preserve">909</w:t>
            </w:r>
            <w:r>
              <w:t xml:space="preserve"> </w:t>
            </w:r>
            <w:r>
              <w:t xml:space="preserve">Poydras</w:t>
            </w:r>
            <w:r>
              <w:t xml:space="preserve"> </w:t>
            </w:r>
            <w:r>
              <w:t xml:space="preserve">Street,</w:t>
            </w:r>
            <w:r>
              <w:t xml:space="preserve"> </w:t>
            </w:r>
            <w:r>
              <w:t xml:space="preserve">Suite</w:t>
            </w:r>
            <w:r>
              <w:t xml:space="preserve"> </w:t>
            </w:r>
            <w:r>
              <w:t xml:space="preserve">1850</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70112</w:t>
            </w:r>
          </w:p>
          <w:p>
            <w:pPr>
              <w:spacing w:before="0" w:after="0" w:line="276" w:lineRule="exact"/>
              <w:ind w:left="0" w:firstLine="0"/>
              <w:jc w:val="left"/>
            </w:pPr>
            <w:r>
              <w:t xml:space="preserve">Telephone:</w:t>
            </w:r>
            <w:r>
              <w:t xml:space="preserve"> </w:t>
            </w:r>
            <w:r>
              <w:t xml:space="preserve">(225)</w:t>
            </w:r>
            <w:r>
              <w:t xml:space="preserve"> </w:t>
            </w:r>
            <w:r>
              <w:t xml:space="preserve">938</w:t>
              <w:noBreakHyphen/>
              <w:t xml:space="preserve">0779</w:t>
            </w:r>
          </w:p>
          <w:p>
            <w:pPr>
              <w:spacing w:before="0" w:after="0" w:line="276" w:lineRule="exact"/>
              <w:ind w:left="0" w:firstLine="0"/>
              <w:jc w:val="left"/>
            </w:pPr>
            <w:r>
              <w:t xml:space="preserve">Facsimile:</w:t>
            </w:r>
            <w:r>
              <w:t xml:space="preserve"> </w:t>
            </w:r>
            <w:r>
              <w:t xml:space="preserve">(504)</w:t>
            </w:r>
            <w:r>
              <w:t xml:space="preserve"> </w:t>
            </w:r>
            <w:r>
              <w:t xml:space="preserve">556</w:t>
              <w:noBreakHyphen/>
              <w:t xml:space="preserve">9900</w:t>
            </w:r>
          </w:p>
          <w:p>
            <w:pPr>
              <w:spacing w:before="0" w:after="0" w:line="276" w:lineRule="exact"/>
              <w:ind w:left="0" w:firstLine="0"/>
              <w:jc w:val="left"/>
            </w:pPr>
            <w:r>
              <w:t xml:space="preserve">mcphees@ag.louisiana.gov</w:t>
            </w:r>
          </w:p>
        </w:tc>
        <w:tc>
          <w:tcPr>
            <w:tcW w:w="4896" w:type="dxa"/>
            <w:tcMar>
              <w:left w:w="432" w:type="dxa"/>
            </w:tcMar>
          </w:tcPr>
          <w:p>
            <w:pPr>
              <w:spacing w:before="0" w:after="0" w:line="276" w:lineRule="exact"/>
              <w:ind w:left="0" w:firstLine="0"/>
              <w:jc w:val="left"/>
            </w:pPr>
            <w:r>
              <w:t xml:space="preserve">CHARLES</w:t>
            </w:r>
            <w:r>
              <w:t xml:space="preserve"> </w:t>
            </w:r>
            <w:r>
              <w:t xml:space="preserve">J.</w:t>
            </w:r>
            <w:r>
              <w:t xml:space="preserve"> </w:t>
            </w:r>
            <w:r>
              <w:t xml:space="preserve">BALLAY</w:t>
            </w:r>
            <w:r>
              <w:t xml:space="preserve"> </w:t>
            </w:r>
            <w:r>
              <w:t xml:space="preserve">(#2719)</w:t>
            </w:r>
          </w:p>
          <w:p>
            <w:pPr>
              <w:spacing w:before="0" w:after="0" w:line="276" w:lineRule="exact"/>
              <w:ind w:left="0" w:firstLine="0"/>
              <w:jc w:val="left"/>
            </w:pPr>
            <w:r>
              <w:t xml:space="preserve">DISTRICT</w:t>
            </w:r>
            <w:r>
              <w:t xml:space="preserve"> </w:t>
            </w:r>
            <w:r>
              <w:t xml:space="preserve">ATTORNEY</w:t>
            </w:r>
          </w:p>
          <w:p>
            <w:pPr>
              <w:spacing w:before="0" w:after="0" w:line="276" w:lineRule="exact"/>
              <w:ind w:left="0" w:firstLine="0"/>
              <w:jc w:val="left"/>
            </w:pPr>
            <w:r>
              <w:t xml:space="preserve">25th</w:t>
            </w:r>
            <w:r>
              <w:t xml:space="preserve"> </w:t>
            </w:r>
            <w:r>
              <w:t xml:space="preserve">Judicial</w:t>
            </w:r>
            <w:r>
              <w:t xml:space="preserve"> </w:t>
            </w:r>
            <w:r>
              <w:t xml:space="preserve">District</w:t>
            </w:r>
          </w:p>
          <w:p>
            <w:pPr>
              <w:spacing w:before="0" w:after="0" w:line="276" w:lineRule="exact"/>
              <w:ind w:left="0" w:firstLine="0"/>
              <w:jc w:val="left"/>
            </w:pPr>
            <w:r>
              <w:t xml:space="preserve">333</w:t>
            </w:r>
            <w:r>
              <w:t xml:space="preserve"> </w:t>
            </w:r>
            <w:r>
              <w:t xml:space="preserve">F.</w:t>
            </w:r>
            <w:r>
              <w:t xml:space="preserve"> </w:t>
            </w:r>
            <w:r>
              <w:t xml:space="preserve">Edward</w:t>
            </w:r>
            <w:r>
              <w:t xml:space="preserve"> </w:t>
            </w:r>
            <w:r>
              <w:t xml:space="preserve">Hebert</w:t>
            </w:r>
            <w:r>
              <w:t xml:space="preserve"> </w:t>
            </w:r>
            <w:r>
              <w:t xml:space="preserve">Blvd.,</w:t>
            </w:r>
            <w:r>
              <w:t xml:space="preserve"> </w:t>
            </w:r>
            <w:r>
              <w:t xml:space="preserve">Bldg.</w:t>
            </w:r>
            <w:r>
              <w:t xml:space="preserve"> </w:t>
            </w:r>
            <w:r>
              <w:t xml:space="preserve">201</w:t>
            </w:r>
          </w:p>
          <w:p>
            <w:pPr>
              <w:spacing w:before="0" w:after="0" w:line="276" w:lineRule="exact"/>
              <w:ind w:left="0" w:firstLine="0"/>
              <w:jc w:val="left"/>
            </w:pPr>
            <w:r>
              <w:t xml:space="preserve">Belle</w:t>
            </w:r>
            <w:r>
              <w:t xml:space="preserve"> </w:t>
            </w:r>
            <w:r>
              <w:t xml:space="preserve">Chasse,</w:t>
            </w:r>
            <w:r>
              <w:t xml:space="preserve"> </w:t>
            </w:r>
            <w:r>
              <w:t xml:space="preserve">LA</w:t>
            </w:r>
            <w:r>
              <w:t xml:space="preserve"> </w:t>
            </w:r>
            <w:r>
              <w:t xml:space="preserve">70037</w:t>
            </w:r>
          </w:p>
          <w:p>
            <w:pPr>
              <w:spacing w:before="0" w:after="0" w:line="276" w:lineRule="exact"/>
              <w:ind w:left="0" w:firstLine="0"/>
              <w:jc w:val="left"/>
            </w:pPr>
            <w:r>
              <w:t xml:space="preserve">Telephone:</w:t>
            </w:r>
            <w:r>
              <w:t xml:space="preserve"> </w:t>
            </w:r>
            <w:r>
              <w:t xml:space="preserve">(504)</w:t>
            </w:r>
            <w:r>
              <w:t xml:space="preserve"> </w:t>
            </w:r>
            <w:r>
              <w:t xml:space="preserve">934</w:t>
              <w:noBreakHyphen/>
              <w:t xml:space="preserve">6630</w:t>
            </w:r>
          </w:p>
          <w:p>
            <w:pPr>
              <w:spacing w:before="0" w:after="0" w:line="276" w:lineRule="exact"/>
              <w:ind w:left="0" w:firstLine="0"/>
              <w:jc w:val="left"/>
            </w:pPr>
            <w:r>
              <w:t xml:space="preserve">charlesballay@25thda.org</w:t>
            </w:r>
          </w:p>
        </w:tc>
      </w:tr>
    </w:tbl>
    <w:p>
      <w:pPr>
        <w:spacing w:before="0" w:after="0" w:line="1" w:lineRule="exact"/>
        <w:sectPr>
          <w:footerReference w:type="default" r:id="rIdXdNone"/>
          <w:pgSz w:w="12240" w:h="20160"/>
          <w:pgMar w:top="216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76" w:after="0" w:line="276" w:lineRule="exact"/>
        <w:ind w:left="0" w:right="720" w:firstLine="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276" w:after="0" w:line="276" w:lineRule="exact"/>
        <w:ind w:left="0" w:right="720" w:firstLine="0"/>
      </w:pPr>
      <w:r>
        <w:t xml:space="preserve">ERRORS</w:t>
      </w:r>
      <w:r>
        <w:t xml:space="preserve">   </w:t>
      </w:r>
      <w:r>
        <w:tab/>
      </w:r>
      <w:r>
        <w:t xml:space="preserve">3</w:t>
      </w:r>
    </w:p>
    <w:p>
      <w:pPr>
        <w:keepLines/>
        <w:tabs>
          <w:tab w:val="right" w:leader="dot" w:pos="9360"/>
        </w:tabs>
        <w:spacing w:before="276" w:after="0" w:line="276" w:lineRule="exact"/>
        <w:ind w:left="0" w:right="720" w:firstLine="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3</w:t>
      </w:r>
    </w:p>
    <w:p>
      <w:pPr>
        <w:keepLines/>
        <w:tabs>
          <w:tab w:val="right" w:leader="dot" w:pos="9360"/>
        </w:tabs>
        <w:spacing w:before="276" w:after="0" w:line="276" w:lineRule="exact"/>
        <w:ind w:left="0" w:right="720" w:firstLine="0"/>
      </w:pPr>
      <w:r>
        <w:t xml:space="preserve">ARGUMENT</w:t>
      </w:r>
      <w:r>
        <w:t xml:space="preserve">   </w:t>
      </w:r>
      <w:r>
        <w:tab/>
      </w:r>
      <w:r>
        <w:t xml:space="preserve">5</w:t>
      </w:r>
    </w:p>
    <w:p>
      <w:pPr>
        <w:keepLines/>
        <w:tabs>
          <w:tab w:val="right" w:leader="dot" w:pos="9360"/>
        </w:tabs>
        <w:spacing w:before="276" w:after="0" w:line="276" w:lineRule="exact"/>
        <w:ind w:left="0" w:right="720" w:firstLine="0"/>
      </w:pPr>
      <w:r>
        <w:t xml:space="preserve">I.</w:t>
      </w:r>
      <w:r>
        <w:t xml:space="preserve"> </w:t>
      </w:r>
      <w:r>
        <w:t xml:space="preserve">NEW</w:t>
      </w:r>
      <w:r>
        <w:t xml:space="preserve"> </w:t>
      </w:r>
      <w:r>
        <w:t xml:space="preserve">PROCEDURAL</w:t>
      </w:r>
      <w:r>
        <w:t xml:space="preserve"> </w:t>
      </w:r>
      <w:r>
        <w:t xml:space="preserve">RULES</w:t>
      </w:r>
      <w:r>
        <w:t xml:space="preserve"> </w:t>
      </w:r>
      <w:r>
        <w:t xml:space="preserve">NEVER</w:t>
      </w:r>
      <w:r>
        <w:t xml:space="preserve"> </w:t>
      </w:r>
      <w:r>
        <w:t xml:space="preserve">APPLY</w:t>
      </w:r>
      <w:r>
        <w:t xml:space="preserve"> </w:t>
      </w:r>
      <w:r>
        <w:t xml:space="preserve">RETROACTIVELY</w:t>
      </w:r>
      <w:r>
        <w:t xml:space="preserve">   </w:t>
      </w:r>
      <w:r>
        <w:tab/>
      </w:r>
      <w:r>
        <w:t xml:space="preserve">5</w:t>
      </w:r>
    </w:p>
    <w:p>
      <w:pPr>
        <w:keepLines/>
        <w:tabs>
          <w:tab w:val="right" w:leader="dot" w:pos="9360"/>
        </w:tabs>
        <w:spacing w:before="276" w:after="0" w:line="276" w:lineRule="exact"/>
        <w:ind w:left="0" w:right="720" w:firstLine="0"/>
      </w:pPr>
      <w:r>
        <w:t xml:space="preserve">A.</w:t>
      </w:r>
      <w:r>
        <w:t xml:space="preserve"> </w:t>
      </w:r>
      <w:r>
        <w:t xml:space="preserve">In</w:t>
      </w:r>
      <w:r>
        <w:t xml:space="preserve"> </w:t>
      </w:r>
      <w:r>
        <w:t xml:space="preserve">Federal</w:t>
      </w:r>
      <w:r>
        <w:t xml:space="preserve"> </w:t>
      </w:r>
      <w:r>
        <w:t xml:space="preserve">Habeas</w:t>
      </w:r>
      <w:r>
        <w:t xml:space="preserve"> </w:t>
      </w:r>
      <w:r>
        <w:t xml:space="preserve">Cases,</w:t>
      </w:r>
      <w:r>
        <w:t xml:space="preserve"> </w:t>
      </w:r>
      <w:r>
        <w:t xml:space="preserve">the</w:t>
      </w:r>
      <w:r>
        <w:t xml:space="preserve"> </w:t>
      </w:r>
      <w:r>
        <w:t xml:space="preserve">Watershed</w:t>
      </w:r>
      <w:r>
        <w:t xml:space="preserve"> </w:t>
      </w:r>
      <w:r>
        <w:t xml:space="preserve">Exception</w:t>
      </w:r>
      <w:r>
        <w:t xml:space="preserve"> </w:t>
      </w:r>
      <w:r>
        <w:t xml:space="preserve">Is</w:t>
      </w:r>
      <w:r>
        <w:t xml:space="preserve"> </w:t>
      </w:r>
      <w:r>
        <w:t xml:space="preserve">“Moribund”</w:t>
      </w:r>
      <w:r>
        <w:t xml:space="preserve">   </w:t>
      </w:r>
      <w:r>
        <w:tab/>
      </w:r>
      <w:r>
        <w:t xml:space="preserve">5</w:t>
      </w:r>
    </w:p>
    <w:p>
      <w:pPr>
        <w:keepLines/>
        <w:tabs>
          <w:tab w:val="right" w:leader="dot" w:pos="9360"/>
        </w:tabs>
        <w:spacing w:before="276" w:after="0" w:line="276" w:lineRule="exact"/>
        <w:ind w:left="0" w:right="720" w:firstLine="0"/>
      </w:pPr>
      <w:r>
        <w:t xml:space="preserve">B.</w:t>
      </w:r>
      <w:r>
        <w:t xml:space="preserve"> </w:t>
      </w:r>
      <w:r>
        <w:t xml:space="preserve">Since</w:t>
      </w:r>
      <w:r>
        <w:t xml:space="preserve"> </w:t>
      </w:r>
      <w:r>
        <w:t xml:space="preserve">Adopting</w:t>
      </w:r>
      <w:r>
        <w:t xml:space="preserve"> </w:t>
      </w:r>
      <w:r>
        <w:t xml:space="preserve">Teague,</w:t>
      </w:r>
      <w:r>
        <w:t xml:space="preserve"> </w:t>
      </w:r>
      <w:r>
        <w:t xml:space="preserve">This</w:t>
      </w:r>
      <w:r>
        <w:t xml:space="preserve"> </w:t>
      </w:r>
      <w:r>
        <w:t xml:space="preserve">Court</w:t>
      </w:r>
      <w:r>
        <w:t xml:space="preserve"> </w:t>
      </w:r>
      <w:r>
        <w:t xml:space="preserve">Has</w:t>
      </w:r>
      <w:r>
        <w:t xml:space="preserve"> </w:t>
      </w:r>
      <w:r>
        <w:t xml:space="preserve">Never</w:t>
      </w:r>
      <w:r>
        <w:t xml:space="preserve"> </w:t>
      </w:r>
      <w:r>
        <w:t xml:space="preserve">Applied</w:t>
      </w:r>
      <w:r>
        <w:t xml:space="preserve"> </w:t>
      </w:r>
      <w:r>
        <w:t xml:space="preserve">a</w:t>
      </w:r>
      <w:r>
        <w:t xml:space="preserve"> </w:t>
      </w:r>
      <w:r>
        <w:t xml:space="preserve">New</w:t>
      </w:r>
      <w:r>
        <w:t xml:space="preserve"> </w:t>
      </w:r>
      <w:r>
        <w:t xml:space="preserve">Procedural</w:t>
      </w:r>
      <w:r>
        <w:t xml:space="preserve"> </w:t>
      </w:r>
      <w:r>
        <w:t xml:space="preserve">Rule</w:t>
      </w:r>
      <w:r>
        <w:t xml:space="preserve"> </w:t>
      </w:r>
      <w:r>
        <w:t xml:space="preserve">Retroactively</w:t>
      </w:r>
      <w:r>
        <w:t xml:space="preserve">   </w:t>
      </w:r>
      <w:r>
        <w:tab/>
      </w:r>
      <w:r>
        <w:t xml:space="preserve">9</w:t>
      </w:r>
    </w:p>
    <w:p>
      <w:pPr>
        <w:keepLines/>
        <w:tabs>
          <w:tab w:val="right" w:leader="dot" w:pos="9360"/>
        </w:tabs>
        <w:spacing w:before="276" w:after="0" w:line="276" w:lineRule="exact"/>
        <w:ind w:left="0" w:right="720" w:firstLine="0"/>
      </w:pPr>
      <w:r>
        <w:t xml:space="preserve">C.</w:t>
      </w:r>
      <w:r>
        <w:t xml:space="preserve"> </w:t>
      </w:r>
      <w:r>
        <w:t xml:space="preserve">This</w:t>
      </w:r>
      <w:r>
        <w:t xml:space="preserve"> </w:t>
      </w:r>
      <w:r>
        <w:t xml:space="preserve">Court</w:t>
      </w:r>
      <w:r>
        <w:t xml:space="preserve"> </w:t>
      </w:r>
      <w:r>
        <w:t xml:space="preserve">Should</w:t>
      </w:r>
      <w:r>
        <w:t xml:space="preserve"> </w:t>
      </w:r>
      <w:r>
        <w:t xml:space="preserve">Hold</w:t>
      </w:r>
      <w:r>
        <w:t xml:space="preserve"> </w:t>
      </w:r>
      <w:r>
        <w:t xml:space="preserve">the</w:t>
      </w:r>
      <w:r>
        <w:t xml:space="preserve"> </w:t>
      </w:r>
      <w:r>
        <w:t xml:space="preserve">Watershed</w:t>
      </w:r>
      <w:r>
        <w:t xml:space="preserve"> </w:t>
      </w:r>
      <w:r>
        <w:t xml:space="preserve">Exception</w:t>
      </w:r>
      <w:r>
        <w:t xml:space="preserve"> </w:t>
      </w:r>
      <w:r>
        <w:t xml:space="preserve">Is</w:t>
      </w:r>
      <w:r>
        <w:t xml:space="preserve"> </w:t>
      </w:r>
      <w:r>
        <w:t xml:space="preserve">“Moribund”</w:t>
      </w:r>
      <w:r>
        <w:t xml:space="preserve"> </w:t>
      </w:r>
      <w:r>
        <w:t xml:space="preserve">for</w:t>
      </w:r>
      <w:r>
        <w:t xml:space="preserve"> </w:t>
      </w:r>
      <w:r>
        <w:t xml:space="preserve">State</w:t>
      </w:r>
      <w:r>
        <w:t xml:space="preserve"> </w:t>
      </w:r>
      <w:r>
        <w:t xml:space="preserve">Collateral</w:t>
      </w:r>
      <w:r>
        <w:t xml:space="preserve"> </w:t>
      </w:r>
      <w:r>
        <w:t xml:space="preserve">Review</w:t>
      </w:r>
      <w:r>
        <w:t xml:space="preserve">   </w:t>
      </w:r>
      <w:r>
        <w:tab/>
      </w:r>
      <w:r>
        <w:t xml:space="preserve">10</w:t>
      </w:r>
    </w:p>
    <w:p>
      <w:pPr>
        <w:keepLines/>
        <w:tabs>
          <w:tab w:val="right" w:leader="dot" w:pos="9360"/>
        </w:tabs>
        <w:spacing w:before="276" w:after="0" w:line="276" w:lineRule="exact"/>
        <w:ind w:left="0" w:right="720" w:firstLine="0"/>
      </w:pPr>
      <w:r>
        <w:t xml:space="preserve">II.</w:t>
      </w:r>
      <w:r>
        <w:t xml:space="preserve"> </w:t>
      </w:r>
      <w:r>
        <w:t xml:space="preserve">RAMOS</w:t>
      </w:r>
      <w:r>
        <w:t xml:space="preserve"> </w:t>
      </w:r>
      <w:r>
        <w:t xml:space="preserve">DID</w:t>
      </w:r>
      <w:r>
        <w:t xml:space="preserve"> </w:t>
      </w:r>
      <w:r>
        <w:t xml:space="preserve">NOT</w:t>
      </w:r>
      <w:r>
        <w:t xml:space="preserve"> </w:t>
      </w:r>
      <w:r>
        <w:t xml:space="preserve">ANNOUNCE</w:t>
      </w:r>
      <w:r>
        <w:t xml:space="preserve"> </w:t>
      </w:r>
      <w:r>
        <w:t xml:space="preserve">A</w:t>
      </w:r>
      <w:r>
        <w:t xml:space="preserve"> </w:t>
      </w:r>
      <w:r>
        <w:t xml:space="preserve">WATERSHED</w:t>
      </w:r>
      <w:r>
        <w:t xml:space="preserve"> </w:t>
      </w:r>
      <w:r>
        <w:t xml:space="preserve">PROCEDURAL</w:t>
      </w:r>
      <w:r>
        <w:t xml:space="preserve"> </w:t>
      </w:r>
      <w:r>
        <w:t xml:space="preserve">RULE</w:t>
      </w:r>
      <w:r>
        <w:t xml:space="preserve">   </w:t>
      </w:r>
      <w:r>
        <w:tab/>
      </w:r>
      <w:r>
        <w:t xml:space="preserve">12</w:t>
      </w:r>
    </w:p>
    <w:p>
      <w:pPr>
        <w:keepLines/>
        <w:tabs>
          <w:tab w:val="right" w:leader="dot" w:pos="9360"/>
        </w:tabs>
        <w:spacing w:before="276" w:after="0" w:line="276" w:lineRule="exact"/>
        <w:ind w:left="0" w:right="720" w:firstLine="0"/>
      </w:pPr>
      <w:r>
        <w:t xml:space="preserve">A.</w:t>
      </w:r>
      <w:r>
        <w:t xml:space="preserve"> </w:t>
      </w:r>
      <w:r>
        <w:t xml:space="preserve">Edwards</w:t>
      </w:r>
      <w:r>
        <w:t xml:space="preserve"> </w:t>
      </w:r>
      <w:r>
        <w:t xml:space="preserve">Correctly</w:t>
      </w:r>
      <w:r>
        <w:t xml:space="preserve"> </w:t>
      </w:r>
      <w:r>
        <w:t xml:space="preserve">Concluded</w:t>
      </w:r>
      <w:r>
        <w:t xml:space="preserve"> </w:t>
      </w:r>
      <w:r>
        <w:t xml:space="preserve">Ramos</w:t>
      </w:r>
      <w:r>
        <w:t xml:space="preserve"> </w:t>
      </w:r>
      <w:r>
        <w:t xml:space="preserve">Is</w:t>
      </w:r>
      <w:r>
        <w:t xml:space="preserve"> </w:t>
      </w:r>
      <w:r>
        <w:t xml:space="preserve">Not</w:t>
      </w:r>
      <w:r>
        <w:t xml:space="preserve"> </w:t>
      </w:r>
      <w:r>
        <w:t xml:space="preserve">a</w:t>
      </w:r>
      <w:r>
        <w:t xml:space="preserve"> </w:t>
      </w:r>
      <w:r>
        <w:t xml:space="preserve">Watershed</w:t>
      </w:r>
      <w:r>
        <w:t xml:space="preserve"> </w:t>
      </w:r>
      <w:r>
        <w:t xml:space="preserve">Rule</w:t>
      </w:r>
      <w:r>
        <w:t xml:space="preserve">   </w:t>
      </w:r>
      <w:r>
        <w:tab/>
      </w:r>
      <w:r>
        <w:t xml:space="preserve">12</w:t>
      </w:r>
    </w:p>
    <w:p>
      <w:pPr>
        <w:keepLines/>
        <w:tabs>
          <w:tab w:val="right" w:leader="dot" w:pos="9360"/>
        </w:tabs>
        <w:spacing w:before="276" w:after="0" w:line="276" w:lineRule="exact"/>
        <w:ind w:left="0" w:right="720" w:firstLine="0"/>
      </w:pPr>
      <w:r>
        <w:t xml:space="preserve">B.</w:t>
      </w:r>
      <w:r>
        <w:t xml:space="preserve"> </w:t>
      </w:r>
      <w:r>
        <w:t xml:space="preserve">Non-unanimity</w:t>
      </w:r>
      <w:r>
        <w:t xml:space="preserve"> </w:t>
      </w:r>
      <w:r>
        <w:t xml:space="preserve">Does</w:t>
      </w:r>
      <w:r>
        <w:t xml:space="preserve"> </w:t>
      </w:r>
      <w:r>
        <w:t xml:space="preserve">Not</w:t>
      </w:r>
      <w:r>
        <w:t xml:space="preserve"> </w:t>
      </w:r>
      <w:r>
        <w:t xml:space="preserve">“Seriously</w:t>
      </w:r>
      <w:r>
        <w:t xml:space="preserve"> </w:t>
      </w:r>
      <w:r>
        <w:t xml:space="preserve">Diminish”</w:t>
      </w:r>
      <w:r>
        <w:t xml:space="preserve"> </w:t>
      </w:r>
      <w:r>
        <w:t xml:space="preserve">Accuracy</w:t>
      </w:r>
      <w:r>
        <w:t xml:space="preserve">   </w:t>
      </w:r>
      <w:r>
        <w:tab/>
      </w:r>
      <w:r>
        <w:t xml:space="preserve">13</w:t>
      </w:r>
    </w:p>
    <w:p>
      <w:pPr>
        <w:keepLines/>
        <w:tabs>
          <w:tab w:val="right" w:leader="dot" w:pos="9360"/>
        </w:tabs>
        <w:spacing w:before="276" w:after="0" w:line="276" w:lineRule="exact"/>
        <w:ind w:left="0" w:right="720" w:firstLine="0"/>
      </w:pPr>
      <w:r>
        <w:t xml:space="preserve">C.</w:t>
      </w:r>
      <w:r>
        <w:t xml:space="preserve"> </w:t>
      </w:r>
      <w:r>
        <w:t xml:space="preserve">Unanimity</w:t>
      </w:r>
      <w:r>
        <w:t xml:space="preserve"> </w:t>
      </w:r>
      <w:r>
        <w:t xml:space="preserve">Is</w:t>
      </w:r>
      <w:r>
        <w:t xml:space="preserve"> </w:t>
      </w:r>
      <w:r>
        <w:t xml:space="preserve">Not</w:t>
      </w:r>
      <w:r>
        <w:t xml:space="preserve"> </w:t>
      </w:r>
      <w:r>
        <w:t xml:space="preserve">a</w:t>
      </w:r>
      <w:r>
        <w:t xml:space="preserve"> </w:t>
      </w:r>
      <w:r>
        <w:t xml:space="preserve">Previously</w:t>
      </w:r>
      <w:r>
        <w:t xml:space="preserve"> </w:t>
      </w:r>
      <w:r>
        <w:t xml:space="preserve">Unrecognized</w:t>
      </w:r>
      <w:r>
        <w:t xml:space="preserve"> </w:t>
      </w:r>
      <w:r>
        <w:t xml:space="preserve">Bedrock</w:t>
      </w:r>
      <w:r>
        <w:t xml:space="preserve"> </w:t>
      </w:r>
      <w:r>
        <w:t xml:space="preserve">Rule</w:t>
      </w:r>
      <w:r>
        <w:t xml:space="preserve">   </w:t>
      </w:r>
      <w:r>
        <w:tab/>
      </w:r>
      <w:r>
        <w:t xml:space="preserve">18</w:t>
      </w:r>
    </w:p>
    <w:p>
      <w:pPr>
        <w:keepLines/>
        <w:tabs>
          <w:tab w:val="right" w:leader="dot" w:pos="9360"/>
        </w:tabs>
        <w:spacing w:before="276" w:after="0" w:line="276" w:lineRule="exact"/>
        <w:ind w:left="0" w:right="720" w:firstLine="0"/>
      </w:pPr>
      <w:r>
        <w:t xml:space="preserve">III.</w:t>
      </w:r>
      <w:r>
        <w:t xml:space="preserve"> </w:t>
      </w:r>
      <w:r>
        <w:t xml:space="preserve">THE</w:t>
      </w:r>
      <w:r>
        <w:t xml:space="preserve"> </w:t>
      </w:r>
      <w:r>
        <w:t xml:space="preserve">STATE’S</w:t>
      </w:r>
      <w:r>
        <w:t xml:space="preserve"> </w:t>
      </w:r>
      <w:r>
        <w:t xml:space="preserve">FINALITY</w:t>
      </w:r>
      <w:r>
        <w:t xml:space="preserve"> </w:t>
      </w:r>
      <w:r>
        <w:t xml:space="preserve">INTERESTS</w:t>
      </w:r>
      <w:r>
        <w:t xml:space="preserve"> </w:t>
      </w:r>
      <w:r>
        <w:t xml:space="preserve">ARE</w:t>
      </w:r>
      <w:r>
        <w:t xml:space="preserve"> </w:t>
      </w:r>
      <w:r>
        <w:t xml:space="preserve">OVERWHELMING</w:t>
      </w:r>
      <w:r>
        <w:t xml:space="preserve">   </w:t>
      </w:r>
      <w:r>
        <w:tab/>
      </w:r>
      <w:r>
        <w:t xml:space="preserve">18</w:t>
      </w:r>
    </w:p>
    <w:p>
      <w:pPr>
        <w:keepLines/>
        <w:tabs>
          <w:tab w:val="right" w:leader="dot" w:pos="9360"/>
        </w:tabs>
        <w:spacing w:before="276" w:after="0" w:line="276" w:lineRule="exact"/>
        <w:ind w:left="0" w:right="720" w:firstLine="0"/>
      </w:pPr>
      <w:r>
        <w:t xml:space="preserve">A.</w:t>
      </w:r>
      <w:r>
        <w:t xml:space="preserve"> </w:t>
      </w:r>
      <w:r>
        <w:t xml:space="preserve">Applying</w:t>
      </w:r>
      <w:r>
        <w:t xml:space="preserve"> </w:t>
      </w:r>
      <w:r>
        <w:t xml:space="preserve">Ramos</w:t>
      </w:r>
      <w:r>
        <w:t xml:space="preserve"> </w:t>
      </w:r>
      <w:r>
        <w:t xml:space="preserve">Retroactively</w:t>
      </w:r>
      <w:r>
        <w:t xml:space="preserve"> </w:t>
      </w:r>
      <w:r>
        <w:t xml:space="preserve">Could</w:t>
      </w:r>
      <w:r>
        <w:t xml:space="preserve"> </w:t>
      </w:r>
      <w:r>
        <w:t xml:space="preserve">Overwhelm</w:t>
      </w:r>
      <w:r>
        <w:t xml:space="preserve"> </w:t>
      </w:r>
      <w:r>
        <w:t xml:space="preserve">the</w:t>
      </w:r>
      <w:r>
        <w:t xml:space="preserve"> </w:t>
      </w:r>
      <w:r>
        <w:t xml:space="preserve">Justice</w:t>
      </w:r>
      <w:r>
        <w:t xml:space="preserve"> </w:t>
      </w:r>
      <w:r>
        <w:t xml:space="preserve">System</w:t>
      </w:r>
      <w:r>
        <w:t xml:space="preserve">   </w:t>
      </w:r>
      <w:r>
        <w:tab/>
      </w:r>
      <w:r>
        <w:t xml:space="preserve">18</w:t>
      </w:r>
    </w:p>
    <w:p>
      <w:pPr>
        <w:keepLines/>
        <w:tabs>
          <w:tab w:val="right" w:leader="dot" w:pos="9360"/>
        </w:tabs>
        <w:spacing w:before="276" w:after="0" w:line="276" w:lineRule="exact"/>
        <w:ind w:left="0" w:right="720" w:firstLine="0"/>
      </w:pPr>
      <w:r>
        <w:t xml:space="preserve">B.</w:t>
      </w:r>
      <w:r>
        <w:t xml:space="preserve"> </w:t>
      </w:r>
      <w:r>
        <w:t xml:space="preserve">The</w:t>
      </w:r>
      <w:r>
        <w:t xml:space="preserve"> </w:t>
      </w:r>
      <w:r>
        <w:t xml:space="preserve">State’s</w:t>
      </w:r>
      <w:r>
        <w:t xml:space="preserve"> </w:t>
      </w:r>
      <w:r>
        <w:t xml:space="preserve">Interests</w:t>
      </w:r>
      <w:r>
        <w:t xml:space="preserve"> </w:t>
      </w:r>
      <w:r>
        <w:t xml:space="preserve">Are</w:t>
      </w:r>
      <w:r>
        <w:t xml:space="preserve"> </w:t>
      </w:r>
      <w:r>
        <w:t xml:space="preserve">Untainted</w:t>
      </w:r>
      <w:r>
        <w:t xml:space="preserve"> </w:t>
      </w:r>
      <w:r>
        <w:t xml:space="preserve">by</w:t>
      </w:r>
      <w:r>
        <w:t xml:space="preserve"> </w:t>
      </w:r>
      <w:r>
        <w:t xml:space="preserve">Race</w:t>
      </w:r>
      <w:r>
        <w:t xml:space="preserve"> </w:t>
      </w:r>
      <w:r>
        <w:t xml:space="preserve">Discrimination</w:t>
      </w:r>
      <w:r>
        <w:t xml:space="preserve">   </w:t>
      </w:r>
      <w:r>
        <w:tab/>
      </w:r>
      <w:r>
        <w:t xml:space="preserve">20</w:t>
      </w:r>
    </w:p>
    <w:p>
      <w:pPr>
        <w:keepLines/>
        <w:tabs>
          <w:tab w:val="right" w:leader="dot" w:pos="9360"/>
        </w:tabs>
        <w:spacing w:before="276" w:after="0" w:line="276" w:lineRule="exact"/>
        <w:ind w:left="0" w:right="720" w:firstLine="0"/>
      </w:pPr>
      <w:r>
        <w:t xml:space="preserve">CONCLUSION</w:t>
      </w:r>
      <w:r>
        <w:t xml:space="preserve">   </w:t>
      </w:r>
      <w:r>
        <w:tab/>
      </w:r>
      <w:r>
        <w:t xml:space="preserve">23</w:t>
      </w:r>
    </w:p>
    <w:p>
      <w:pPr>
        <w:pageBreakBefore/>
        <w:spacing w:before="0" w:after="0" w:line="1" w:lineRule="exact"/>
      </w:pPr>
    </w:p>
    <w:p>
      <w:pPr>
        <w:keepNext/>
        <w:keepLines/>
        <w:spacing w:before="0"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2040" w:hanging="576"/>
      </w:pPr>
      <w:r>
        <w:rPr>
          <w:i/>
          <w:iCs/>
        </w:rPr>
        <w:t xml:space="preserve">Allen</w:t>
      </w:r>
      <w:r>
        <w:rPr>
          <w:i/>
          <w:iCs/>
        </w:rPr>
        <w:t xml:space="preserve"> </w:t>
      </w:r>
      <w:r>
        <w:rPr>
          <w:i/>
          <w:iCs/>
        </w:rPr>
        <w:t xml:space="preserve">v.</w:t>
      </w:r>
      <w:r>
        <w:rPr>
          <w:i/>
          <w:iCs/>
        </w:rPr>
        <w:t xml:space="preserve"> </w:t>
      </w:r>
      <w:r>
        <w:rPr>
          <w:i/>
          <w:iCs/>
        </w:rPr>
        <w:t xml:space="preserve">Hardy</w:t>
      </w:r>
      <w:r>
        <w:t xml:space="preserve"> </w:t>
      </w:r>
      <w:r>
        <w:t xml:space="preserve">478</w:t>
      </w:r>
      <w:r>
        <w:t xml:space="preserve"> </w:t>
      </w:r>
      <w:r>
        <w:t xml:space="preserve">U.S.</w:t>
      </w:r>
      <w:r>
        <w:t xml:space="preserve"> </w:t>
      </w:r>
      <w:r>
        <w:t xml:space="preserve">255</w:t>
      </w:r>
      <w:r>
        <w:t xml:space="preserve"> </w:t>
      </w:r>
      <w:r>
        <w:t xml:space="preserve">(1986)</w:t>
      </w:r>
      <w:r>
        <w:t xml:space="preserve">   </w:t>
      </w:r>
      <w:r>
        <w:tab/>
      </w:r>
      <w:r>
        <w:t xml:space="preserve">12, 14, 15, 18, 19, 21</w:t>
      </w:r>
    </w:p>
    <w:p>
      <w:pPr>
        <w:keepLines/>
        <w:tabs>
          <w:tab w:val="right" w:leader="dot" w:pos="9360"/>
        </w:tabs>
        <w:spacing w:before="144" w:after="0" w:line="276" w:lineRule="exact"/>
        <w:ind w:left="576" w:right="1120" w:hanging="576"/>
      </w:pPr>
      <w:r>
        <w:rPr>
          <w:i/>
          <w:iCs/>
        </w:rPr>
        <w:t xml:space="preserve">Apodaca</w:t>
      </w:r>
      <w:r>
        <w:rPr>
          <w:i/>
          <w:iCs/>
        </w:rPr>
        <w:t xml:space="preserve"> </w:t>
      </w:r>
      <w:r>
        <w:rPr>
          <w:i/>
          <w:iCs/>
        </w:rPr>
        <w:t xml:space="preserve">v.</w:t>
      </w:r>
      <w:r>
        <w:rPr>
          <w:i/>
          <w:iCs/>
        </w:rPr>
        <w:t xml:space="preserve"> </w:t>
      </w:r>
      <w:r>
        <w:rPr>
          <w:i/>
          <w:iCs/>
        </w:rPr>
        <w:t xml:space="preserve">Oregon</w:t>
      </w:r>
      <w:r>
        <w:t xml:space="preserve"> </w:t>
      </w:r>
      <w:r>
        <w:t xml:space="preserve">406</w:t>
      </w:r>
      <w:r>
        <w:t xml:space="preserve"> </w:t>
      </w:r>
      <w:r>
        <w:t xml:space="preserve">U.S.</w:t>
      </w:r>
      <w:r>
        <w:t xml:space="preserve"> </w:t>
      </w:r>
      <w:r>
        <w:t xml:space="preserve">404</w:t>
      </w:r>
      <w:r>
        <w:t xml:space="preserve"> </w:t>
      </w:r>
      <w:r>
        <w:t xml:space="preserve">(1972)</w:t>
      </w:r>
      <w:r>
        <w:t xml:space="preserve">   </w:t>
      </w:r>
      <w:r>
        <w:tab/>
      </w:r>
      <w:r>
        <w:t xml:space="preserve">4, 13</w:t>
      </w:r>
    </w:p>
    <w:p>
      <w:pPr>
        <w:keepLines/>
        <w:tabs>
          <w:tab w:val="right" w:leader="dot" w:pos="9360"/>
        </w:tabs>
        <w:spacing w:before="144" w:after="0" w:line="276" w:lineRule="exact"/>
        <w:ind w:left="576" w:right="1120" w:hanging="576"/>
      </w:pPr>
      <w:r>
        <w:rPr>
          <w:i/>
          <w:iCs/>
        </w:rPr>
        <w:t xml:space="preserve">Batson</w:t>
      </w:r>
      <w:r>
        <w:rPr>
          <w:i/>
          <w:iCs/>
        </w:rPr>
        <w:t xml:space="preserve"> </w:t>
      </w:r>
      <w:r>
        <w:rPr>
          <w:i/>
          <w:iCs/>
        </w:rPr>
        <w:t xml:space="preserve">v.</w:t>
      </w:r>
      <w:r>
        <w:rPr>
          <w:i/>
          <w:iCs/>
        </w:rPr>
        <w:t xml:space="preserve"> </w:t>
      </w:r>
      <w:r>
        <w:rPr>
          <w:i/>
          <w:iCs/>
        </w:rPr>
        <w:t xml:space="preserve">Kentucky</w:t>
      </w:r>
      <w:r>
        <w:t xml:space="preserve"> </w:t>
      </w:r>
      <w:r>
        <w:t xml:space="preserve">476</w:t>
      </w:r>
      <w:r>
        <w:t xml:space="preserve"> </w:t>
      </w:r>
      <w:r>
        <w:t xml:space="preserve">U.S.</w:t>
      </w:r>
      <w:r>
        <w:t xml:space="preserve"> </w:t>
      </w:r>
      <w:r>
        <w:t xml:space="preserve">79</w:t>
      </w:r>
      <w:r>
        <w:t xml:space="preserve"> </w:t>
      </w:r>
      <w:r>
        <w:t xml:space="preserve">(1986)</w:t>
      </w:r>
      <w:r>
        <w:t xml:space="preserve">   </w:t>
      </w:r>
      <w:r>
        <w:tab/>
      </w:r>
      <w:r>
        <w:t xml:space="preserve">4, 12</w:t>
      </w:r>
    </w:p>
    <w:p>
      <w:pPr>
        <w:keepLines/>
        <w:tabs>
          <w:tab w:val="right" w:leader="dot" w:pos="9360"/>
        </w:tabs>
        <w:spacing w:before="144" w:after="0" w:line="276" w:lineRule="exact"/>
        <w:ind w:left="576" w:right="1120" w:hanging="576"/>
      </w:pPr>
      <w:r>
        <w:rPr>
          <w:i/>
          <w:iCs/>
        </w:rPr>
        <w:t xml:space="preserve">Beard</w:t>
      </w:r>
      <w:r>
        <w:rPr>
          <w:i/>
          <w:iCs/>
        </w:rPr>
        <w:t xml:space="preserve"> </w:t>
      </w:r>
      <w:r>
        <w:rPr>
          <w:i/>
          <w:iCs/>
        </w:rPr>
        <w:t xml:space="preserve">v.</w:t>
      </w:r>
      <w:r>
        <w:rPr>
          <w:i/>
          <w:iCs/>
        </w:rPr>
        <w:t xml:space="preserve"> </w:t>
      </w:r>
      <w:r>
        <w:rPr>
          <w:i/>
          <w:iCs/>
        </w:rPr>
        <w:t xml:space="preserve">Banks</w:t>
      </w:r>
      <w:r>
        <w:t xml:space="preserve"> </w:t>
      </w:r>
      <w:r>
        <w:t xml:space="preserve">542</w:t>
      </w:r>
      <w:r>
        <w:t xml:space="preserve"> </w:t>
      </w:r>
      <w:r>
        <w:t xml:space="preserve">U.S.</w:t>
      </w:r>
      <w:r>
        <w:t xml:space="preserve"> </w:t>
      </w:r>
      <w:r>
        <w:t xml:space="preserve">406</w:t>
      </w:r>
      <w:r>
        <w:t xml:space="preserve"> </w:t>
      </w:r>
      <w:r>
        <w:t xml:space="preserve">(2004)</w:t>
      </w:r>
      <w:r>
        <w:t xml:space="preserve">   </w:t>
      </w:r>
      <w:r>
        <w:tab/>
      </w:r>
      <w:r>
        <w:t xml:space="preserve">6, 7, 11</w:t>
      </w:r>
    </w:p>
    <w:p>
      <w:pPr>
        <w:keepLines/>
        <w:tabs>
          <w:tab w:val="right" w:leader="dot" w:pos="9360"/>
        </w:tabs>
        <w:spacing w:before="144" w:after="0" w:line="276" w:lineRule="exact"/>
        <w:ind w:left="576" w:right="1120" w:hanging="576"/>
      </w:pPr>
      <w:r>
        <w:rPr>
          <w:i/>
          <w:iCs/>
        </w:rPr>
        <w:t xml:space="preserve">Bousley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523</w:t>
      </w:r>
      <w:r>
        <w:t xml:space="preserve"> </w:t>
      </w:r>
      <w:r>
        <w:t xml:space="preserve">U.S.</w:t>
      </w:r>
      <w:r>
        <w:t xml:space="preserve"> </w:t>
      </w:r>
      <w:r>
        <w:t xml:space="preserve">614</w:t>
      </w:r>
      <w:r>
        <w:t xml:space="preserve"> </w:t>
      </w:r>
      <w:r>
        <w:t xml:space="preserve">(1998)</w:t>
      </w:r>
      <w:r>
        <w:t xml:space="preserve">   </w:t>
      </w:r>
      <w:r>
        <w:tab/>
      </w:r>
      <w:r>
        <w:t xml:space="preserve">6, 15</w:t>
      </w:r>
    </w:p>
    <w:p>
      <w:pPr>
        <w:keepLines/>
        <w:tabs>
          <w:tab w:val="right" w:leader="dot" w:pos="9360"/>
        </w:tabs>
        <w:spacing w:before="144" w:after="0" w:line="276" w:lineRule="exact"/>
        <w:ind w:left="576" w:right="1120" w:hanging="576"/>
      </w:pPr>
      <w:r>
        <w:rPr>
          <w:i/>
          <w:iCs/>
        </w:rPr>
        <w:t xml:space="preserve">Cage</w:t>
      </w:r>
      <w:r>
        <w:rPr>
          <w:i/>
          <w:iCs/>
        </w:rPr>
        <w:t xml:space="preserve"> </w:t>
      </w:r>
      <w:r>
        <w:rPr>
          <w:i/>
          <w:iCs/>
        </w:rPr>
        <w:t xml:space="preserve">v.</w:t>
      </w:r>
      <w:r>
        <w:rPr>
          <w:i/>
          <w:iCs/>
        </w:rPr>
        <w:t xml:space="preserve"> </w:t>
      </w:r>
      <w:r>
        <w:rPr>
          <w:i/>
          <w:iCs/>
        </w:rPr>
        <w:t xml:space="preserve">Louisiana</w:t>
      </w:r>
      <w:r>
        <w:t xml:space="preserve"> </w:t>
      </w:r>
      <w:r>
        <w:t xml:space="preserve">498</w:t>
      </w:r>
      <w:r>
        <w:t xml:space="preserve"> </w:t>
      </w:r>
      <w:r>
        <w:t xml:space="preserve">U.S.</w:t>
      </w:r>
      <w:r>
        <w:t xml:space="preserve"> </w:t>
      </w:r>
      <w:r>
        <w:t xml:space="preserve">39</w:t>
      </w:r>
      <w:r>
        <w:t xml:space="preserve"> </w:t>
      </w:r>
      <w:r>
        <w:t xml:space="preserve">(1990)</w:t>
      </w:r>
      <w:r>
        <w:t xml:space="preserve">   </w:t>
      </w:r>
      <w:r>
        <w:tab/>
      </w:r>
      <w:r>
        <w:t xml:space="preserve">7, 9</w:t>
      </w:r>
    </w:p>
    <w:p>
      <w:pPr>
        <w:keepLines/>
        <w:tabs>
          <w:tab w:val="right" w:leader="dot" w:pos="9360"/>
        </w:tabs>
        <w:spacing w:before="144" w:after="0" w:line="276" w:lineRule="exact"/>
        <w:ind w:left="576" w:right="1120" w:hanging="576"/>
      </w:pPr>
      <w:r>
        <w:rPr>
          <w:i/>
          <w:iCs/>
        </w:rPr>
        <w:t xml:space="preserve">Caldwell</w:t>
      </w:r>
      <w:r>
        <w:rPr>
          <w:i/>
          <w:iCs/>
        </w:rPr>
        <w:t xml:space="preserve"> </w:t>
      </w:r>
      <w:r>
        <w:rPr>
          <w:i/>
          <w:iCs/>
        </w:rPr>
        <w:t xml:space="preserve">v.</w:t>
      </w:r>
      <w:r>
        <w:rPr>
          <w:i/>
          <w:iCs/>
        </w:rPr>
        <w:t xml:space="preserve"> </w:t>
      </w:r>
      <w:r>
        <w:rPr>
          <w:i/>
          <w:iCs/>
        </w:rPr>
        <w:t xml:space="preserve">Mississippi</w:t>
      </w:r>
      <w:r>
        <w:t xml:space="preserve"> </w:t>
      </w:r>
      <w:r>
        <w:t xml:space="preserve">472</w:t>
      </w:r>
      <w:r>
        <w:t xml:space="preserve"> </w:t>
      </w:r>
      <w:r>
        <w:t xml:space="preserve">U.S.</w:t>
      </w:r>
      <w:r>
        <w:t xml:space="preserve"> </w:t>
      </w:r>
      <w:r>
        <w:t xml:space="preserve">320</w:t>
      </w:r>
      <w:r>
        <w:t xml:space="preserve"> </w:t>
      </w:r>
      <w:r>
        <w:t xml:space="preserve">(1985)</w:t>
      </w:r>
      <w:r>
        <w:t xml:space="preserve">   </w:t>
      </w:r>
      <w:r>
        <w:tab/>
      </w:r>
      <w:r>
        <w:t xml:space="preserve">8</w:t>
      </w:r>
    </w:p>
    <w:p>
      <w:pPr>
        <w:keepLines/>
        <w:tabs>
          <w:tab w:val="right" w:leader="dot" w:pos="9360"/>
        </w:tabs>
        <w:spacing w:before="144" w:after="0" w:line="276" w:lineRule="exact"/>
        <w:ind w:left="576" w:right="1120" w:hanging="576"/>
      </w:pPr>
      <w:r>
        <w:rPr>
          <w:i/>
          <w:iCs/>
        </w:rPr>
        <w:t xml:space="preserve">Cassard</w:t>
      </w:r>
      <w:r>
        <w:rPr>
          <w:i/>
          <w:iCs/>
        </w:rPr>
        <w:t xml:space="preserve"> </w:t>
      </w:r>
      <w:r>
        <w:rPr>
          <w:i/>
          <w:iCs/>
        </w:rPr>
        <w:t xml:space="preserve">v.</w:t>
      </w:r>
      <w:r>
        <w:rPr>
          <w:i/>
          <w:iCs/>
        </w:rPr>
        <w:t xml:space="preserve"> </w:t>
      </w:r>
      <w:r>
        <w:rPr>
          <w:i/>
          <w:iCs/>
        </w:rPr>
        <w:t xml:space="preserve">Vannoy</w:t>
      </w:r>
      <w:r>
        <w:t xml:space="preserve"> </w:t>
      </w:r>
      <w:r>
        <w:t xml:space="preserve">2020</w:t>
        <w:noBreakHyphen/>
        <w:t xml:space="preserve">00020</w:t>
      </w:r>
      <w:r>
        <w:t xml:space="preserve"> </w:t>
      </w:r>
      <w:r>
        <w:t xml:space="preserve">(La.</w:t>
      </w:r>
      <w:r>
        <w:t xml:space="preserve"> </w:t>
      </w:r>
      <w:r>
        <w:t xml:space="preserve">10/6/20),</w:t>
      </w:r>
      <w:r>
        <w:t xml:space="preserve"> </w:t>
      </w:r>
      <w:r>
        <w:t xml:space="preserve">2020 WL 5905099</w:t>
      </w:r>
      <w:r>
        <w:t xml:space="preserve">   </w:t>
      </w:r>
      <w:r>
        <w:tab/>
      </w:r>
      <w:r>
        <w:t xml:space="preserve">19</w:t>
      </w:r>
    </w:p>
    <w:p>
      <w:pPr>
        <w:keepLines/>
        <w:tabs>
          <w:tab w:val="right" w:leader="dot" w:pos="9360"/>
        </w:tabs>
        <w:spacing w:before="144" w:after="0" w:line="276" w:lineRule="exact"/>
        <w:ind w:left="576" w:right="1120" w:hanging="576"/>
      </w:pPr>
      <w:r>
        <w:rPr>
          <w:i/>
          <w:iCs/>
        </w:rPr>
        <w:t xml:space="preserve">Chaidez</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568</w:t>
      </w:r>
      <w:r>
        <w:t xml:space="preserve"> </w:t>
      </w:r>
      <w:r>
        <w:t xml:space="preserve">U.S.</w:t>
      </w:r>
      <w:r>
        <w:t xml:space="preserve"> </w:t>
      </w:r>
      <w:r>
        <w:t xml:space="preserve">342</w:t>
      </w:r>
      <w:r>
        <w:t xml:space="preserve"> </w:t>
      </w:r>
      <w:r>
        <w:t xml:space="preserve">(2013)</w:t>
      </w:r>
      <w:r>
        <w:t xml:space="preserve">   </w:t>
      </w:r>
      <w:r>
        <w:tab/>
      </w:r>
      <w:r>
        <w:t xml:space="preserve">7</w:t>
      </w:r>
    </w:p>
    <w:p>
      <w:pPr>
        <w:keepLines/>
        <w:tabs>
          <w:tab w:val="right" w:leader="dot" w:pos="9360"/>
        </w:tabs>
        <w:spacing w:before="144" w:after="0" w:line="276" w:lineRule="exact"/>
        <w:ind w:left="576" w:right="1120" w:hanging="576"/>
      </w:pPr>
      <w:r>
        <w:rPr>
          <w:i/>
          <w:iCs/>
        </w:rPr>
        <w:t xml:space="preserve">Chen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Hous.</w:t>
      </w:r>
      <w:r>
        <w:t xml:space="preserve"> </w:t>
      </w:r>
      <w:r>
        <w:t xml:space="preserve">206</w:t>
      </w:r>
      <w:r>
        <w:t xml:space="preserve"> </w:t>
      </w:r>
      <w:r>
        <w:t xml:space="preserve">F.3d</w:t>
      </w:r>
      <w:r>
        <w:t xml:space="preserve"> </w:t>
      </w:r>
      <w:r>
        <w:t xml:space="preserve">502</w:t>
      </w:r>
      <w:r>
        <w:t xml:space="preserve"> </w:t>
      </w:r>
      <w:r>
        <w:t xml:space="preserve">(5th</w:t>
      </w:r>
      <w:r>
        <w:t xml:space="preserve"> </w:t>
      </w:r>
      <w:r>
        <w:t xml:space="preserve">Cir.</w:t>
      </w:r>
      <w:r>
        <w:t xml:space="preserve"> </w:t>
      </w:r>
      <w:r>
        <w:t xml:space="preserve">2000)</w:t>
      </w:r>
      <w:r>
        <w:t xml:space="preserve">   </w:t>
      </w:r>
      <w:r>
        <w:tab/>
      </w:r>
      <w:r>
        <w:t xml:space="preserve">21</w:t>
      </w:r>
    </w:p>
    <w:p>
      <w:pPr>
        <w:keepLines/>
        <w:tabs>
          <w:tab w:val="right" w:leader="dot" w:pos="9360"/>
        </w:tabs>
        <w:spacing w:before="144" w:after="0" w:line="276" w:lineRule="exact"/>
        <w:ind w:left="576" w:right="1120" w:hanging="576"/>
      </w:pPr>
      <w:r>
        <w:rPr>
          <w:i/>
          <w:iCs/>
        </w:rPr>
        <w:t xml:space="preserve">Cotton</w:t>
      </w:r>
      <w:r>
        <w:rPr>
          <w:i/>
          <w:iCs/>
        </w:rPr>
        <w:t xml:space="preserve"> </w:t>
      </w:r>
      <w:r>
        <w:rPr>
          <w:i/>
          <w:iCs/>
        </w:rPr>
        <w:t xml:space="preserve">v.</w:t>
      </w:r>
      <w:r>
        <w:rPr>
          <w:i/>
          <w:iCs/>
        </w:rPr>
        <w:t xml:space="preserve"> </w:t>
      </w:r>
      <w:r>
        <w:rPr>
          <w:i/>
          <w:iCs/>
        </w:rPr>
        <w:t xml:space="preserve">Fordice</w:t>
      </w:r>
      <w:r>
        <w:t xml:space="preserve"> </w:t>
      </w:r>
      <w:r>
        <w:t xml:space="preserve">157</w:t>
      </w:r>
      <w:r>
        <w:t xml:space="preserve"> </w:t>
      </w:r>
      <w:r>
        <w:t xml:space="preserve">F.3d</w:t>
      </w:r>
      <w:r>
        <w:t xml:space="preserve"> </w:t>
      </w:r>
      <w:r>
        <w:t xml:space="preserve">388</w:t>
      </w:r>
      <w:r>
        <w:t xml:space="preserve"> </w:t>
      </w:r>
      <w:r>
        <w:t xml:space="preserve">(5th</w:t>
      </w:r>
      <w:r>
        <w:t xml:space="preserve"> </w:t>
      </w:r>
      <w:r>
        <w:t xml:space="preserve">Cir.</w:t>
      </w:r>
      <w:r>
        <w:t xml:space="preserve"> </w:t>
      </w:r>
      <w:r>
        <w:t xml:space="preserve">1998)</w:t>
      </w:r>
      <w:r>
        <w:t xml:space="preserve">   </w:t>
      </w:r>
      <w:r>
        <w:tab/>
      </w:r>
      <w:r>
        <w:t xml:space="preserve">21</w:t>
      </w:r>
    </w:p>
    <w:p>
      <w:pPr>
        <w:keepLines/>
        <w:tabs>
          <w:tab w:val="right" w:leader="dot" w:pos="9360"/>
        </w:tabs>
        <w:spacing w:before="144" w:after="0" w:line="276" w:lineRule="exact"/>
        <w:ind w:left="576" w:right="1120" w:hanging="576"/>
      </w:pPr>
      <w:r>
        <w:rPr>
          <w:i/>
          <w:iCs/>
        </w:rPr>
        <w:t xml:space="preserve">Crawford</w:t>
      </w:r>
      <w:r>
        <w:rPr>
          <w:i/>
          <w:iCs/>
        </w:rPr>
        <w:t xml:space="preserve"> </w:t>
      </w:r>
      <w:r>
        <w:rPr>
          <w:i/>
          <w:iCs/>
        </w:rPr>
        <w:t xml:space="preserve">v.</w:t>
      </w:r>
      <w:r>
        <w:rPr>
          <w:i/>
          <w:iCs/>
        </w:rPr>
        <w:t xml:space="preserve"> </w:t>
      </w:r>
      <w:r>
        <w:rPr>
          <w:i/>
          <w:iCs/>
        </w:rPr>
        <w:t xml:space="preserve">Washington</w:t>
      </w:r>
      <w:r>
        <w:t xml:space="preserve"> </w:t>
      </w:r>
      <w:r>
        <w:t xml:space="preserve">541</w:t>
      </w:r>
      <w:r>
        <w:t xml:space="preserve"> </w:t>
      </w:r>
      <w:r>
        <w:t xml:space="preserve">U.S.</w:t>
      </w:r>
      <w:r>
        <w:t xml:space="preserve"> </w:t>
      </w:r>
      <w:r>
        <w:t xml:space="preserve">36</w:t>
      </w:r>
      <w:r>
        <w:t xml:space="preserve"> </w:t>
      </w:r>
      <w:r>
        <w:t xml:space="preserve">(2004)</w:t>
      </w:r>
      <w:r>
        <w:t xml:space="preserve">   </w:t>
      </w:r>
      <w:r>
        <w:tab/>
      </w:r>
      <w:r>
        <w:t xml:space="preserve">7, 13</w:t>
      </w:r>
    </w:p>
    <w:p>
      <w:pPr>
        <w:keepLines/>
        <w:tabs>
          <w:tab w:val="right" w:leader="dot" w:pos="9360"/>
        </w:tabs>
        <w:spacing w:before="144" w:after="0" w:line="276" w:lineRule="exact"/>
        <w:ind w:left="576" w:right="1120" w:hanging="576"/>
      </w:pPr>
      <w:r>
        <w:rPr>
          <w:i/>
          <w:iCs/>
        </w:rPr>
        <w:t xml:space="preserve">Danforth</w:t>
      </w:r>
      <w:r>
        <w:rPr>
          <w:i/>
          <w:iCs/>
        </w:rPr>
        <w:t xml:space="preserve"> </w:t>
      </w:r>
      <w:r>
        <w:rPr>
          <w:i/>
          <w:iCs/>
        </w:rPr>
        <w:t xml:space="preserve">v.</w:t>
      </w:r>
      <w:r>
        <w:rPr>
          <w:i/>
          <w:iCs/>
        </w:rPr>
        <w:t xml:space="preserve"> </w:t>
      </w:r>
      <w:r>
        <w:rPr>
          <w:i/>
          <w:iCs/>
        </w:rPr>
        <w:t xml:space="preserve">Minnesota</w:t>
      </w:r>
      <w:r>
        <w:t xml:space="preserve"> </w:t>
      </w:r>
      <w:r>
        <w:t xml:space="preserve">552</w:t>
      </w:r>
      <w:r>
        <w:t xml:space="preserve"> </w:t>
      </w:r>
      <w:r>
        <w:t xml:space="preserve">U.S.</w:t>
      </w:r>
      <w:r>
        <w:t xml:space="preserve"> </w:t>
      </w:r>
      <w:r>
        <w:t xml:space="preserve">264</w:t>
      </w:r>
      <w:r>
        <w:t xml:space="preserve"> </w:t>
      </w:r>
      <w:r>
        <w:t xml:space="preserve">(2008)</w:t>
      </w:r>
      <w:r>
        <w:t xml:space="preserve">   </w:t>
      </w:r>
      <w:r>
        <w:tab/>
      </w:r>
      <w:r>
        <w:t xml:space="preserve">6, 9</w:t>
      </w:r>
    </w:p>
    <w:p>
      <w:pPr>
        <w:keepLines/>
        <w:tabs>
          <w:tab w:val="right" w:leader="dot" w:pos="9360"/>
        </w:tabs>
        <w:spacing w:before="144" w:after="0" w:line="276" w:lineRule="exact"/>
        <w:ind w:left="576" w:right="1120" w:hanging="576"/>
      </w:pPr>
      <w:r>
        <w:rPr>
          <w:i/>
          <w:iCs/>
        </w:rPr>
        <w:t xml:space="preserve">Dennis</w:t>
      </w:r>
      <w:r>
        <w:rPr>
          <w:i/>
          <w:iCs/>
        </w:rPr>
        <w:t xml:space="preserve"> </w:t>
      </w:r>
      <w:r>
        <w:rPr>
          <w:i/>
          <w:iCs/>
        </w:rPr>
        <w:t xml:space="preserve">v.</w:t>
      </w:r>
      <w:r>
        <w:rPr>
          <w:i/>
          <w:iCs/>
        </w:rPr>
        <w:t xml:space="preserve"> </w:t>
      </w:r>
      <w:r>
        <w:rPr>
          <w:i/>
          <w:iCs/>
        </w:rPr>
        <w:t xml:space="preserve">Vannoy</w:t>
      </w:r>
      <w:r>
        <w:t xml:space="preserve"> </w:t>
      </w:r>
      <w:r>
        <w:t xml:space="preserve">2019</w:t>
        <w:noBreakHyphen/>
        <w:t xml:space="preserve">01794</w:t>
      </w:r>
      <w:r>
        <w:t xml:space="preserve"> </w:t>
      </w:r>
      <w:r>
        <w:t xml:space="preserve">(La.</w:t>
      </w:r>
      <w:r>
        <w:t xml:space="preserve"> </w:t>
      </w:r>
      <w:r>
        <w:t xml:space="preserve">7/24/20),</w:t>
      </w:r>
      <w:r>
        <w:t xml:space="preserve"> </w:t>
      </w:r>
      <w:r>
        <w:t xml:space="preserve">299</w:t>
      </w:r>
      <w:r>
        <w:t xml:space="preserve"> </w:t>
      </w:r>
      <w:r>
        <w:t xml:space="preserve">So.3d</w:t>
      </w:r>
      <w:r>
        <w:t xml:space="preserve"> </w:t>
      </w:r>
      <w:r>
        <w:t xml:space="preserve">54</w:t>
      </w:r>
      <w:r>
        <w:t xml:space="preserve">   </w:t>
      </w:r>
      <w:r>
        <w:tab/>
      </w:r>
      <w:r>
        <w:t xml:space="preserve">19</w:t>
      </w:r>
    </w:p>
    <w:p>
      <w:pPr>
        <w:keepLines/>
        <w:tabs>
          <w:tab w:val="right" w:leader="dot" w:pos="9360"/>
        </w:tabs>
        <w:spacing w:before="144" w:after="0" w:line="276" w:lineRule="exact"/>
        <w:ind w:left="576" w:right="1120" w:hanging="576"/>
      </w:pPr>
      <w:r>
        <w:rPr>
          <w:i/>
          <w:iCs/>
        </w:rPr>
        <w:t xml:space="preserve">DeStefano</w:t>
      </w:r>
      <w:r>
        <w:rPr>
          <w:i/>
          <w:iCs/>
        </w:rPr>
        <w:t xml:space="preserve"> </w:t>
      </w:r>
      <w:r>
        <w:rPr>
          <w:i/>
          <w:iCs/>
        </w:rPr>
        <w:t xml:space="preserve">v.</w:t>
      </w:r>
      <w:r>
        <w:rPr>
          <w:i/>
          <w:iCs/>
        </w:rPr>
        <w:t xml:space="preserve"> </w:t>
      </w:r>
      <w:r>
        <w:rPr>
          <w:i/>
          <w:iCs/>
        </w:rPr>
        <w:t xml:space="preserve">Woods</w:t>
      </w:r>
      <w:r>
        <w:t xml:space="preserve"> </w:t>
      </w:r>
      <w:r>
        <w:t xml:space="preserve">392</w:t>
      </w:r>
      <w:r>
        <w:t xml:space="preserve"> </w:t>
      </w:r>
      <w:r>
        <w:t xml:space="preserve">U.S.</w:t>
      </w:r>
      <w:r>
        <w:t xml:space="preserve"> </w:t>
      </w:r>
      <w:r>
        <w:t xml:space="preserve">631</w:t>
      </w:r>
      <w:r>
        <w:t xml:space="preserve"> </w:t>
      </w:r>
      <w:r>
        <w:t xml:space="preserve">(1968)</w:t>
      </w:r>
      <w:r>
        <w:t xml:space="preserve">   </w:t>
      </w:r>
      <w:r>
        <w:tab/>
      </w:r>
      <w:r>
        <w:t xml:space="preserve">13, 14, 15</w:t>
      </w:r>
    </w:p>
    <w:p>
      <w:pPr>
        <w:keepLines/>
        <w:tabs>
          <w:tab w:val="right" w:leader="dot" w:pos="9360"/>
        </w:tabs>
        <w:spacing w:before="144" w:after="0" w:line="276" w:lineRule="exact"/>
        <w:ind w:left="576" w:right="1120" w:hanging="576"/>
      </w:pPr>
      <w:r>
        <w:rPr>
          <w:i/>
          <w:iCs/>
        </w:rPr>
        <w:t xml:space="preserve">District</w:t>
      </w:r>
      <w:r>
        <w:rPr>
          <w:i/>
          <w:iCs/>
        </w:rPr>
        <w:t xml:space="preserve"> </w:t>
      </w:r>
      <w:r>
        <w:rPr>
          <w:i/>
          <w:iCs/>
        </w:rPr>
        <w:t xml:space="preserve">Attorney’s</w:t>
      </w:r>
      <w:r>
        <w:rPr>
          <w:i/>
          <w:iCs/>
        </w:rPr>
        <w:t xml:space="preserve"> </w:t>
      </w:r>
      <w:r>
        <w:rPr>
          <w:i/>
          <w:iCs/>
        </w:rPr>
        <w:t xml:space="preserve">Office</w:t>
      </w:r>
      <w:r>
        <w:rPr>
          <w:i/>
          <w:iCs/>
        </w:rPr>
        <w:t xml:space="preserve"> </w:t>
      </w:r>
      <w:r>
        <w:rPr>
          <w:i/>
          <w:iCs/>
        </w:rPr>
        <w:t xml:space="preserve">for</w:t>
      </w:r>
      <w:r>
        <w:rPr>
          <w:i/>
          <w:iCs/>
        </w:rPr>
        <w:t xml:space="preserve"> </w:t>
      </w:r>
      <w:r>
        <w:rPr>
          <w:i/>
          <w:iCs/>
        </w:rPr>
        <w:t xml:space="preserve">Third</w:t>
      </w:r>
      <w:r>
        <w:rPr>
          <w:i/>
          <w:iCs/>
        </w:rPr>
        <w:t xml:space="preserve"> </w:t>
      </w:r>
      <w:r>
        <w:rPr>
          <w:i/>
          <w:iCs/>
        </w:rPr>
        <w:t xml:space="preserve">Judicial</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Osborne</w:t>
      </w:r>
      <w:r>
        <w:t xml:space="preserve"> </w:t>
      </w:r>
      <w:r>
        <w:t xml:space="preserve">557</w:t>
      </w:r>
      <w:r>
        <w:t xml:space="preserve"> </w:t>
      </w:r>
      <w:r>
        <w:t xml:space="preserve">U.S.</w:t>
      </w:r>
      <w:r>
        <w:t xml:space="preserve"> </w:t>
      </w:r>
      <w:r>
        <w:t xml:space="preserve">52</w:t>
      </w:r>
      <w:r>
        <w:t xml:space="preserve"> </w:t>
      </w:r>
      <w:r>
        <w:t xml:space="preserve">(2009)</w:t>
      </w:r>
      <w:r>
        <w:t xml:space="preserve">   </w:t>
      </w:r>
      <w:r>
        <w:tab/>
      </w:r>
      <w:r>
        <w:t xml:space="preserve">22</w:t>
      </w:r>
    </w:p>
    <w:p>
      <w:pPr>
        <w:keepLines/>
        <w:tabs>
          <w:tab w:val="right" w:leader="dot" w:pos="9360"/>
        </w:tabs>
        <w:spacing w:before="144" w:after="0" w:line="276" w:lineRule="exact"/>
        <w:ind w:left="576" w:right="1120" w:hanging="576"/>
      </w:pPr>
      <w:r>
        <w:rPr>
          <w:i/>
          <w:iCs/>
        </w:rPr>
        <w:t xml:space="preserve">Duncan</w:t>
      </w:r>
      <w:r>
        <w:rPr>
          <w:i/>
          <w:iCs/>
        </w:rPr>
        <w:t xml:space="preserve"> </w:t>
      </w:r>
      <w:r>
        <w:rPr>
          <w:i/>
          <w:iCs/>
        </w:rPr>
        <w:t xml:space="preserve">v.</w:t>
      </w:r>
      <w:r>
        <w:rPr>
          <w:i/>
          <w:iCs/>
        </w:rPr>
        <w:t xml:space="preserve"> </w:t>
      </w:r>
      <w:r>
        <w:rPr>
          <w:i/>
          <w:iCs/>
        </w:rPr>
        <w:t xml:space="preserve">Louisiana</w:t>
      </w:r>
      <w:r>
        <w:t xml:space="preserve"> </w:t>
      </w:r>
      <w:r>
        <w:t xml:space="preserve">391</w:t>
      </w:r>
      <w:r>
        <w:t xml:space="preserve"> </w:t>
      </w:r>
      <w:r>
        <w:t xml:space="preserve">U.S.</w:t>
      </w:r>
      <w:r>
        <w:t xml:space="preserve"> </w:t>
      </w:r>
      <w:r>
        <w:t xml:space="preserve">145</w:t>
      </w:r>
      <w:r>
        <w:t xml:space="preserve"> </w:t>
      </w:r>
      <w:r>
        <w:t xml:space="preserve">(1968)</w:t>
      </w:r>
      <w:r>
        <w:t xml:space="preserve">   </w:t>
      </w:r>
      <w:r>
        <w:tab/>
      </w:r>
      <w:r>
        <w:t xml:space="preserve">4, 13, 18</w:t>
      </w:r>
    </w:p>
    <w:p>
      <w:pPr>
        <w:keepLines/>
        <w:tabs>
          <w:tab w:val="right" w:leader="dot" w:pos="9360"/>
        </w:tabs>
        <w:spacing w:before="144" w:after="0" w:line="276" w:lineRule="exact"/>
        <w:ind w:left="576" w:right="1120" w:hanging="576"/>
      </w:pPr>
      <w:r>
        <w:rPr>
          <w:i/>
          <w:iCs/>
        </w:rPr>
        <w:t xml:space="preserve">Edwards</w:t>
      </w:r>
      <w:r>
        <w:rPr>
          <w:i/>
          <w:iCs/>
        </w:rPr>
        <w:t xml:space="preserve"> </w:t>
      </w:r>
      <w:r>
        <w:rPr>
          <w:i/>
          <w:iCs/>
        </w:rPr>
        <w:t xml:space="preserve">v.</w:t>
      </w:r>
      <w:r>
        <w:rPr>
          <w:i/>
          <w:iCs/>
        </w:rPr>
        <w:t xml:space="preserve"> </w:t>
      </w:r>
      <w:r>
        <w:rPr>
          <w:i/>
          <w:iCs/>
        </w:rPr>
        <w:t xml:space="preserve">Vannoy</w:t>
      </w:r>
      <w:r>
        <w:t xml:space="preserve"> </w:t>
      </w:r>
      <w:r>
        <w:t xml:space="preserve">140</w:t>
      </w:r>
      <w:r>
        <w:t xml:space="preserve"> </w:t>
      </w:r>
      <w:r>
        <w:t xml:space="preserve">S.</w:t>
      </w:r>
      <w:r>
        <w:t xml:space="preserve"> </w:t>
      </w:r>
      <w:r>
        <w:t xml:space="preserve">Ct.</w:t>
      </w:r>
      <w:r>
        <w:t xml:space="preserve"> </w:t>
      </w:r>
      <w:r>
        <w:t xml:space="preserve">2737</w:t>
      </w:r>
      <w:r>
        <w:t xml:space="preserve"> </w:t>
      </w:r>
      <w:r>
        <w:t xml:space="preserve">(2020)</w:t>
      </w:r>
      <w:r>
        <w:t xml:space="preserve">   </w:t>
      </w:r>
      <w:r>
        <w:tab/>
      </w:r>
      <w:r>
        <w:rPr>
          <w:i/>
          <w:iCs/>
        </w:rPr>
        <w:t xml:space="preserve">passim</w:t>
      </w:r>
    </w:p>
    <w:p>
      <w:pPr>
        <w:keepLines/>
        <w:tabs>
          <w:tab w:val="right" w:leader="dot" w:pos="9360"/>
        </w:tabs>
        <w:spacing w:before="144" w:after="0" w:line="276" w:lineRule="exact"/>
        <w:ind w:left="576" w:right="1120" w:hanging="576"/>
      </w:pPr>
      <w:r>
        <w:rPr>
          <w:i/>
          <w:iCs/>
        </w:rPr>
        <w:t xml:space="preserve">Falconer</w:t>
      </w:r>
      <w:r>
        <w:rPr>
          <w:i/>
          <w:iCs/>
        </w:rPr>
        <w:t xml:space="preserve"> </w:t>
      </w:r>
      <w:r>
        <w:rPr>
          <w:i/>
          <w:iCs/>
        </w:rPr>
        <w:t xml:space="preserve">v.</w:t>
      </w:r>
      <w:r>
        <w:rPr>
          <w:i/>
          <w:iCs/>
        </w:rPr>
        <w:t xml:space="preserve"> </w:t>
      </w:r>
      <w:r>
        <w:rPr>
          <w:i/>
          <w:iCs/>
        </w:rPr>
        <w:t xml:space="preserve">Lane</w:t>
      </w:r>
      <w:r>
        <w:t xml:space="preserve"> </w:t>
      </w:r>
      <w:r>
        <w:t xml:space="preserve">905</w:t>
      </w:r>
      <w:r>
        <w:t xml:space="preserve"> </w:t>
      </w:r>
      <w:r>
        <w:t xml:space="preserve">F.2d</w:t>
      </w:r>
      <w:r>
        <w:t xml:space="preserve"> </w:t>
      </w:r>
      <w:r>
        <w:t xml:space="preserve">1129</w:t>
      </w:r>
      <w:r>
        <w:t xml:space="preserve"> </w:t>
      </w:r>
      <w:r>
        <w:t xml:space="preserve">(7th</w:t>
      </w:r>
      <w:r>
        <w:t xml:space="preserve"> </w:t>
      </w:r>
      <w:r>
        <w:t xml:space="preserve">Cir.</w:t>
      </w:r>
      <w:r>
        <w:t xml:space="preserve"> </w:t>
      </w:r>
      <w:r>
        <w:t xml:space="preserve">1990)</w:t>
      </w:r>
      <w:r>
        <w:t xml:space="preserve">   </w:t>
      </w:r>
      <w:r>
        <w:tab/>
      </w:r>
      <w:r>
        <w:t xml:space="preserve">7</w:t>
      </w:r>
    </w:p>
    <w:p>
      <w:pPr>
        <w:keepLines/>
        <w:tabs>
          <w:tab w:val="right" w:leader="dot" w:pos="9360"/>
        </w:tabs>
        <w:spacing w:before="144" w:after="0" w:line="276" w:lineRule="exact"/>
        <w:ind w:left="576" w:right="1120" w:hanging="576"/>
      </w:pPr>
      <w:r>
        <w:rPr>
          <w:i/>
          <w:iCs/>
        </w:rPr>
        <w:t xml:space="preserve">Gideon</w:t>
      </w:r>
      <w:r>
        <w:rPr>
          <w:i/>
          <w:iCs/>
        </w:rPr>
        <w:t xml:space="preserve"> </w:t>
      </w:r>
      <w:r>
        <w:rPr>
          <w:i/>
          <w:iCs/>
        </w:rPr>
        <w:t xml:space="preserve">v.</w:t>
      </w:r>
      <w:r>
        <w:rPr>
          <w:i/>
          <w:iCs/>
        </w:rPr>
        <w:t xml:space="preserve"> </w:t>
      </w:r>
      <w:r>
        <w:rPr>
          <w:i/>
          <w:iCs/>
        </w:rPr>
        <w:t xml:space="preserve">Wainwright</w:t>
      </w:r>
      <w:r>
        <w:t xml:space="preserve"> </w:t>
      </w:r>
      <w:r>
        <w:t xml:space="preserve">372</w:t>
      </w:r>
      <w:r>
        <w:t xml:space="preserve"> </w:t>
      </w:r>
      <w:r>
        <w:t xml:space="preserve">U.S.</w:t>
      </w:r>
      <w:r>
        <w:t xml:space="preserve"> </w:t>
      </w:r>
      <w:r>
        <w:t xml:space="preserve">335</w:t>
      </w:r>
      <w:r>
        <w:t xml:space="preserve"> </w:t>
      </w:r>
      <w:r>
        <w:t xml:space="preserve">(1963)</w:t>
      </w:r>
      <w:r>
        <w:t xml:space="preserve">   </w:t>
      </w:r>
      <w:r>
        <w:tab/>
      </w:r>
      <w:r>
        <w:t xml:space="preserve">11</w:t>
      </w:r>
    </w:p>
    <w:p>
      <w:pPr>
        <w:keepLines/>
        <w:tabs>
          <w:tab w:val="right" w:leader="dot" w:pos="9360"/>
        </w:tabs>
        <w:spacing w:before="144" w:after="0" w:line="276" w:lineRule="exact"/>
        <w:ind w:left="576" w:right="1120" w:hanging="576"/>
      </w:pPr>
      <w:r>
        <w:rPr>
          <w:i/>
          <w:iCs/>
        </w:rPr>
        <w:t xml:space="preserve">Gilmore</w:t>
      </w:r>
      <w:r>
        <w:rPr>
          <w:i/>
          <w:iCs/>
        </w:rPr>
        <w:t xml:space="preserve"> </w:t>
      </w:r>
      <w:r>
        <w:rPr>
          <w:i/>
          <w:iCs/>
        </w:rPr>
        <w:t xml:space="preserve">v.</w:t>
      </w:r>
      <w:r>
        <w:rPr>
          <w:i/>
          <w:iCs/>
        </w:rPr>
        <w:t xml:space="preserve"> </w:t>
      </w:r>
      <w:r>
        <w:rPr>
          <w:i/>
          <w:iCs/>
        </w:rPr>
        <w:t xml:space="preserve">Taylor</w:t>
      </w:r>
      <w:r>
        <w:t xml:space="preserve"> </w:t>
      </w:r>
      <w:r>
        <w:t xml:space="preserve">508</w:t>
      </w:r>
      <w:r>
        <w:t xml:space="preserve"> </w:t>
      </w:r>
      <w:r>
        <w:t xml:space="preserve">U.S.</w:t>
      </w:r>
      <w:r>
        <w:t xml:space="preserve"> </w:t>
      </w:r>
      <w:r>
        <w:t xml:space="preserve">333</w:t>
      </w:r>
      <w:r>
        <w:t xml:space="preserve"> </w:t>
      </w:r>
      <w:r>
        <w:t xml:space="preserve">(1993)</w:t>
      </w:r>
      <w:r>
        <w:t xml:space="preserve">   </w:t>
      </w:r>
      <w:r>
        <w:tab/>
      </w:r>
      <w:r>
        <w:t xml:space="preserve">7</w:t>
      </w:r>
    </w:p>
    <w:p>
      <w:pPr>
        <w:keepLines/>
        <w:tabs>
          <w:tab w:val="right" w:leader="dot" w:pos="9360"/>
        </w:tabs>
        <w:spacing w:before="144" w:after="0" w:line="276" w:lineRule="exact"/>
        <w:ind w:left="576" w:right="1120" w:hanging="576"/>
      </w:pPr>
      <w:r>
        <w:rPr>
          <w:i/>
          <w:iCs/>
        </w:rPr>
        <w:t xml:space="preserve">Givens</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Through</w:t>
      </w:r>
      <w:r>
        <w:rPr>
          <w:i/>
          <w:iCs/>
        </w:rPr>
        <w:t xml:space="preserve"> </w:t>
      </w:r>
      <w:r>
        <w:rPr>
          <w:i/>
          <w:iCs/>
        </w:rPr>
        <w:t xml:space="preserve">Attorney</w:t>
      </w:r>
      <w:r>
        <w:rPr>
          <w:i/>
          <w:iCs/>
        </w:rPr>
        <w:t xml:space="preserve"> </w:t>
      </w:r>
      <w:r>
        <w:rPr>
          <w:i/>
          <w:iCs/>
        </w:rPr>
        <w:t xml:space="preserve">General’s</w:t>
      </w:r>
      <w:r>
        <w:rPr>
          <w:i/>
          <w:iCs/>
        </w:rPr>
        <w:t xml:space="preserve"> </w:t>
      </w:r>
      <w:r>
        <w:rPr>
          <w:i/>
          <w:iCs/>
        </w:rPr>
        <w:t xml:space="preserve">Office</w:t>
      </w:r>
      <w:r>
        <w:t xml:space="preserve"> </w:t>
      </w:r>
      <w:r>
        <w:t xml:space="preserve">2020</w:t>
        <w:noBreakHyphen/>
        <w:t xml:space="preserve">00268</w:t>
      </w:r>
      <w:r>
        <w:t xml:space="preserve"> </w:t>
      </w:r>
      <w:r>
        <w:t xml:space="preserve">(La.</w:t>
      </w:r>
      <w:r>
        <w:t xml:space="preserve"> </w:t>
      </w:r>
      <w:r>
        <w:t xml:space="preserve">10/6/20),</w:t>
      </w:r>
      <w:r>
        <w:t xml:space="preserve"> </w:t>
      </w:r>
      <w:r>
        <w:t xml:space="preserve">2020 WL 5904873</w:t>
      </w:r>
      <w:r>
        <w:t xml:space="preserve">   </w:t>
      </w:r>
      <w:r>
        <w:tab/>
      </w:r>
      <w:r>
        <w:t xml:space="preserve">19</w:t>
      </w:r>
    </w:p>
    <w:p>
      <w:pPr>
        <w:keepLines/>
        <w:tabs>
          <w:tab w:val="right" w:leader="dot" w:pos="9360"/>
        </w:tabs>
        <w:spacing w:before="144" w:after="0" w:line="276" w:lineRule="exact"/>
        <w:ind w:left="576" w:right="1120" w:hanging="576"/>
      </w:pPr>
      <w:r>
        <w:rPr>
          <w:i/>
          <w:iCs/>
        </w:rPr>
        <w:t xml:space="preserve">Griffith</w:t>
      </w:r>
      <w:r>
        <w:rPr>
          <w:i/>
          <w:iCs/>
        </w:rPr>
        <w:t xml:space="preserve"> </w:t>
      </w:r>
      <w:r>
        <w:rPr>
          <w:i/>
          <w:iCs/>
        </w:rPr>
        <w:t xml:space="preserve">v.</w:t>
      </w:r>
      <w:r>
        <w:rPr>
          <w:i/>
          <w:iCs/>
        </w:rPr>
        <w:t xml:space="preserve"> </w:t>
      </w:r>
      <w:r>
        <w:rPr>
          <w:i/>
          <w:iCs/>
        </w:rPr>
        <w:t xml:space="preserve">Kentucky</w:t>
      </w:r>
      <w:r>
        <w:t xml:space="preserve"> </w:t>
      </w:r>
      <w:r>
        <w:t xml:space="preserve">479</w:t>
      </w:r>
      <w:r>
        <w:t xml:space="preserve"> </w:t>
      </w:r>
      <w:r>
        <w:t xml:space="preserve">U.S.</w:t>
      </w:r>
      <w:r>
        <w:t xml:space="preserve"> </w:t>
      </w:r>
      <w:r>
        <w:t xml:space="preserve">314</w:t>
      </w:r>
      <w:r>
        <w:t xml:space="preserve"> </w:t>
      </w:r>
      <w:r>
        <w:t xml:space="preserve">(1987)</w:t>
      </w:r>
      <w:r>
        <w:t xml:space="preserve">   </w:t>
      </w:r>
      <w:r>
        <w:tab/>
      </w:r>
      <w:r>
        <w:t xml:space="preserve">5</w:t>
      </w:r>
    </w:p>
    <w:p>
      <w:pPr>
        <w:keepLines/>
        <w:tabs>
          <w:tab w:val="right" w:leader="dot" w:pos="9360"/>
        </w:tabs>
        <w:spacing w:before="144" w:after="0" w:line="276" w:lineRule="exact"/>
        <w:ind w:left="576" w:right="1120" w:hanging="576"/>
      </w:pPr>
      <w:r>
        <w:rPr>
          <w:i/>
          <w:iCs/>
        </w:rPr>
        <w:t xml:space="preserve">Hayden</w:t>
      </w:r>
      <w:r>
        <w:rPr>
          <w:i/>
          <w:iCs/>
        </w:rPr>
        <w:t xml:space="preserve"> </w:t>
      </w:r>
      <w:r>
        <w:rPr>
          <w:i/>
          <w:iCs/>
        </w:rPr>
        <w:t xml:space="preserve">v.</w:t>
      </w:r>
      <w:r>
        <w:rPr>
          <w:i/>
          <w:iCs/>
        </w:rPr>
        <w:t xml:space="preserve"> </w:t>
      </w:r>
      <w:r>
        <w:rPr>
          <w:i/>
          <w:iCs/>
        </w:rPr>
        <w:t xml:space="preserve">Paterson</w:t>
      </w:r>
      <w:r>
        <w:t xml:space="preserve"> </w:t>
      </w:r>
      <w:r>
        <w:t xml:space="preserve">594</w:t>
      </w:r>
      <w:r>
        <w:t xml:space="preserve"> </w:t>
      </w:r>
      <w:r>
        <w:t xml:space="preserve">F.3d</w:t>
      </w:r>
      <w:r>
        <w:t xml:space="preserve"> </w:t>
      </w:r>
      <w:r>
        <w:t xml:space="preserve">150</w:t>
      </w:r>
      <w:r>
        <w:t xml:space="preserve"> </w:t>
      </w:r>
      <w:r>
        <w:t xml:space="preserve">(2d</w:t>
      </w:r>
      <w:r>
        <w:t xml:space="preserve"> </w:t>
      </w:r>
      <w:r>
        <w:t xml:space="preserve">Cir.</w:t>
      </w:r>
      <w:r>
        <w:t xml:space="preserve"> </w:t>
      </w:r>
      <w:r>
        <w:t xml:space="preserve">2010)</w:t>
      </w:r>
      <w:r>
        <w:t xml:space="preserve">   </w:t>
      </w:r>
      <w:r>
        <w:tab/>
      </w:r>
      <w:r>
        <w:t xml:space="preserve">21</w:t>
      </w:r>
    </w:p>
    <w:p>
      <w:pPr>
        <w:keepLines/>
        <w:tabs>
          <w:tab w:val="right" w:leader="dot" w:pos="9360"/>
        </w:tabs>
        <w:spacing w:before="144" w:after="0" w:line="276" w:lineRule="exact"/>
        <w:ind w:left="576" w:right="1120" w:hanging="576"/>
      </w:pPr>
      <w:r>
        <w:rPr>
          <w:i/>
          <w:iCs/>
        </w:rPr>
        <w:t xml:space="preserve">Hernandez</w:t>
      </w:r>
      <w:r>
        <w:rPr>
          <w:i/>
          <w:iCs/>
        </w:rPr>
        <w:t xml:space="preserve"> </w:t>
      </w:r>
      <w:r>
        <w:rPr>
          <w:i/>
          <w:iCs/>
        </w:rPr>
        <w:t xml:space="preserve">v.</w:t>
      </w:r>
      <w:r>
        <w:rPr>
          <w:i/>
          <w:iCs/>
        </w:rPr>
        <w:t xml:space="preserve"> </w:t>
      </w:r>
      <w:r>
        <w:rPr>
          <w:i/>
          <w:iCs/>
        </w:rPr>
        <w:t xml:space="preserve">Vannoy</w:t>
      </w:r>
      <w:r>
        <w:t xml:space="preserve"> </w:t>
      </w:r>
      <w:r>
        <w:t xml:space="preserve">2019</w:t>
        <w:noBreakHyphen/>
        <w:t xml:space="preserve">02034</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857</w:t>
      </w:r>
      <w:r>
        <w:t xml:space="preserve">   </w:t>
      </w:r>
      <w:r>
        <w:tab/>
      </w:r>
      <w:r>
        <w:t xml:space="preserve">19</w:t>
      </w:r>
    </w:p>
    <w:p>
      <w:pPr>
        <w:keepLines/>
        <w:tabs>
          <w:tab w:val="right" w:leader="dot" w:pos="9360"/>
        </w:tabs>
        <w:spacing w:before="144" w:after="0" w:line="276" w:lineRule="exact"/>
        <w:ind w:left="576" w:right="1120" w:hanging="576"/>
      </w:pPr>
      <w:r>
        <w:rPr>
          <w:i/>
          <w:iCs/>
        </w:rPr>
        <w:t xml:space="preserve">Hunter</w:t>
      </w:r>
      <w:r>
        <w:rPr>
          <w:i/>
          <w:iCs/>
        </w:rPr>
        <w:t xml:space="preserve"> </w:t>
      </w:r>
      <w:r>
        <w:rPr>
          <w:i/>
          <w:iCs/>
        </w:rPr>
        <w:t xml:space="preserve">v.</w:t>
      </w:r>
      <w:r>
        <w:rPr>
          <w:i/>
          <w:iCs/>
        </w:rPr>
        <w:t xml:space="preserve"> </w:t>
      </w:r>
      <w:r>
        <w:rPr>
          <w:i/>
          <w:iCs/>
        </w:rPr>
        <w:t xml:space="preserve">Underwood</w:t>
      </w:r>
      <w:r>
        <w:t xml:space="preserve"> </w:t>
      </w:r>
      <w:r>
        <w:t xml:space="preserve">471</w:t>
      </w:r>
      <w:r>
        <w:t xml:space="preserve"> </w:t>
      </w:r>
      <w:r>
        <w:t xml:space="preserve">U.S.</w:t>
      </w:r>
      <w:r>
        <w:t xml:space="preserve"> </w:t>
      </w:r>
      <w:r>
        <w:t xml:space="preserve">222</w:t>
      </w:r>
      <w:r>
        <w:t xml:space="preserve"> </w:t>
      </w:r>
      <w:r>
        <w:t xml:space="preserve">(1985)</w:t>
      </w:r>
      <w:r>
        <w:t xml:space="preserve">   </w:t>
      </w:r>
      <w:r>
        <w:tab/>
      </w:r>
      <w:r>
        <w:t xml:space="preserve">21</w:t>
      </w:r>
    </w:p>
    <w:p>
      <w:pPr>
        <w:keepLines/>
        <w:tabs>
          <w:tab w:val="right" w:leader="dot" w:pos="9360"/>
        </w:tabs>
        <w:spacing w:before="144" w:after="0" w:line="276" w:lineRule="exact"/>
        <w:ind w:left="576" w:right="1120" w:hanging="576"/>
      </w:pPr>
      <w:r>
        <w:rPr>
          <w:i/>
          <w:iCs/>
        </w:rPr>
        <w:t xml:space="preserve">Johnson</w:t>
      </w:r>
      <w:r>
        <w:rPr>
          <w:i/>
          <w:iCs/>
        </w:rPr>
        <w:t xml:space="preserve"> </w:t>
      </w:r>
      <w:r>
        <w:rPr>
          <w:i/>
          <w:iCs/>
        </w:rPr>
        <w:t xml:space="preserve">v.</w:t>
      </w:r>
      <w:r>
        <w:rPr>
          <w:i/>
          <w:iCs/>
        </w:rPr>
        <w:t xml:space="preserve"> </w:t>
      </w:r>
      <w:r>
        <w:rPr>
          <w:i/>
          <w:iCs/>
        </w:rPr>
        <w:t xml:space="preserve">Governor</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Fla.</w:t>
      </w:r>
      <w:r>
        <w:t xml:space="preserve"> </w:t>
      </w:r>
      <w:r>
        <w:t xml:space="preserve">405</w:t>
      </w:r>
      <w:r>
        <w:t xml:space="preserve"> </w:t>
      </w:r>
      <w:r>
        <w:t xml:space="preserve">F.3d</w:t>
      </w:r>
      <w:r>
        <w:t xml:space="preserve"> </w:t>
      </w:r>
      <w:r>
        <w:t xml:space="preserve">1214</w:t>
      </w:r>
      <w:r>
        <w:t xml:space="preserve"> </w:t>
      </w:r>
      <w:r>
        <w:t xml:space="preserve">(11th</w:t>
      </w:r>
      <w:r>
        <w:t xml:space="preserve"> </w:t>
      </w:r>
      <w:r>
        <w:t xml:space="preserve">Cir.</w:t>
      </w:r>
      <w:r>
        <w:t xml:space="preserve"> </w:t>
      </w:r>
      <w:r>
        <w:t xml:space="preserve">2005)</w:t>
      </w:r>
      <w:r>
        <w:t xml:space="preserve">   </w:t>
      </w:r>
      <w:r>
        <w:tab/>
      </w:r>
      <w:r>
        <w:t xml:space="preserve">21</w:t>
      </w:r>
    </w:p>
    <w:p>
      <w:pPr>
        <w:keepLines/>
        <w:tabs>
          <w:tab w:val="right" w:leader="dot" w:pos="9360"/>
        </w:tabs>
        <w:spacing w:before="144" w:after="0" w:line="276" w:lineRule="exact"/>
        <w:ind w:left="576" w:right="1120" w:hanging="576"/>
      </w:pPr>
      <w:r>
        <w:rPr>
          <w:i/>
          <w:iCs/>
        </w:rPr>
        <w:t xml:space="preserve">Johnson</w:t>
      </w:r>
      <w:r>
        <w:rPr>
          <w:i/>
          <w:iCs/>
        </w:rPr>
        <w:t xml:space="preserve"> </w:t>
      </w:r>
      <w:r>
        <w:rPr>
          <w:i/>
          <w:iCs/>
        </w:rPr>
        <w:t xml:space="preserve">v.</w:t>
      </w:r>
      <w:r>
        <w:rPr>
          <w:i/>
          <w:iCs/>
        </w:rPr>
        <w:t xml:space="preserve"> </w:t>
      </w:r>
      <w:r>
        <w:rPr>
          <w:i/>
          <w:iCs/>
        </w:rPr>
        <w:t xml:space="preserve">Louisiana</w:t>
      </w:r>
      <w:r>
        <w:t xml:space="preserve"> </w:t>
      </w:r>
      <w:r>
        <w:t xml:space="preserve">406</w:t>
      </w:r>
      <w:r>
        <w:t xml:space="preserve"> </w:t>
      </w:r>
      <w:r>
        <w:t xml:space="preserve">U.S.</w:t>
      </w:r>
      <w:r>
        <w:t xml:space="preserve"> </w:t>
      </w:r>
      <w:r>
        <w:t xml:space="preserve">356</w:t>
      </w:r>
      <w:r>
        <w:t xml:space="preserve"> </w:t>
      </w:r>
      <w:r>
        <w:t xml:space="preserve">(1972)</w:t>
      </w:r>
      <w:r>
        <w:t xml:space="preserve">   </w:t>
      </w:r>
      <w:r>
        <w:tab/>
      </w:r>
      <w:r>
        <w:t xml:space="preserve">16</w:t>
      </w:r>
    </w:p>
    <w:p>
      <w:pPr>
        <w:keepLines/>
        <w:tabs>
          <w:tab w:val="right" w:leader="dot" w:pos="9360"/>
        </w:tabs>
        <w:spacing w:before="144" w:after="0" w:line="276" w:lineRule="exact"/>
        <w:ind w:left="576" w:right="1120" w:hanging="576"/>
      </w:pPr>
      <w:r>
        <w:rPr>
          <w:i/>
          <w:iCs/>
        </w:rPr>
        <w:t xml:space="preserve">Joseph</w:t>
      </w:r>
      <w:r>
        <w:rPr>
          <w:i/>
          <w:iCs/>
        </w:rPr>
        <w:t xml:space="preserve"> </w:t>
      </w:r>
      <w:r>
        <w:rPr>
          <w:i/>
          <w:iCs/>
        </w:rPr>
        <w:t xml:space="preserve">v.</w:t>
      </w:r>
      <w:r>
        <w:rPr>
          <w:i/>
          <w:iCs/>
        </w:rPr>
        <w:t xml:space="preserve"> </w:t>
      </w:r>
      <w:r>
        <w:rPr>
          <w:i/>
          <w:iCs/>
        </w:rPr>
        <w:t xml:space="preserve">State</w:t>
      </w:r>
      <w:r>
        <w:t xml:space="preserve"> </w:t>
      </w:r>
      <w:r>
        <w:t xml:space="preserve">2019</w:t>
        <w:noBreakHyphen/>
        <w:t xml:space="preserve">01989</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824</w:t>
      </w:r>
      <w:r>
        <w:t xml:space="preserve">   </w:t>
      </w:r>
      <w:r>
        <w:tab/>
      </w:r>
      <w:r>
        <w:t xml:space="preserve">19</w:t>
      </w:r>
    </w:p>
    <w:p>
      <w:pPr>
        <w:keepLines/>
        <w:tabs>
          <w:tab w:val="right" w:leader="dot" w:pos="9360"/>
        </w:tabs>
        <w:spacing w:before="144" w:after="0" w:line="276" w:lineRule="exact"/>
        <w:ind w:left="576" w:right="1120" w:hanging="576"/>
      </w:pPr>
      <w:r>
        <w:rPr>
          <w:i/>
          <w:iCs/>
        </w:rPr>
        <w:t xml:space="preserve">Lawson</w:t>
      </w:r>
      <w:r>
        <w:rPr>
          <w:i/>
          <w:iCs/>
        </w:rPr>
        <w:t xml:space="preserve"> </w:t>
      </w:r>
      <w:r>
        <w:rPr>
          <w:i/>
          <w:iCs/>
        </w:rPr>
        <w:t xml:space="preserve">v.</w:t>
      </w:r>
      <w:r>
        <w:rPr>
          <w:i/>
          <w:iCs/>
        </w:rPr>
        <w:t xml:space="preserve"> </w:t>
      </w:r>
      <w:r>
        <w:rPr>
          <w:i/>
          <w:iCs/>
        </w:rPr>
        <w:t xml:space="preserve">State</w:t>
      </w:r>
      <w:r>
        <w:t xml:space="preserve"> </w:t>
      </w:r>
      <w:r>
        <w:t xml:space="preserve">2019</w:t>
        <w:noBreakHyphen/>
        <w:t xml:space="preserve">02074</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858</w:t>
      </w:r>
      <w:r>
        <w:t xml:space="preserve">   </w:t>
      </w:r>
      <w:r>
        <w:tab/>
      </w:r>
      <w:r>
        <w:t xml:space="preserve">19</w:t>
      </w:r>
    </w:p>
    <w:p>
      <w:pPr>
        <w:keepLines/>
        <w:tabs>
          <w:tab w:val="right" w:leader="dot" w:pos="9360"/>
        </w:tabs>
        <w:spacing w:before="144" w:after="0" w:line="276" w:lineRule="exact"/>
        <w:ind w:left="576" w:right="1120" w:hanging="576"/>
      </w:pPr>
      <w:r>
        <w:rPr>
          <w:i/>
          <w:iCs/>
        </w:rPr>
        <w:t xml:space="preserve">Lee</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137</w:t>
      </w:r>
      <w:r>
        <w:t xml:space="preserve"> </w:t>
      </w:r>
      <w:r>
        <w:t xml:space="preserve">S.</w:t>
      </w:r>
      <w:r>
        <w:t xml:space="preserve"> </w:t>
      </w:r>
      <w:r>
        <w:t xml:space="preserve">Ct.</w:t>
      </w:r>
      <w:r>
        <w:t xml:space="preserve"> </w:t>
      </w:r>
      <w:r>
        <w:t xml:space="preserve">1958</w:t>
      </w:r>
      <w:r>
        <w:t xml:space="preserve"> </w:t>
      </w:r>
      <w:r>
        <w:t xml:space="preserve">(2017)</w:t>
      </w:r>
      <w:r>
        <w:t xml:space="preserve">   </w:t>
      </w:r>
      <w:r>
        <w:tab/>
      </w:r>
      <w:r>
        <w:t xml:space="preserve">10</w:t>
      </w:r>
    </w:p>
    <w:p>
      <w:pPr>
        <w:keepLines/>
        <w:tabs>
          <w:tab w:val="right" w:leader="dot" w:pos="9360"/>
        </w:tabs>
        <w:spacing w:before="144" w:after="0" w:line="276" w:lineRule="exact"/>
        <w:ind w:left="576" w:right="1120" w:hanging="576"/>
      </w:pPr>
      <w:r>
        <w:rPr>
          <w:i/>
          <w:iCs/>
        </w:rPr>
        <w:t xml:space="preserve">Lionel</w:t>
      </w:r>
      <w:r>
        <w:rPr>
          <w:i/>
          <w:iCs/>
        </w:rPr>
        <w:t xml:space="preserve"> </w:t>
      </w:r>
      <w:r>
        <w:rPr>
          <w:i/>
          <w:iCs/>
        </w:rPr>
        <w:t xml:space="preserve">Jones</w:t>
      </w:r>
      <w:r>
        <w:rPr>
          <w:i/>
          <w:iCs/>
        </w:rPr>
        <w:t xml:space="preserve"> </w:t>
      </w:r>
      <w:r>
        <w:rPr>
          <w:i/>
          <w:iCs/>
        </w:rPr>
        <w:t xml:space="preserve">v.</w:t>
      </w:r>
      <w:r>
        <w:rPr>
          <w:i/>
          <w:iCs/>
        </w:rPr>
        <w:t xml:space="preserve"> </w:t>
      </w:r>
      <w:r>
        <w:rPr>
          <w:i/>
          <w:iCs/>
        </w:rPr>
        <w:t xml:space="preserve">State</w:t>
      </w:r>
      <w:r>
        <w:t xml:space="preserve"> </w:t>
      </w:r>
      <w:r>
        <w:t xml:space="preserve">2019</w:t>
        <w:noBreakHyphen/>
        <w:t xml:space="preserve">01900</w:t>
      </w:r>
      <w:r>
        <w:t xml:space="preserve"> </w:t>
      </w:r>
      <w:r>
        <w:t xml:space="preserve">(La.</w:t>
      </w:r>
      <w:r>
        <w:t xml:space="preserve"> </w:t>
      </w:r>
      <w:r>
        <w:t xml:space="preserve">6/3/20),</w:t>
      </w:r>
      <w:r>
        <w:t xml:space="preserve"> </w:t>
      </w:r>
      <w:r>
        <w:t xml:space="preserve">296</w:t>
      </w:r>
      <w:r>
        <w:t xml:space="preserve"> </w:t>
      </w:r>
      <w:r>
        <w:t xml:space="preserve">So.</w:t>
      </w:r>
      <w:r>
        <w:t xml:space="preserve"> </w:t>
      </w:r>
      <w:r>
        <w:t xml:space="preserve">3d</w:t>
      </w:r>
      <w:r>
        <w:t xml:space="preserve"> </w:t>
      </w:r>
      <w:r>
        <w:t xml:space="preserve">1060</w:t>
      </w:r>
      <w:r>
        <w:t xml:space="preserve">   </w:t>
      </w:r>
      <w:r>
        <w:tab/>
      </w:r>
      <w:r>
        <w:t xml:space="preserve">19</w:t>
      </w:r>
    </w:p>
    <w:p>
      <w:pPr>
        <w:keepLines/>
        <w:tabs>
          <w:tab w:val="right" w:leader="dot" w:pos="9360"/>
        </w:tabs>
        <w:spacing w:before="144" w:after="0" w:line="276" w:lineRule="exact"/>
        <w:ind w:left="576" w:right="1120" w:hanging="576"/>
      </w:pPr>
      <w:r>
        <w:rPr>
          <w:i/>
          <w:iCs/>
        </w:rPr>
        <w:t xml:space="preserve">Mackey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401</w:t>
      </w:r>
      <w:r>
        <w:t xml:space="preserve"> </w:t>
      </w:r>
      <w:r>
        <w:t xml:space="preserve">U.S.</w:t>
      </w:r>
      <w:r>
        <w:t xml:space="preserve"> </w:t>
      </w:r>
      <w:r>
        <w:t xml:space="preserve">667</w:t>
      </w:r>
      <w:r>
        <w:t xml:space="preserve">   </w:t>
      </w:r>
      <w:r>
        <w:tab/>
      </w:r>
      <w:r>
        <w:t xml:space="preserve">9</w:t>
      </w:r>
    </w:p>
    <w:p>
      <w:pPr>
        <w:keepLines/>
        <w:tabs>
          <w:tab w:val="right" w:leader="dot" w:pos="9360"/>
        </w:tabs>
        <w:spacing w:before="144" w:after="0" w:line="276" w:lineRule="exact"/>
        <w:ind w:left="576" w:right="1120" w:hanging="576"/>
      </w:pPr>
      <w:r>
        <w:rPr>
          <w:i/>
          <w:iCs/>
        </w:rPr>
        <w:t xml:space="preserve">Miller</w:t>
      </w:r>
      <w:r>
        <w:rPr>
          <w:i/>
          <w:iCs/>
        </w:rPr>
        <w:t xml:space="preserve"> </w:t>
      </w:r>
      <w:r>
        <w:rPr>
          <w:i/>
          <w:iCs/>
        </w:rPr>
        <w:t xml:space="preserve">v.</w:t>
      </w:r>
      <w:r>
        <w:rPr>
          <w:i/>
          <w:iCs/>
        </w:rPr>
        <w:t xml:space="preserve"> </w:t>
      </w:r>
      <w:r>
        <w:rPr>
          <w:i/>
          <w:iCs/>
        </w:rPr>
        <w:t xml:space="preserve">Alabama</w:t>
      </w:r>
      <w:r>
        <w:t xml:space="preserve"> </w:t>
      </w:r>
      <w:r>
        <w:t xml:space="preserve">567</w:t>
      </w:r>
      <w:r>
        <w:t xml:space="preserve"> </w:t>
      </w:r>
      <w:r>
        <w:t xml:space="preserve">U.S.</w:t>
      </w:r>
      <w:r>
        <w:t xml:space="preserve"> </w:t>
      </w:r>
      <w:r>
        <w:t xml:space="preserve">460</w:t>
      </w:r>
      <w:r>
        <w:t xml:space="preserve"> </w:t>
      </w:r>
      <w:r>
        <w:t xml:space="preserve">(2012)</w:t>
      </w:r>
      <w:r>
        <w:t xml:space="preserve">   </w:t>
      </w:r>
      <w:r>
        <w:tab/>
      </w:r>
      <w:r>
        <w:t xml:space="preserve">10</w:t>
      </w:r>
    </w:p>
    <w:p>
      <w:pPr>
        <w:keepLines/>
        <w:tabs>
          <w:tab w:val="right" w:leader="dot" w:pos="9360"/>
        </w:tabs>
        <w:spacing w:before="144" w:after="0" w:line="276" w:lineRule="exact"/>
        <w:ind w:left="576" w:right="1120" w:hanging="576"/>
      </w:pPr>
      <w:r>
        <w:rPr>
          <w:i/>
          <w:iCs/>
        </w:rPr>
        <w:t xml:space="preserve">Mills</w:t>
      </w:r>
      <w:r>
        <w:rPr>
          <w:i/>
          <w:iCs/>
        </w:rPr>
        <w:t xml:space="preserve"> </w:t>
      </w:r>
      <w:r>
        <w:rPr>
          <w:i/>
          <w:iCs/>
        </w:rPr>
        <w:t xml:space="preserve">v.</w:t>
      </w:r>
      <w:r>
        <w:rPr>
          <w:i/>
          <w:iCs/>
        </w:rPr>
        <w:t xml:space="preserve"> </w:t>
      </w:r>
      <w:r>
        <w:rPr>
          <w:i/>
          <w:iCs/>
        </w:rPr>
        <w:t xml:space="preserve">Maryland</w:t>
      </w:r>
      <w:r>
        <w:t xml:space="preserve"> </w:t>
      </w:r>
      <w:r>
        <w:t xml:space="preserve">486</w:t>
      </w:r>
      <w:r>
        <w:t xml:space="preserve"> </w:t>
      </w:r>
      <w:r>
        <w:t xml:space="preserve">U.S.</w:t>
      </w:r>
      <w:r>
        <w:t xml:space="preserve"> </w:t>
      </w:r>
      <w:r>
        <w:t xml:space="preserve">367</w:t>
      </w:r>
      <w:r>
        <w:t xml:space="preserve"> </w:t>
      </w:r>
      <w:r>
        <w:t xml:space="preserve">(1988)</w:t>
      </w:r>
      <w:r>
        <w:t xml:space="preserve">   </w:t>
      </w:r>
      <w:r>
        <w:tab/>
      </w:r>
      <w:r>
        <w:t xml:space="preserve">7</w:t>
      </w:r>
    </w:p>
    <w:p>
      <w:pPr>
        <w:keepLines/>
        <w:tabs>
          <w:tab w:val="right" w:leader="dot" w:pos="9360"/>
        </w:tabs>
        <w:spacing w:before="144" w:after="0" w:line="276" w:lineRule="exact"/>
        <w:ind w:left="576" w:right="1440" w:hanging="576"/>
      </w:pPr>
      <w:r>
        <w:rPr>
          <w:i/>
          <w:iCs/>
        </w:rPr>
        <w:t xml:space="preserve">Montgomery</w:t>
      </w:r>
      <w:r>
        <w:rPr>
          <w:i/>
          <w:iCs/>
        </w:rPr>
        <w:t xml:space="preserve"> </w:t>
      </w:r>
      <w:r>
        <w:rPr>
          <w:i/>
          <w:iCs/>
        </w:rPr>
        <w:t xml:space="preserve">v.</w:t>
      </w:r>
      <w:r>
        <w:rPr>
          <w:i/>
          <w:iCs/>
        </w:rPr>
        <w:t xml:space="preserve"> </w:t>
      </w:r>
      <w:r>
        <w:rPr>
          <w:i/>
          <w:iCs/>
        </w:rPr>
        <w:t xml:space="preserve">Louisiana</w:t>
      </w:r>
      <w:r>
        <w:t xml:space="preserve"> </w:t>
      </w:r>
      <w:r>
        <w:t xml:space="preserve">577</w:t>
      </w:r>
      <w:r>
        <w:t xml:space="preserve"> </w:t>
      </w:r>
      <w:r>
        <w:t xml:space="preserve">U.S.</w:t>
      </w:r>
      <w:r>
        <w:t xml:space="preserve"> </w:t>
      </w:r>
      <w:r>
        <w:t xml:space="preserve">190</w:t>
      </w:r>
      <w:r>
        <w:t xml:space="preserve"> </w:t>
      </w:r>
      <w:r>
        <w:t xml:space="preserve">(2016)</w:t>
      </w:r>
      <w:r>
        <w:t xml:space="preserve">   </w:t>
      </w:r>
      <w:r>
        <w:tab/>
      </w:r>
      <w:r>
        <w:t xml:space="preserve">6, 9, 10, 11, 18</w:t>
      </w:r>
    </w:p>
    <w:p>
      <w:pPr>
        <w:keepLines/>
        <w:tabs>
          <w:tab w:val="right" w:leader="dot" w:pos="9360"/>
        </w:tabs>
        <w:spacing w:before="144" w:after="0" w:line="276" w:lineRule="exact"/>
        <w:ind w:left="576" w:right="1120" w:hanging="576"/>
      </w:pPr>
      <w:r>
        <w:rPr>
          <w:i/>
          <w:iCs/>
        </w:rPr>
        <w:t xml:space="preserve">O’Callaghan</w:t>
      </w:r>
      <w:r>
        <w:rPr>
          <w:i/>
          <w:iCs/>
        </w:rPr>
        <w:t xml:space="preserve"> </w:t>
      </w:r>
      <w:r>
        <w:rPr>
          <w:i/>
          <w:iCs/>
        </w:rPr>
        <w:t xml:space="preserve">v.</w:t>
      </w:r>
      <w:r>
        <w:rPr>
          <w:i/>
          <w:iCs/>
        </w:rPr>
        <w:t xml:space="preserve"> </w:t>
      </w:r>
      <w:r>
        <w:rPr>
          <w:i/>
          <w:iCs/>
        </w:rPr>
        <w:t xml:space="preserve">Attorney</w:t>
      </w:r>
      <w:r>
        <w:rPr>
          <w:i/>
          <w:iCs/>
        </w:rPr>
        <w:t xml:space="preserve"> </w:t>
      </w:r>
      <w:r>
        <w:rPr>
          <w:i/>
          <w:iCs/>
        </w:rPr>
        <w:t xml:space="preserve">General</w:t>
      </w:r>
      <w:r>
        <w:t xml:space="preserve"> </w:t>
      </w:r>
      <w:r>
        <w:t xml:space="preserve">[1993]</w:t>
      </w:r>
      <w:r>
        <w:t xml:space="preserve"> </w:t>
      </w:r>
      <w:r>
        <w:t xml:space="preserve">2</w:t>
      </w:r>
      <w:r>
        <w:t xml:space="preserve"> </w:t>
      </w:r>
      <w:r>
        <w:t xml:space="preserve">I.R.</w:t>
      </w:r>
      <w:r>
        <w:t xml:space="preserve"> </w:t>
      </w:r>
      <w:r>
        <w:t xml:space="preserve">17,</w:t>
      </w:r>
      <w:r>
        <w:t xml:space="preserve"> </w:t>
      </w:r>
      <w:r>
        <w:t xml:space="preserve">26</w:t>
      </w:r>
      <w:r>
        <w:t xml:space="preserve">   </w:t>
      </w:r>
      <w:r>
        <w:tab/>
      </w:r>
      <w:r>
        <w:t xml:space="preserve">17</w:t>
      </w:r>
    </w:p>
    <w:p>
      <w:pPr>
        <w:keepLines/>
        <w:tabs>
          <w:tab w:val="right" w:leader="dot" w:pos="9360"/>
        </w:tabs>
        <w:spacing w:before="144" w:after="0" w:line="276" w:lineRule="exact"/>
        <w:ind w:left="576" w:right="1120" w:hanging="576"/>
      </w:pPr>
      <w:r>
        <w:rPr>
          <w:i/>
          <w:iCs/>
        </w:rPr>
        <w:t xml:space="preserve">O’Dell</w:t>
      </w:r>
      <w:r>
        <w:rPr>
          <w:i/>
          <w:iCs/>
        </w:rPr>
        <w:t xml:space="preserve"> </w:t>
      </w:r>
      <w:r>
        <w:rPr>
          <w:i/>
          <w:iCs/>
        </w:rPr>
        <w:t xml:space="preserve">v.</w:t>
      </w:r>
      <w:r>
        <w:rPr>
          <w:i/>
          <w:iCs/>
        </w:rPr>
        <w:t xml:space="preserve"> </w:t>
      </w:r>
      <w:r>
        <w:rPr>
          <w:i/>
          <w:iCs/>
        </w:rPr>
        <w:t xml:space="preserve">Netherland</w:t>
      </w:r>
      <w:r>
        <w:t xml:space="preserve"> </w:t>
      </w:r>
      <w:r>
        <w:t xml:space="preserve">521</w:t>
      </w:r>
      <w:r>
        <w:t xml:space="preserve"> </w:t>
      </w:r>
      <w:r>
        <w:t xml:space="preserve">U.S.</w:t>
      </w:r>
      <w:r>
        <w:t xml:space="preserve"> </w:t>
      </w:r>
      <w:r>
        <w:t xml:space="preserve">151</w:t>
      </w:r>
      <w:r>
        <w:t xml:space="preserve"> </w:t>
      </w:r>
      <w:r>
        <w:t xml:space="preserve">(1997)</w:t>
      </w:r>
      <w:r>
        <w:t xml:space="preserve">   </w:t>
      </w:r>
      <w:r>
        <w:tab/>
      </w:r>
      <w:r>
        <w:t xml:space="preserve">7, 11</w:t>
      </w:r>
    </w:p>
    <w:p>
      <w:pPr>
        <w:keepLines/>
        <w:tabs>
          <w:tab w:val="right" w:leader="dot" w:pos="9360"/>
        </w:tabs>
        <w:spacing w:before="144" w:after="0" w:line="276" w:lineRule="exact"/>
        <w:ind w:left="576" w:right="1120" w:hanging="576"/>
      </w:pPr>
      <w:r>
        <w:rPr>
          <w:i/>
          <w:iCs/>
        </w:rPr>
        <w:t xml:space="preserve">Ohio</w:t>
      </w:r>
      <w:r>
        <w:rPr>
          <w:i/>
          <w:iCs/>
        </w:rPr>
        <w:t xml:space="preserve"> </w:t>
      </w:r>
      <w:r>
        <w:rPr>
          <w:i/>
          <w:iCs/>
        </w:rPr>
        <w:t xml:space="preserve">v.</w:t>
      </w:r>
      <w:r>
        <w:rPr>
          <w:i/>
          <w:iCs/>
        </w:rPr>
        <w:t xml:space="preserve"> </w:t>
      </w:r>
      <w:r>
        <w:rPr>
          <w:i/>
          <w:iCs/>
        </w:rPr>
        <w:t xml:space="preserve">Roberts</w:t>
      </w:r>
      <w:r>
        <w:t xml:space="preserve"> </w:t>
      </w:r>
      <w:r>
        <w:t xml:space="preserve">448</w:t>
      </w:r>
      <w:r>
        <w:t xml:space="preserve"> </w:t>
      </w:r>
      <w:r>
        <w:t xml:space="preserve">U.S.</w:t>
      </w:r>
      <w:r>
        <w:t xml:space="preserve"> </w:t>
      </w:r>
      <w:r>
        <w:t xml:space="preserve">56</w:t>
      </w:r>
      <w:r>
        <w:t xml:space="preserve"> </w:t>
      </w:r>
      <w:r>
        <w:t xml:space="preserve">(1980)</w:t>
      </w:r>
      <w:r>
        <w:t xml:space="preserve">   </w:t>
      </w:r>
      <w:r>
        <w:tab/>
      </w:r>
      <w:r>
        <w:t xml:space="preserve">16</w:t>
      </w:r>
    </w:p>
    <w:p>
      <w:pPr>
        <w:keepLines/>
        <w:tabs>
          <w:tab w:val="right" w:leader="dot" w:pos="9360"/>
        </w:tabs>
        <w:spacing w:before="144" w:after="0" w:line="276" w:lineRule="exact"/>
        <w:ind w:left="576" w:right="1120" w:hanging="576"/>
      </w:pPr>
      <w:r>
        <w:rPr>
          <w:i/>
          <w:iCs/>
        </w:rPr>
        <w:t xml:space="preserve">Padilla</w:t>
      </w:r>
      <w:r>
        <w:rPr>
          <w:i/>
          <w:iCs/>
        </w:rPr>
        <w:t xml:space="preserve"> </w:t>
      </w:r>
      <w:r>
        <w:rPr>
          <w:i/>
          <w:iCs/>
        </w:rPr>
        <w:t xml:space="preserve">v.</w:t>
      </w:r>
      <w:r>
        <w:rPr>
          <w:i/>
          <w:iCs/>
        </w:rPr>
        <w:t xml:space="preserve"> </w:t>
      </w:r>
      <w:r>
        <w:rPr>
          <w:i/>
          <w:iCs/>
        </w:rPr>
        <w:t xml:space="preserve">Kentucky</w:t>
      </w:r>
      <w:r>
        <w:t xml:space="preserve"> </w:t>
      </w:r>
      <w:r>
        <w:t xml:space="preserve">559</w:t>
      </w:r>
      <w:r>
        <w:t xml:space="preserve"> </w:t>
      </w:r>
      <w:r>
        <w:t xml:space="preserve">U.S.</w:t>
      </w:r>
      <w:r>
        <w:t xml:space="preserve"> </w:t>
      </w:r>
      <w:r>
        <w:t xml:space="preserve">356</w:t>
      </w:r>
      <w:r>
        <w:t xml:space="preserve"> </w:t>
      </w:r>
      <w:r>
        <w:t xml:space="preserve">(2010)</w:t>
      </w:r>
      <w:r>
        <w:t xml:space="preserve">   </w:t>
      </w:r>
      <w:r>
        <w:tab/>
      </w:r>
      <w:r>
        <w:t xml:space="preserve">7</w:t>
      </w:r>
    </w:p>
    <w:p>
      <w:pPr>
        <w:keepLines/>
        <w:tabs>
          <w:tab w:val="right" w:leader="dot" w:pos="9360"/>
        </w:tabs>
        <w:spacing w:before="144" w:after="0" w:line="276" w:lineRule="exact"/>
        <w:ind w:left="576" w:right="1120" w:hanging="576"/>
      </w:pPr>
      <w:r>
        <w:rPr>
          <w:i/>
          <w:iCs/>
        </w:rPr>
        <w:t xml:space="preserve">Quill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Dakota</w:t>
      </w:r>
      <w:r>
        <w:t xml:space="preserve"> </w:t>
      </w:r>
      <w:r>
        <w:t xml:space="preserve">504</w:t>
      </w:r>
      <w:r>
        <w:t xml:space="preserve"> </w:t>
      </w:r>
      <w:r>
        <w:t xml:space="preserve">U.S.</w:t>
      </w:r>
      <w:r>
        <w:t xml:space="preserve"> </w:t>
      </w:r>
      <w:r>
        <w:t xml:space="preserve">298</w:t>
      </w:r>
      <w:r>
        <w:t xml:space="preserve"> </w:t>
      </w:r>
      <w:r>
        <w:t xml:space="preserve">(1992)</w:t>
      </w:r>
      <w:r>
        <w:t xml:space="preserve">   </w:t>
      </w:r>
      <w:r>
        <w:tab/>
      </w:r>
      <w:r>
        <w:t xml:space="preserve">20</w:t>
      </w:r>
    </w:p>
    <w:p>
      <w:pPr>
        <w:keepLines/>
        <w:tabs>
          <w:tab w:val="right" w:leader="dot" w:pos="9360"/>
        </w:tabs>
        <w:spacing w:before="144" w:after="0" w:line="276" w:lineRule="exact"/>
        <w:ind w:left="576" w:right="1920" w:hanging="576"/>
      </w:pPr>
      <w:r>
        <w:rPr>
          <w:i/>
          <w:iCs/>
        </w:rPr>
        <w:t xml:space="preserve">Ramos</w:t>
      </w:r>
      <w:r>
        <w:rPr>
          <w:i/>
          <w:iCs/>
        </w:rPr>
        <w:t xml:space="preserve"> </w:t>
      </w:r>
      <w:r>
        <w:rPr>
          <w:i/>
          <w:iCs/>
        </w:rPr>
        <w:t xml:space="preserve">v.</w:t>
      </w:r>
      <w:r>
        <w:rPr>
          <w:i/>
          <w:iCs/>
        </w:rPr>
        <w:t xml:space="preserve"> </w:t>
      </w:r>
      <w:r>
        <w:rPr>
          <w:i/>
          <w:iCs/>
        </w:rPr>
        <w:t xml:space="preserve">Louisiana</w:t>
      </w:r>
      <w:r>
        <w:t xml:space="preserve"> </w:t>
      </w:r>
      <w:r>
        <w:t xml:space="preserve">140</w:t>
      </w:r>
      <w:r>
        <w:t xml:space="preserve"> </w:t>
      </w:r>
      <w:r>
        <w:t xml:space="preserve">S.</w:t>
      </w:r>
      <w:r>
        <w:t xml:space="preserve"> </w:t>
      </w:r>
      <w:r>
        <w:t xml:space="preserve">Ct.</w:t>
      </w:r>
      <w:r>
        <w:t xml:space="preserve"> </w:t>
      </w:r>
      <w:r>
        <w:t xml:space="preserve">1390</w:t>
      </w:r>
      <w:r>
        <w:t xml:space="preserve"> </w:t>
      </w:r>
      <w:r>
        <w:t xml:space="preserve">(2020)</w:t>
      </w:r>
      <w:r>
        <w:t xml:space="preserve">   </w:t>
      </w:r>
      <w:r>
        <w:tab/>
      </w:r>
      <w:r>
        <w:t xml:space="preserve">1, 11, 17, 18, 20, 22</w:t>
      </w:r>
    </w:p>
    <w:p>
      <w:pPr>
        <w:keepLines/>
        <w:tabs>
          <w:tab w:val="right" w:leader="dot" w:pos="9360"/>
        </w:tabs>
        <w:spacing w:before="144" w:after="0" w:line="276" w:lineRule="exact"/>
        <w:ind w:left="576" w:right="1120" w:hanging="576"/>
      </w:pPr>
      <w:r>
        <w:rPr>
          <w:i/>
          <w:iCs/>
        </w:rPr>
        <w:t xml:space="preserve">Ring</w:t>
      </w:r>
      <w:r>
        <w:rPr>
          <w:i/>
          <w:iCs/>
        </w:rPr>
        <w:t xml:space="preserve"> </w:t>
      </w:r>
      <w:r>
        <w:rPr>
          <w:i/>
          <w:iCs/>
        </w:rPr>
        <w:t xml:space="preserve">v.</w:t>
      </w:r>
      <w:r>
        <w:rPr>
          <w:i/>
          <w:iCs/>
        </w:rPr>
        <w:t xml:space="preserve"> </w:t>
      </w:r>
      <w:r>
        <w:rPr>
          <w:i/>
          <w:iCs/>
        </w:rPr>
        <w:t xml:space="preserve">Arizona</w:t>
      </w:r>
      <w:r>
        <w:t xml:space="preserve"> </w:t>
      </w:r>
      <w:r>
        <w:t xml:space="preserve">536</w:t>
      </w:r>
      <w:r>
        <w:t xml:space="preserve"> </w:t>
      </w:r>
      <w:r>
        <w:t xml:space="preserve">U.S.</w:t>
      </w:r>
      <w:r>
        <w:t xml:space="preserve"> </w:t>
      </w:r>
      <w:r>
        <w:t xml:space="preserve">584</w:t>
      </w:r>
      <w:r>
        <w:t xml:space="preserve"> </w:t>
      </w:r>
      <w:r>
        <w:t xml:space="preserve">(2002)</w:t>
      </w:r>
      <w:r>
        <w:t xml:space="preserve">   </w:t>
      </w:r>
      <w:r>
        <w:tab/>
      </w:r>
      <w:r>
        <w:t xml:space="preserve">7</w:t>
      </w:r>
    </w:p>
    <w:p>
      <w:pPr>
        <w:keepLines/>
        <w:tabs>
          <w:tab w:val="right" w:leader="dot" w:pos="9360"/>
        </w:tabs>
        <w:spacing w:before="144" w:after="0" w:line="276" w:lineRule="exact"/>
        <w:ind w:left="576" w:right="1120" w:hanging="576"/>
      </w:pPr>
      <w:r>
        <w:rPr>
          <w:i/>
          <w:iCs/>
        </w:rPr>
        <w:t xml:space="preserve">Saffle</w:t>
      </w:r>
      <w:r>
        <w:rPr>
          <w:i/>
          <w:iCs/>
        </w:rPr>
        <w:t xml:space="preserve"> </w:t>
      </w:r>
      <w:r>
        <w:rPr>
          <w:i/>
          <w:iCs/>
        </w:rPr>
        <w:t xml:space="preserve">v.</w:t>
      </w:r>
      <w:r>
        <w:rPr>
          <w:i/>
          <w:iCs/>
        </w:rPr>
        <w:t xml:space="preserve"> </w:t>
      </w:r>
      <w:r>
        <w:rPr>
          <w:i/>
          <w:iCs/>
        </w:rPr>
        <w:t xml:space="preserve">Parks</w:t>
      </w:r>
      <w:r>
        <w:t xml:space="preserve"> </w:t>
      </w:r>
      <w:r>
        <w:t xml:space="preserve">494</w:t>
      </w:r>
      <w:r>
        <w:t xml:space="preserve"> </w:t>
      </w:r>
      <w:r>
        <w:t xml:space="preserve">U.S.</w:t>
      </w:r>
      <w:r>
        <w:t xml:space="preserve"> </w:t>
      </w:r>
      <w:r>
        <w:t xml:space="preserve">484</w:t>
      </w:r>
      <w:r>
        <w:t xml:space="preserve"> </w:t>
      </w:r>
      <w:r>
        <w:t xml:space="preserve">(1990)</w:t>
      </w:r>
      <w:r>
        <w:t xml:space="preserve">   </w:t>
      </w:r>
      <w:r>
        <w:tab/>
      </w:r>
      <w:r>
        <w:t xml:space="preserve">6, 16</w:t>
      </w:r>
    </w:p>
    <w:p>
      <w:pPr>
        <w:keepLines/>
        <w:tabs>
          <w:tab w:val="right" w:leader="dot" w:pos="9360"/>
        </w:tabs>
        <w:spacing w:before="144" w:after="0" w:line="276" w:lineRule="exact"/>
        <w:ind w:left="576" w:right="1120" w:hanging="576"/>
      </w:pPr>
      <w:r>
        <w:rPr>
          <w:i/>
          <w:iCs/>
        </w:rPr>
        <w:t xml:space="preserve">Sawyer</w:t>
      </w:r>
      <w:r>
        <w:rPr>
          <w:i/>
          <w:iCs/>
        </w:rPr>
        <w:t xml:space="preserve"> </w:t>
      </w:r>
      <w:r>
        <w:rPr>
          <w:i/>
          <w:iCs/>
        </w:rPr>
        <w:t xml:space="preserve">v.</w:t>
      </w:r>
      <w:r>
        <w:rPr>
          <w:i/>
          <w:iCs/>
        </w:rPr>
        <w:t xml:space="preserve"> </w:t>
      </w:r>
      <w:r>
        <w:rPr>
          <w:i/>
          <w:iCs/>
        </w:rPr>
        <w:t xml:space="preserve">Smith</w:t>
      </w:r>
      <w:r>
        <w:t xml:space="preserve"> </w:t>
      </w:r>
      <w:r>
        <w:t xml:space="preserve">497</w:t>
      </w:r>
      <w:r>
        <w:t xml:space="preserve"> </w:t>
      </w:r>
      <w:r>
        <w:t xml:space="preserve">U.S.</w:t>
      </w:r>
      <w:r>
        <w:t xml:space="preserve"> </w:t>
      </w:r>
      <w:r>
        <w:t xml:space="preserve">227</w:t>
      </w:r>
      <w:r>
        <w:t xml:space="preserve"> </w:t>
      </w:r>
      <w:r>
        <w:t xml:space="preserve">(1990)</w:t>
      </w:r>
      <w:r>
        <w:t xml:space="preserve">   </w:t>
      </w:r>
      <w:r>
        <w:tab/>
      </w:r>
      <w:r>
        <w:t xml:space="preserve">8, 13, 19</w:t>
      </w:r>
    </w:p>
    <w:p>
      <w:pPr>
        <w:keepLines/>
        <w:tabs>
          <w:tab w:val="right" w:leader="dot" w:pos="9360"/>
        </w:tabs>
        <w:spacing w:before="144" w:after="0" w:line="276" w:lineRule="exact"/>
        <w:ind w:left="576" w:right="1120" w:hanging="576"/>
      </w:pPr>
      <w:r>
        <w:rPr>
          <w:i/>
          <w:iCs/>
        </w:rPr>
        <w:t xml:space="preserve">Schriro</w:t>
      </w:r>
      <w:r>
        <w:rPr>
          <w:i/>
          <w:iCs/>
        </w:rPr>
        <w:t xml:space="preserve"> </w:t>
      </w:r>
      <w:r>
        <w:rPr>
          <w:i/>
          <w:iCs/>
        </w:rPr>
        <w:t xml:space="preserve">v.</w:t>
      </w:r>
      <w:r>
        <w:rPr>
          <w:i/>
          <w:iCs/>
        </w:rPr>
        <w:t xml:space="preserve"> </w:t>
      </w:r>
      <w:r>
        <w:rPr>
          <w:i/>
          <w:iCs/>
        </w:rPr>
        <w:t xml:space="preserve">Summerlin</w:t>
      </w:r>
      <w:r>
        <w:t xml:space="preserve"> </w:t>
      </w:r>
      <w:r>
        <w:t xml:space="preserve">542</w:t>
      </w:r>
      <w:r>
        <w:t xml:space="preserve"> </w:t>
      </w:r>
      <w:r>
        <w:t xml:space="preserve">U.S.</w:t>
      </w:r>
      <w:r>
        <w:t xml:space="preserve"> </w:t>
      </w:r>
      <w:r>
        <w:t xml:space="preserve">348</w:t>
      </w:r>
      <w:r>
        <w:t xml:space="preserve"> </w:t>
      </w:r>
      <w:r>
        <w:t xml:space="preserve">(2004)</w:t>
      </w:r>
      <w:r>
        <w:t xml:space="preserve">   </w:t>
      </w:r>
      <w:r>
        <w:tab/>
      </w:r>
      <w:r>
        <w:rPr>
          <w:i/>
          <w:iCs/>
        </w:rPr>
        <w:t xml:space="preserve">passim</w:t>
      </w:r>
    </w:p>
    <w:p>
      <w:pPr>
        <w:keepLines/>
        <w:tabs>
          <w:tab w:val="right" w:leader="dot" w:pos="9360"/>
        </w:tabs>
        <w:spacing w:before="144" w:after="0" w:line="276" w:lineRule="exact"/>
        <w:ind w:left="576" w:right="1120" w:hanging="576"/>
      </w:pPr>
      <w:r>
        <w:rPr>
          <w:i/>
          <w:iCs/>
        </w:rPr>
        <w:t xml:space="preserve">Silva</w:t>
      </w:r>
      <w:r>
        <w:rPr>
          <w:i/>
          <w:iCs/>
        </w:rPr>
        <w:t xml:space="preserve"> </w:t>
      </w:r>
      <w:r>
        <w:rPr>
          <w:i/>
          <w:iCs/>
        </w:rPr>
        <w:t xml:space="preserve">v.</w:t>
      </w:r>
      <w:r>
        <w:rPr>
          <w:i/>
          <w:iCs/>
        </w:rPr>
        <w:t xml:space="preserve"> </w:t>
      </w:r>
      <w:r>
        <w:rPr>
          <w:i/>
          <w:iCs/>
        </w:rPr>
        <w:t xml:space="preserve">Vannoy</w:t>
      </w:r>
      <w:r>
        <w:t xml:space="preserve"> </w:t>
      </w:r>
      <w:r>
        <w:t xml:space="preserve">2019</w:t>
        <w:noBreakHyphen/>
        <w:t xml:space="preserve">01861</w:t>
      </w:r>
      <w:r>
        <w:t xml:space="preserve"> </w:t>
      </w:r>
      <w:r>
        <w:t xml:space="preserve">(La.</w:t>
      </w:r>
      <w:r>
        <w:t xml:space="preserve"> </w:t>
      </w:r>
      <w:r>
        <w:t xml:space="preserve">6/3/20),</w:t>
      </w:r>
      <w:r>
        <w:t xml:space="preserve"> </w:t>
      </w:r>
      <w:r>
        <w:t xml:space="preserve">296</w:t>
      </w:r>
      <w:r>
        <w:t xml:space="preserve"> </w:t>
      </w:r>
      <w:r>
        <w:t xml:space="preserve">So.3d</w:t>
      </w:r>
      <w:r>
        <w:t xml:space="preserve"> </w:t>
      </w:r>
      <w:r>
        <w:t xml:space="preserve">1033</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Simmons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t xml:space="preserve"> </w:t>
      </w:r>
      <w:r>
        <w:t xml:space="preserve">512</w:t>
      </w:r>
      <w:r>
        <w:t xml:space="preserve"> </w:t>
      </w:r>
      <w:r>
        <w:t xml:space="preserve">U.S.</w:t>
      </w:r>
      <w:r>
        <w:t xml:space="preserve"> </w:t>
      </w:r>
      <w:r>
        <w:t xml:space="preserve">154</w:t>
      </w:r>
      <w:r>
        <w:t xml:space="preserve"> </w:t>
      </w:r>
      <w:r>
        <w:t xml:space="preserve">(1994)</w:t>
      </w:r>
      <w:r>
        <w:t xml:space="preserve">   </w:t>
      </w:r>
      <w:r>
        <w:tab/>
      </w:r>
      <w:r>
        <w:t xml:space="preserve">7</w:t>
      </w:r>
    </w:p>
    <w:p>
      <w:pPr>
        <w:keepLines/>
        <w:tabs>
          <w:tab w:val="right" w:leader="dot" w:pos="9360"/>
        </w:tabs>
        <w:spacing w:before="144" w:after="0" w:line="276" w:lineRule="exact"/>
        <w:ind w:left="576" w:right="1120" w:hanging="576"/>
      </w:pPr>
      <w:r>
        <w:rPr>
          <w:i/>
          <w:iCs/>
        </w:rPr>
        <w:t xml:space="preserve">South</w:t>
      </w:r>
      <w:r>
        <w:rPr>
          <w:i/>
          <w:iCs/>
        </w:rPr>
        <w:t xml:space="preserve"> </w:t>
      </w:r>
      <w:r>
        <w:rPr>
          <w:i/>
          <w:iCs/>
        </w:rPr>
        <w:t xml:space="preserve">Dakota</w:t>
      </w:r>
      <w:r>
        <w:rPr>
          <w:i/>
          <w:iCs/>
        </w:rPr>
        <w:t xml:space="preserve"> </w:t>
      </w:r>
      <w:r>
        <w:rPr>
          <w:i/>
          <w:iCs/>
        </w:rPr>
        <w:t xml:space="preserve">v.</w:t>
      </w:r>
      <w:r>
        <w:rPr>
          <w:i/>
          <w:iCs/>
        </w:rPr>
        <w:t xml:space="preserve"> </w:t>
      </w:r>
      <w:r>
        <w:rPr>
          <w:i/>
          <w:iCs/>
        </w:rPr>
        <w:t xml:space="preserve">Wayfair,</w:t>
      </w:r>
      <w:r>
        <w:rPr>
          <w:i/>
          <w:iCs/>
        </w:rPr>
        <w:t xml:space="preserve"> </w:t>
      </w:r>
      <w:r>
        <w:rPr>
          <w:i/>
          <w:iCs/>
        </w:rPr>
        <w:t xml:space="preserve">Inc.</w:t>
      </w:r>
      <w:r>
        <w:t xml:space="preserve"> </w:t>
      </w:r>
      <w:r>
        <w:t xml:space="preserve">138</w:t>
      </w:r>
      <w:r>
        <w:t xml:space="preserve"> </w:t>
      </w:r>
      <w:r>
        <w:t xml:space="preserve">S.</w:t>
      </w:r>
      <w:r>
        <w:t xml:space="preserve"> </w:t>
      </w:r>
      <w:r>
        <w:t xml:space="preserve">Ct.</w:t>
      </w:r>
      <w:r>
        <w:t xml:space="preserve"> </w:t>
      </w:r>
      <w:r>
        <w:t xml:space="preserve">2080</w:t>
      </w:r>
      <w:r>
        <w:t xml:space="preserve"> </w:t>
      </w:r>
      <w:r>
        <w:t xml:space="preserve">(2018)</w:t>
      </w:r>
      <w:r>
        <w:t xml:space="preserve">   </w:t>
      </w:r>
      <w:r>
        <w:tab/>
      </w:r>
      <w:r>
        <w:t xml:space="preserve">20</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Taylor</w:t>
      </w:r>
      <w:r>
        <w:rPr>
          <w:i/>
          <w:iCs/>
        </w:rPr>
        <w:t xml:space="preserve"> </w:t>
      </w:r>
      <w:r>
        <w:rPr>
          <w:i/>
          <w:iCs/>
        </w:rPr>
        <w:t xml:space="preserve">v.</w:t>
      </w:r>
      <w:r>
        <w:rPr>
          <w:i/>
          <w:iCs/>
        </w:rPr>
        <w:t xml:space="preserve"> </w:t>
      </w:r>
      <w:r>
        <w:rPr>
          <w:i/>
          <w:iCs/>
        </w:rPr>
        <w:t xml:space="preserve">Whitley</w:t>
      </w:r>
      <w:r>
        <w:t xml:space="preserve"> </w:t>
      </w:r>
      <w:r>
        <w:t xml:space="preserve">606</w:t>
      </w:r>
      <w:r>
        <w:t xml:space="preserve"> </w:t>
      </w:r>
      <w:r>
        <w:t xml:space="preserve">So.</w:t>
      </w:r>
      <w:r>
        <w:t xml:space="preserve"> </w:t>
      </w:r>
      <w:r>
        <w:t xml:space="preserve">2d</w:t>
      </w:r>
      <w:r>
        <w:t xml:space="preserve"> </w:t>
      </w:r>
      <w:r>
        <w:t xml:space="preserve">1292</w:t>
      </w:r>
      <w:r>
        <w:t xml:space="preserve"> </w:t>
      </w:r>
      <w:r>
        <w:t xml:space="preserve">(La.</w:t>
      </w:r>
      <w:r>
        <w:t xml:space="preserve"> </w:t>
      </w:r>
      <w:r>
        <w:t xml:space="preserve">1992)</w:t>
      </w:r>
      <w:r>
        <w:t xml:space="preserve">   </w:t>
      </w:r>
      <w:r>
        <w:tab/>
      </w:r>
      <w:r>
        <w:t xml:space="preserve">5, 9, 11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Alcus</w:t>
      </w:r>
      <w:r>
        <w:rPr>
          <w:i/>
          <w:iCs/>
        </w:rPr>
        <w:t xml:space="preserve"> </w:t>
      </w:r>
      <w:r>
        <w:rPr>
          <w:i/>
          <w:iCs/>
        </w:rPr>
        <w:t xml:space="preserve">Smith</w:t>
      </w:r>
      <w:r>
        <w:t xml:space="preserve"> </w:t>
      </w:r>
      <w:r>
        <w:t xml:space="preserve">2020</w:t>
        <w:noBreakHyphen/>
        <w:t xml:space="preserve">00621</w:t>
      </w:r>
      <w:r>
        <w:t xml:space="preserve"> </w:t>
      </w:r>
      <w:r>
        <w:t xml:space="preserve">(La.</w:t>
      </w:r>
      <w:r>
        <w:t xml:space="preserve"> </w:t>
      </w:r>
      <w:r>
        <w:t xml:space="preserve">9/29/20),</w:t>
      </w:r>
      <w:r>
        <w:t xml:space="preserve"> </w:t>
      </w:r>
      <w:r>
        <w:t xml:space="preserve">2020 WL 5793717</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Barrett</w:t>
      </w:r>
      <w:r>
        <w:t xml:space="preserve"> </w:t>
      </w:r>
      <w:r>
        <w:t xml:space="preserve">2019</w:t>
        <w:noBreakHyphen/>
        <w:t xml:space="preserve">01718</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827</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Brooks</w:t>
      </w:r>
      <w:r>
        <w:t xml:space="preserve"> </w:t>
      </w:r>
      <w:r>
        <w:t xml:space="preserve">2020</w:t>
        <w:noBreakHyphen/>
        <w:t xml:space="preserve">00378</w:t>
      </w:r>
      <w:r>
        <w:t xml:space="preserve"> </w:t>
      </w:r>
      <w:r>
        <w:t xml:space="preserve">(La.</w:t>
      </w:r>
      <w:r>
        <w:t xml:space="preserve"> </w:t>
      </w:r>
      <w:r>
        <w:t xml:space="preserve">10/14/20),</w:t>
      </w:r>
      <w:r>
        <w:t xml:space="preserve"> </w:t>
      </w:r>
      <w:r>
        <w:t xml:space="preserve">2020 WL 6059695</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Brown</w:t>
      </w:r>
      <w:r>
        <w:t xml:space="preserve"> </w:t>
      </w:r>
      <w:r>
        <w:t xml:space="preserve">2020</w:t>
        <w:noBreakHyphen/>
        <w:t xml:space="preserve">00276</w:t>
      </w:r>
      <w:r>
        <w:t xml:space="preserve"> </w:t>
      </w:r>
      <w:r>
        <w:t xml:space="preserve">(La.</w:t>
      </w:r>
      <w:r>
        <w:t xml:space="preserve"> </w:t>
      </w:r>
      <w:r>
        <w:t xml:space="preserve">6/22/20),</w:t>
      </w:r>
      <w:r>
        <w:t xml:space="preserve"> </w:t>
      </w:r>
      <w:r>
        <w:t xml:space="preserve">297</w:t>
      </w:r>
      <w:r>
        <w:t xml:space="preserve"> </w:t>
      </w:r>
      <w:r>
        <w:t xml:space="preserve">So.3d</w:t>
      </w:r>
      <w:r>
        <w:t xml:space="preserve"> </w:t>
      </w:r>
      <w:r>
        <w:t xml:space="preserve">721</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Carter</w:t>
      </w:r>
      <w:r>
        <w:t xml:space="preserve"> </w:t>
      </w:r>
      <w:r>
        <w:t xml:space="preserve">2019</w:t>
        <w:noBreakHyphen/>
        <w:t xml:space="preserve">02053</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856</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Cook</w:t>
      </w:r>
      <w:r>
        <w:t xml:space="preserve"> </w:t>
      </w:r>
      <w:r>
        <w:t xml:space="preserve">2020</w:t>
        <w:noBreakHyphen/>
        <w:t xml:space="preserve">00001</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838</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Dotson</w:t>
      </w:r>
      <w:r>
        <w:t xml:space="preserve"> </w:t>
      </w:r>
      <w:r>
        <w:t xml:space="preserve">2019</w:t>
        <w:noBreakHyphen/>
        <w:t xml:space="preserve">01828</w:t>
      </w:r>
      <w:r>
        <w:t xml:space="preserve"> </w:t>
      </w:r>
      <w:r>
        <w:t xml:space="preserve">(La.</w:t>
      </w:r>
      <w:r>
        <w:t xml:space="preserve"> </w:t>
      </w:r>
      <w:r>
        <w:t xml:space="preserve">6/3/20),</w:t>
      </w:r>
      <w:r>
        <w:t xml:space="preserve"> </w:t>
      </w:r>
      <w:r>
        <w:t xml:space="preserve">296</w:t>
      </w:r>
      <w:r>
        <w:t xml:space="preserve"> </w:t>
      </w:r>
      <w:r>
        <w:t xml:space="preserve">So.3d</w:t>
      </w:r>
      <w:r>
        <w:t xml:space="preserve"> </w:t>
      </w:r>
      <w:r>
        <w:t xml:space="preserve">1059</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Eaglin</w:t>
      </w:r>
      <w:r>
        <w:t xml:space="preserve"> </w:t>
      </w:r>
      <w:r>
        <w:t xml:space="preserve">2019</w:t>
        <w:noBreakHyphen/>
        <w:t xml:space="preserve">01952</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840</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Essex</w:t>
      </w:r>
      <w:r>
        <w:t xml:space="preserve"> </w:t>
      </w:r>
      <w:r>
        <w:t xml:space="preserve">2020</w:t>
        <w:noBreakHyphen/>
        <w:t xml:space="preserve">00009</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843</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Ferreira</w:t>
      </w:r>
      <w:r>
        <w:t xml:space="preserve"> </w:t>
      </w:r>
      <w:r>
        <w:t xml:space="preserve">2019</w:t>
        <w:noBreakHyphen/>
        <w:t xml:space="preserve">01929</w:t>
      </w:r>
      <w:r>
        <w:t xml:space="preserve"> </w:t>
      </w:r>
      <w:r>
        <w:t xml:space="preserve">(La.</w:t>
      </w:r>
      <w:r>
        <w:t xml:space="preserve"> </w:t>
      </w:r>
      <w:r>
        <w:t xml:space="preserve">10/14/20),</w:t>
      </w:r>
      <w:r>
        <w:t xml:space="preserve"> </w:t>
      </w:r>
      <w:r>
        <w:t xml:space="preserve">302</w:t>
      </w:r>
      <w:r>
        <w:t xml:space="preserve"> </w:t>
      </w:r>
      <w:r>
        <w:t xml:space="preserve">So.</w:t>
      </w:r>
      <w:r>
        <w:t xml:space="preserve"> </w:t>
      </w:r>
      <w:r>
        <w:t xml:space="preserve">3d</w:t>
      </w:r>
      <w:r>
        <w:t xml:space="preserve"> </w:t>
      </w:r>
      <w:r>
        <w:t xml:space="preserve">1096</w:t>
      </w:r>
      <w:r>
        <w:t xml:space="preserve">   </w:t>
      </w:r>
      <w:r>
        <w:tab/>
      </w:r>
      <w:r>
        <w:t xml:space="preserve">10</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George</w:t>
      </w:r>
      <w:r>
        <w:t xml:space="preserve"> </w:t>
      </w:r>
      <w:r>
        <w:t xml:space="preserve">255</w:t>
      </w:r>
      <w:r>
        <w:t xml:space="preserve"> </w:t>
      </w:r>
      <w:r>
        <w:t xml:space="preserve">La.</w:t>
      </w:r>
      <w:r>
        <w:t xml:space="preserve"> </w:t>
      </w:r>
      <w:r>
        <w:t xml:space="preserve">104,</w:t>
      </w:r>
      <w:r>
        <w:t xml:space="preserve"> </w:t>
      </w:r>
      <w:r>
        <w:t xml:space="preserve">229</w:t>
      </w:r>
      <w:r>
        <w:t xml:space="preserve"> </w:t>
      </w:r>
      <w:r>
        <w:t xml:space="preserve">So.</w:t>
      </w:r>
      <w:r>
        <w:t xml:space="preserve"> </w:t>
      </w:r>
      <w:r>
        <w:t xml:space="preserve">2d</w:t>
      </w:r>
      <w:r>
        <w:t xml:space="preserve"> </w:t>
      </w:r>
      <w:r>
        <w:t xml:space="preserve">715</w:t>
      </w:r>
      <w:r>
        <w:t xml:space="preserve"> </w:t>
      </w:r>
      <w:r>
        <w:t xml:space="preserve">(1969)</w:t>
      </w:r>
      <w:r>
        <w:t xml:space="preserve">   </w:t>
      </w:r>
      <w:r>
        <w:tab/>
      </w:r>
      <w:r>
        <w:t xml:space="preserve">13</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Hankton</w:t>
      </w:r>
      <w:r>
        <w:t xml:space="preserve"> </w:t>
      </w:r>
      <w:r>
        <w:t xml:space="preserve">2012</w:t>
        <w:noBreakHyphen/>
        <w:t xml:space="preserve">0375</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8/2/13),</w:t>
      </w:r>
      <w:r>
        <w:t xml:space="preserve"> </w:t>
      </w:r>
      <w:r>
        <w:t xml:space="preserve">122</w:t>
      </w:r>
      <w:r>
        <w:t xml:space="preserve"> </w:t>
      </w:r>
      <w:r>
        <w:t xml:space="preserve">So.</w:t>
      </w:r>
      <w:r>
        <w:t xml:space="preserve"> </w:t>
      </w:r>
      <w:r>
        <w:t xml:space="preserve">3d</w:t>
      </w:r>
      <w:r>
        <w:t xml:space="preserve"> </w:t>
      </w:r>
      <w:r>
        <w:t xml:space="preserve">1028</w:t>
      </w:r>
      <w:r>
        <w:t xml:space="preserve">   </w:t>
      </w:r>
      <w:r>
        <w:tab/>
      </w:r>
      <w:r>
        <w:t xml:space="preserve">20</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Harris</w:t>
      </w:r>
      <w:r>
        <w:t xml:space="preserve"> </w:t>
      </w:r>
      <w:r>
        <w:t xml:space="preserve">2020</w:t>
        <w:noBreakHyphen/>
        <w:t xml:space="preserve">00291</w:t>
      </w:r>
      <w:r>
        <w:t xml:space="preserve"> </w:t>
      </w:r>
      <w:r>
        <w:t xml:space="preserve">(La.</w:t>
      </w:r>
      <w:r>
        <w:t xml:space="preserve"> </w:t>
      </w:r>
      <w:r>
        <w:t xml:space="preserve">9/8/20),</w:t>
      </w:r>
      <w:r>
        <w:t xml:space="preserve"> </w:t>
      </w:r>
      <w:r>
        <w:t xml:space="preserve">301</w:t>
      </w:r>
      <w:r>
        <w:t xml:space="preserve"> </w:t>
      </w:r>
      <w:r>
        <w:t xml:space="preserve">So.3d</w:t>
      </w:r>
      <w:r>
        <w:t xml:space="preserve"> </w:t>
      </w:r>
      <w:r>
        <w:t xml:space="preserve">13</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Hattaway</w:t>
      </w:r>
      <w:r>
        <w:t xml:space="preserve"> </w:t>
      </w:r>
      <w:r>
        <w:t xml:space="preserve">621</w:t>
      </w:r>
      <w:r>
        <w:t xml:space="preserve"> </w:t>
      </w:r>
      <w:r>
        <w:t xml:space="preserve">So.</w:t>
      </w:r>
      <w:r>
        <w:t xml:space="preserve"> </w:t>
      </w:r>
      <w:r>
        <w:t xml:space="preserve">2d</w:t>
      </w:r>
      <w:r>
        <w:t xml:space="preserve"> </w:t>
      </w:r>
      <w:r>
        <w:t xml:space="preserve">796</w:t>
      </w:r>
      <w:r>
        <w:t xml:space="preserve"> </w:t>
      </w:r>
      <w:r>
        <w:t xml:space="preserve">(La.</w:t>
      </w:r>
      <w:r>
        <w:t xml:space="preserve"> </w:t>
      </w:r>
      <w:r>
        <w:t xml:space="preserve">1993)</w:t>
      </w:r>
      <w:r>
        <w:t xml:space="preserve">   </w:t>
      </w:r>
      <w:r>
        <w:tab/>
      </w:r>
      <w:r>
        <w:t xml:space="preserve">10</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Hawthorne</w:t>
      </w:r>
      <w:r>
        <w:t xml:space="preserve"> </w:t>
      </w:r>
      <w:r>
        <w:t xml:space="preserve">2020</w:t>
        <w:noBreakHyphen/>
        <w:t xml:space="preserve">00586</w:t>
      </w:r>
      <w:r>
        <w:t xml:space="preserve"> </w:t>
      </w:r>
      <w:r>
        <w:t xml:space="preserve">(La.</w:t>
      </w:r>
      <w:r>
        <w:t xml:space="preserve"> </w:t>
      </w:r>
      <w:r>
        <w:t xml:space="preserve">9/29/20),</w:t>
      </w:r>
      <w:r>
        <w:t xml:space="preserve"> </w:t>
      </w:r>
      <w:r>
        <w:t xml:space="preserve">2020 WL 5793105</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Jackson</w:t>
      </w:r>
      <w:r>
        <w:t xml:space="preserve"> </w:t>
      </w:r>
      <w:r>
        <w:t xml:space="preserve">2020</w:t>
        <w:noBreakHyphen/>
        <w:t xml:space="preserve">00037</w:t>
      </w:r>
      <w:r>
        <w:t xml:space="preserve"> </w:t>
      </w:r>
      <w:r>
        <w:t xml:space="preserve">(La.</w:t>
      </w:r>
      <w:r>
        <w:t xml:space="preserve"> </w:t>
      </w:r>
      <w:r>
        <w:t xml:space="preserve">9/8/20),</w:t>
      </w:r>
      <w:r>
        <w:t xml:space="preserve"> </w:t>
      </w:r>
      <w:r>
        <w:t xml:space="preserve">301</w:t>
      </w:r>
      <w:r>
        <w:t xml:space="preserve"> </w:t>
      </w:r>
      <w:r>
        <w:t xml:space="preserve">So.3d</w:t>
      </w:r>
      <w:r>
        <w:t xml:space="preserve"> </w:t>
      </w:r>
      <w:r>
        <w:t xml:space="preserve">33</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Johnson</w:t>
      </w:r>
      <w:r>
        <w:t xml:space="preserve"> </w:t>
      </w:r>
      <w:r>
        <w:t xml:space="preserve">2019</w:t>
        <w:noBreakHyphen/>
        <w:t xml:space="preserve">02075</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858</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Johnson</w:t>
      </w:r>
      <w:r>
        <w:t xml:space="preserve"> </w:t>
      </w:r>
      <w:r>
        <w:t xml:space="preserve">2020</w:t>
        <w:noBreakHyphen/>
        <w:t xml:space="preserve">00052</w:t>
      </w:r>
      <w:r>
        <w:t xml:space="preserve"> </w:t>
      </w:r>
      <w:r>
        <w:t xml:space="preserve">(La.</w:t>
      </w:r>
      <w:r>
        <w:t xml:space="preserve"> </w:t>
      </w:r>
      <w:r>
        <w:t xml:space="preserve">9/29/20),</w:t>
      </w:r>
      <w:r>
        <w:t xml:space="preserve"> </w:t>
      </w:r>
      <w:r>
        <w:t xml:space="preserve">2020 WL 5793805</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Joseph</w:t>
      </w:r>
      <w:r>
        <w:t xml:space="preserve"> </w:t>
      </w:r>
      <w:r>
        <w:t xml:space="preserve">2020</w:t>
        <w:noBreakHyphen/>
        <w:t xml:space="preserve">01989</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824</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Kidd</w:t>
      </w:r>
      <w:r>
        <w:t xml:space="preserve"> </w:t>
      </w:r>
      <w:r>
        <w:t xml:space="preserve">2020</w:t>
        <w:noBreakHyphen/>
        <w:t xml:space="preserve">00055</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828</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Mason</w:t>
      </w:r>
      <w:r>
        <w:t xml:space="preserve"> </w:t>
      </w:r>
      <w:r>
        <w:t xml:space="preserve">2019</w:t>
        <w:noBreakHyphen/>
        <w:t xml:space="preserve">01821</w:t>
      </w:r>
      <w:r>
        <w:t xml:space="preserve"> </w:t>
      </w:r>
      <w:r>
        <w:t xml:space="preserve">(La.</w:t>
      </w:r>
      <w:r>
        <w:t xml:space="preserve"> </w:t>
      </w:r>
      <w:r>
        <w:t xml:space="preserve">8/14/20,</w:t>
      </w:r>
      <w:r>
        <w:t xml:space="preserve"> </w:t>
      </w:r>
      <w:r>
        <w:t xml:space="preserve">2020 WL 4726952</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McGuire</w:t>
      </w:r>
      <w:r>
        <w:t xml:space="preserve"> </w:t>
      </w:r>
      <w:r>
        <w:t xml:space="preserve">2019</w:t>
        <w:noBreakHyphen/>
        <w:t xml:space="preserve">01632</w:t>
      </w:r>
      <w:r>
        <w:t xml:space="preserve"> </w:t>
      </w:r>
      <w:r>
        <w:t xml:space="preserve">(8/14/20),</w:t>
      </w:r>
      <w:r>
        <w:t xml:space="preserve"> </w:t>
      </w:r>
      <w:r>
        <w:t xml:space="preserve">300</w:t>
      </w:r>
      <w:r>
        <w:t xml:space="preserve"> </w:t>
      </w:r>
      <w:r>
        <w:t xml:space="preserve">So.3d</w:t>
      </w:r>
      <w:r>
        <w:t xml:space="preserve"> </w:t>
      </w:r>
      <w:r>
        <w:t xml:space="preserve">830</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McKnight</w:t>
      </w:r>
      <w:r>
        <w:t xml:space="preserve"> </w:t>
      </w:r>
      <w:r>
        <w:t xml:space="preserve">2020</w:t>
        <w:noBreakHyphen/>
        <w:t xml:space="preserve">00873</w:t>
      </w:r>
      <w:r>
        <w:t xml:space="preserve"> </w:t>
      </w:r>
      <w:r>
        <w:t xml:space="preserve">(La.</w:t>
      </w:r>
      <w:r>
        <w:t xml:space="preserve"> </w:t>
      </w:r>
      <w:r>
        <w:t xml:space="preserve">7/17/20,</w:t>
      </w:r>
      <w:r>
        <w:t xml:space="preserve"> </w:t>
      </w:r>
      <w:r>
        <w:t xml:space="preserve">299</w:t>
      </w:r>
      <w:r>
        <w:t xml:space="preserve"> </w:t>
      </w:r>
      <w:r>
        <w:t xml:space="preserve">So.3d</w:t>
      </w:r>
      <w:r>
        <w:t xml:space="preserve"> </w:t>
      </w:r>
      <w:r>
        <w:t xml:space="preserve">64</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Mims</w:t>
      </w:r>
      <w:r>
        <w:t xml:space="preserve"> </w:t>
      </w:r>
      <w:r>
        <w:t xml:space="preserve">2019</w:t>
        <w:noBreakHyphen/>
        <w:t xml:space="preserve">2088</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867</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Moran</w:t>
      </w:r>
      <w:r>
        <w:t xml:space="preserve"> </w:t>
      </w:r>
      <w:r>
        <w:t xml:space="preserve">2020</w:t>
        <w:noBreakHyphen/>
        <w:t xml:space="preserve">00623</w:t>
      </w:r>
      <w:r>
        <w:t xml:space="preserve"> </w:t>
      </w:r>
      <w:r>
        <w:t xml:space="preserve">(La.</w:t>
      </w:r>
      <w:r>
        <w:t xml:space="preserve"> </w:t>
      </w:r>
      <w:r>
        <w:t xml:space="preserve">App.</w:t>
      </w:r>
      <w:r>
        <w:t xml:space="preserve"> </w:t>
      </w:r>
      <w:r>
        <w:t xml:space="preserve">10/14/20),</w:t>
      </w:r>
      <w:r>
        <w:t xml:space="preserve"> </w:t>
      </w:r>
      <w:r>
        <w:t xml:space="preserve">2020 WL 6059685</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Parish</w:t>
      </w:r>
      <w:r>
        <w:t xml:space="preserve"> </w:t>
      </w:r>
      <w:r>
        <w:t xml:space="preserve">2020</w:t>
        <w:noBreakHyphen/>
        <w:t xml:space="preserve">00072</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861</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Pittman</w:t>
      </w:r>
      <w:r>
        <w:t xml:space="preserve"> </w:t>
      </w:r>
      <w:r>
        <w:t xml:space="preserve">2019</w:t>
        <w:noBreakHyphen/>
        <w:t xml:space="preserve">01354</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856</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Rashan</w:t>
      </w:r>
      <w:r>
        <w:rPr>
          <w:i/>
          <w:iCs/>
        </w:rPr>
        <w:t xml:space="preserve"> </w:t>
      </w:r>
      <w:r>
        <w:rPr>
          <w:i/>
          <w:iCs/>
        </w:rPr>
        <w:t xml:space="preserve">Williams</w:t>
      </w:r>
      <w:r>
        <w:t xml:space="preserve"> </w:t>
      </w:r>
      <w:r>
        <w:t xml:space="preserve">2020</w:t>
        <w:noBreakHyphen/>
        <w:t xml:space="preserve">00069</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860</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Reddick</w:t>
      </w:r>
      <w:r>
        <w:t xml:space="preserve"> </w:t>
      </w:r>
      <w:r>
        <w:t xml:space="preserve">94</w:t>
        <w:noBreakHyphen/>
        <w:t xml:space="preserve">2230</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2/29/96),</w:t>
      </w:r>
      <w:r>
        <w:t xml:space="preserve"> </w:t>
      </w:r>
      <w:r>
        <w:t xml:space="preserve">670</w:t>
      </w:r>
      <w:r>
        <w:t xml:space="preserve"> </w:t>
      </w:r>
      <w:r>
        <w:t xml:space="preserve">So.</w:t>
      </w:r>
      <w:r>
        <w:t xml:space="preserve"> </w:t>
      </w:r>
      <w:r>
        <w:t xml:space="preserve">2d</w:t>
      </w:r>
      <w:r>
        <w:t xml:space="preserve"> </w:t>
      </w:r>
      <w:r>
        <w:t xml:space="preserve">551</w:t>
      </w:r>
      <w:r>
        <w:t xml:space="preserve">   </w:t>
      </w:r>
      <w:r>
        <w:tab/>
      </w:r>
      <w:r>
        <w:t xml:space="preserve">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Reddick</w:t>
      </w:r>
      <w:r>
        <w:t xml:space="preserve"> </w:t>
      </w:r>
      <w:r>
        <w:t xml:space="preserve">97</w:t>
        <w:noBreakHyphen/>
        <w:t xml:space="preserve">1155</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2/11/98),</w:t>
      </w:r>
      <w:r>
        <w:t xml:space="preserve"> </w:t>
      </w:r>
      <w:r>
        <w:t xml:space="preserve">707</w:t>
      </w:r>
      <w:r>
        <w:t xml:space="preserve"> </w:t>
      </w:r>
      <w:r>
        <w:t xml:space="preserve">So.</w:t>
      </w:r>
      <w:r>
        <w:t xml:space="preserve"> </w:t>
      </w:r>
      <w:r>
        <w:t xml:space="preserve">2d</w:t>
      </w:r>
      <w:r>
        <w:t xml:space="preserve"> </w:t>
      </w:r>
      <w:r>
        <w:t xml:space="preserve">521</w:t>
      </w:r>
      <w:r>
        <w:t xml:space="preserve">   </w:t>
      </w:r>
      <w:r>
        <w:tab/>
      </w:r>
      <w:r>
        <w:t xml:space="preserve">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Reddick</w:t>
      </w:r>
      <w:r>
        <w:t xml:space="preserve"> </w:t>
      </w:r>
      <w:r>
        <w:t xml:space="preserve">98</w:t>
        <w:noBreakHyphen/>
        <w:t xml:space="preserve">0664</w:t>
      </w:r>
      <w:r>
        <w:t xml:space="preserve"> </w:t>
      </w:r>
      <w:r>
        <w:t xml:space="preserve">(La.</w:t>
      </w:r>
      <w:r>
        <w:t xml:space="preserve"> </w:t>
      </w:r>
      <w:r>
        <w:t xml:space="preserve">9/18/98),</w:t>
      </w:r>
      <w:r>
        <w:t xml:space="preserve"> </w:t>
      </w:r>
      <w:r>
        <w:t xml:space="preserve">724</w:t>
      </w:r>
      <w:r>
        <w:t xml:space="preserve"> </w:t>
      </w:r>
      <w:r>
        <w:t xml:space="preserve">So.</w:t>
      </w:r>
      <w:r>
        <w:t xml:space="preserve"> </w:t>
      </w:r>
      <w:r>
        <w:t xml:space="preserve">2d</w:t>
      </w:r>
      <w:r>
        <w:t xml:space="preserve"> </w:t>
      </w:r>
      <w:r>
        <w:t xml:space="preserve">755</w:t>
      </w:r>
      <w:r>
        <w:t xml:space="preserve">   </w:t>
      </w:r>
      <w:r>
        <w:tab/>
      </w:r>
      <w:r>
        <w:t xml:space="preserve">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Rochon</w:t>
      </w:r>
      <w:r>
        <w:t xml:space="preserve"> </w:t>
      </w:r>
      <w:r>
        <w:t xml:space="preserve">2019</w:t>
        <w:noBreakHyphen/>
        <w:t xml:space="preserve">01678</w:t>
      </w:r>
      <w:r>
        <w:t xml:space="preserve"> </w:t>
      </w:r>
      <w:r>
        <w:t xml:space="preserve">(La.</w:t>
      </w:r>
      <w:r>
        <w:t xml:space="preserve"> </w:t>
      </w:r>
      <w:r>
        <w:t xml:space="preserve">6/3/20),</w:t>
      </w:r>
      <w:r>
        <w:t xml:space="preserve"> </w:t>
      </w:r>
      <w:r>
        <w:t xml:space="preserve">296</w:t>
      </w:r>
      <w:r>
        <w:t xml:space="preserve"> </w:t>
      </w:r>
      <w:r>
        <w:t xml:space="preserve">So.3d</w:t>
      </w:r>
      <w:r>
        <w:t xml:space="preserve"> </w:t>
      </w:r>
      <w:r>
        <w:t xml:space="preserve">1028</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Rockeymore</w:t>
      </w:r>
      <w:r>
        <w:t xml:space="preserve"> </w:t>
      </w:r>
      <w:r>
        <w:t xml:space="preserve">253</w:t>
      </w:r>
      <w:r>
        <w:t xml:space="preserve"> </w:t>
      </w:r>
      <w:r>
        <w:t xml:space="preserve">La.</w:t>
      </w:r>
      <w:r>
        <w:t xml:space="preserve"> </w:t>
      </w:r>
      <w:r>
        <w:t xml:space="preserve">101,</w:t>
      </w:r>
      <w:r>
        <w:t xml:space="preserve"> </w:t>
      </w:r>
      <w:r>
        <w:t xml:space="preserve">216</w:t>
      </w:r>
      <w:r>
        <w:t xml:space="preserve"> </w:t>
      </w:r>
      <w:r>
        <w:t xml:space="preserve">So.</w:t>
      </w:r>
      <w:r>
        <w:t xml:space="preserve"> </w:t>
      </w:r>
      <w:r>
        <w:t xml:space="preserve">2d</w:t>
      </w:r>
      <w:r>
        <w:t xml:space="preserve"> </w:t>
      </w:r>
      <w:r>
        <w:t xml:space="preserve">828</w:t>
      </w:r>
      <w:r>
        <w:t xml:space="preserve"> </w:t>
      </w:r>
      <w:r>
        <w:t xml:space="preserve">(1968)</w:t>
      </w:r>
      <w:r>
        <w:t xml:space="preserve">   </w:t>
      </w:r>
      <w:r>
        <w:tab/>
      </w:r>
      <w:r>
        <w:t xml:space="preserve">13</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Ruiz</w:t>
      </w:r>
      <w:r>
        <w:t xml:space="preserve"> </w:t>
      </w:r>
      <w:r>
        <w:t xml:space="preserve">2006</w:t>
        <w:noBreakHyphen/>
        <w:t xml:space="preserve">1755</w:t>
      </w:r>
      <w:r>
        <w:t xml:space="preserve"> </w:t>
      </w:r>
      <w:r>
        <w:t xml:space="preserve">(La.</w:t>
      </w:r>
      <w:r>
        <w:t xml:space="preserve"> </w:t>
      </w:r>
      <w:r>
        <w:t xml:space="preserve">4/11/07),</w:t>
      </w:r>
      <w:r>
        <w:t xml:space="preserve"> </w:t>
      </w:r>
      <w:r>
        <w:t xml:space="preserve">955</w:t>
      </w:r>
      <w:r>
        <w:t xml:space="preserve"> </w:t>
      </w:r>
      <w:r>
        <w:t xml:space="preserve">So.</w:t>
      </w:r>
      <w:r>
        <w:t xml:space="preserve"> </w:t>
      </w:r>
      <w:r>
        <w:t xml:space="preserve">2d</w:t>
      </w:r>
      <w:r>
        <w:t xml:space="preserve"> </w:t>
      </w:r>
      <w:r>
        <w:t xml:space="preserve">81</w:t>
      </w:r>
      <w:r>
        <w:t xml:space="preserve">   </w:t>
      </w:r>
      <w:r>
        <w:tab/>
      </w:r>
      <w:r>
        <w:t xml:space="preserve">5</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Sims</w:t>
      </w:r>
      <w:r>
        <w:t xml:space="preserve"> </w:t>
      </w:r>
      <w:r>
        <w:t xml:space="preserve">2020</w:t>
        <w:noBreakHyphen/>
        <w:t xml:space="preserve">00298</w:t>
      </w:r>
      <w:r>
        <w:t xml:space="preserve"> </w:t>
      </w:r>
      <w:r>
        <w:t xml:space="preserve">(La.</w:t>
      </w:r>
      <w:r>
        <w:t xml:space="preserve"> </w:t>
      </w:r>
      <w:r>
        <w:t xml:space="preserve">9/8/20),</w:t>
      </w:r>
      <w:r>
        <w:t xml:space="preserve"> </w:t>
      </w:r>
      <w:r>
        <w:t xml:space="preserve">301</w:t>
      </w:r>
      <w:r>
        <w:t xml:space="preserve"> </w:t>
      </w:r>
      <w:r>
        <w:t xml:space="preserve">So.3d</w:t>
      </w:r>
      <w:r>
        <w:t xml:space="preserve"> </w:t>
      </w:r>
      <w:r>
        <w:t xml:space="preserve">17</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Skipper</w:t>
      </w:r>
      <w:r>
        <w:t xml:space="preserve"> </w:t>
      </w:r>
      <w:r>
        <w:t xml:space="preserve">2020</w:t>
        <w:noBreakHyphen/>
        <w:t xml:space="preserve">00280</w:t>
      </w:r>
      <w:r>
        <w:t xml:space="preserve"> </w:t>
      </w:r>
      <w:r>
        <w:t xml:space="preserve">(La.</w:t>
      </w:r>
      <w:r>
        <w:t xml:space="preserve"> </w:t>
      </w:r>
      <w:r>
        <w:t xml:space="preserve">9/8/20),</w:t>
      </w:r>
      <w:r>
        <w:t xml:space="preserve"> </w:t>
      </w:r>
      <w:r>
        <w:t xml:space="preserve">301</w:t>
      </w:r>
      <w:r>
        <w:t xml:space="preserve"> </w:t>
      </w:r>
      <w:r>
        <w:t xml:space="preserve">So.3d</w:t>
      </w:r>
      <w:r>
        <w:t xml:space="preserve"> </w:t>
      </w:r>
      <w:r>
        <w:t xml:space="preserve">16</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Sonnier</w:t>
      </w:r>
      <w:r>
        <w:t xml:space="preserve"> </w:t>
      </w:r>
      <w:r>
        <w:t xml:space="preserve">2019</w:t>
        <w:noBreakHyphen/>
        <w:t xml:space="preserve">02066</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857</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Sparks</w:t>
      </w:r>
      <w:r>
        <w:t xml:space="preserve"> </w:t>
      </w:r>
      <w:r>
        <w:t xml:space="preserve">1988</w:t>
        <w:noBreakHyphen/>
        <w:t xml:space="preserve">0017</w:t>
      </w:r>
      <w:r>
        <w:t xml:space="preserve"> </w:t>
      </w:r>
      <w:r>
        <w:t xml:space="preserve">(La.</w:t>
      </w:r>
      <w:r>
        <w:t xml:space="preserve"> </w:t>
      </w:r>
      <w:r>
        <w:t xml:space="preserve">5/11/11),</w:t>
      </w:r>
      <w:r>
        <w:t xml:space="preserve"> </w:t>
      </w:r>
      <w:r>
        <w:t xml:space="preserve">68</w:t>
      </w:r>
      <w:r>
        <w:t xml:space="preserve"> </w:t>
      </w:r>
      <w:r>
        <w:t xml:space="preserve">So.</w:t>
      </w:r>
      <w:r>
        <w:t xml:space="preserve"> </w:t>
      </w:r>
      <w:r>
        <w:t xml:space="preserve">3d</w:t>
      </w:r>
      <w:r>
        <w:t xml:space="preserve"> </w:t>
      </w:r>
      <w:r>
        <w:t xml:space="preserve">435</w:t>
      </w:r>
      <w:r>
        <w:t xml:space="preserve">   </w:t>
      </w:r>
      <w:r>
        <w:tab/>
      </w:r>
      <w:r>
        <w:t xml:space="preserve">5</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Spencer</w:t>
      </w:r>
      <w:r>
        <w:t xml:space="preserve"> </w:t>
      </w:r>
      <w:r>
        <w:t xml:space="preserve">2019</w:t>
        <w:noBreakHyphen/>
        <w:t xml:space="preserve">01318</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855</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Tate</w:t>
      </w:r>
      <w:r>
        <w:t xml:space="preserve"> </w:t>
      </w:r>
      <w:r>
        <w:t xml:space="preserve">2012</w:t>
        <w:noBreakHyphen/>
        <w:t xml:space="preserve">2763</w:t>
      </w:r>
      <w:r>
        <w:t xml:space="preserve"> </w:t>
      </w:r>
      <w:r>
        <w:t xml:space="preserve">(La.</w:t>
      </w:r>
      <w:r>
        <w:t xml:space="preserve"> </w:t>
      </w:r>
      <w:r>
        <w:t xml:space="preserve">11/5/13),</w:t>
      </w:r>
      <w:r>
        <w:t xml:space="preserve"> </w:t>
      </w:r>
      <w:r>
        <w:t xml:space="preserve">130</w:t>
      </w:r>
      <w:r>
        <w:t xml:space="preserve"> </w:t>
      </w:r>
      <w:r>
        <w:t xml:space="preserve">So.</w:t>
      </w:r>
      <w:r>
        <w:t xml:space="preserve"> </w:t>
      </w:r>
      <w:r>
        <w:t xml:space="preserve">3d</w:t>
      </w:r>
      <w:r>
        <w:t xml:space="preserve"> </w:t>
      </w:r>
      <w:r>
        <w:t xml:space="preserve">829</w:t>
      </w:r>
      <w:r>
        <w:t xml:space="preserve">   </w:t>
      </w:r>
      <w:r>
        <w:tab/>
      </w:r>
      <w:r>
        <w:t xml:space="preserve">10</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Triplett</w:t>
      </w:r>
      <w:r>
        <w:t xml:space="preserve"> </w:t>
      </w:r>
      <w:r>
        <w:t xml:space="preserve">2019</w:t>
        <w:noBreakHyphen/>
        <w:t xml:space="preserve">01718</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827</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Wardlaw</w:t>
      </w:r>
      <w:r>
        <w:t xml:space="preserve"> </w:t>
      </w:r>
      <w:r>
        <w:t xml:space="preserve">2020</w:t>
        <w:noBreakHyphen/>
        <w:t xml:space="preserve">00004</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859</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Williams</w:t>
      </w:r>
      <w:r>
        <w:t xml:space="preserve"> </w:t>
      </w:r>
      <w:r>
        <w:t xml:space="preserve">2019</w:t>
        <w:noBreakHyphen/>
        <w:t xml:space="preserve">02010</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856</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Withers</w:t>
      </w:r>
      <w:r>
        <w:t xml:space="preserve"> </w:t>
      </w:r>
      <w:r>
        <w:t xml:space="preserve">2020</w:t>
        <w:noBreakHyphen/>
        <w:t xml:space="preserve">00258</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860</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Young</w:t>
      </w:r>
      <w:r>
        <w:t xml:space="preserve"> </w:t>
      </w:r>
      <w:r>
        <w:t xml:space="preserve">2019</w:t>
        <w:noBreakHyphen/>
        <w:t xml:space="preserve">01818</w:t>
      </w:r>
      <w:r>
        <w:t xml:space="preserve"> </w:t>
      </w:r>
      <w:r>
        <w:t xml:space="preserve">(La.</w:t>
      </w:r>
      <w:r>
        <w:t xml:space="preserve"> </w:t>
      </w:r>
      <w:r>
        <w:t xml:space="preserve">6/12/20),</w:t>
      </w:r>
      <w:r>
        <w:t xml:space="preserve"> </w:t>
      </w:r>
      <w:r>
        <w:t xml:space="preserve">2020 WL 3424876</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Stewart</w:t>
      </w:r>
      <w:r>
        <w:rPr>
          <w:i/>
          <w:iCs/>
        </w:rPr>
        <w:t xml:space="preserve"> </w:t>
      </w:r>
      <w:r>
        <w:rPr>
          <w:i/>
          <w:iCs/>
        </w:rPr>
        <w:t xml:space="preserve">v.</w:t>
      </w:r>
      <w:r>
        <w:rPr>
          <w:i/>
          <w:iCs/>
        </w:rPr>
        <w:t xml:space="preserve"> </w:t>
      </w:r>
      <w:r>
        <w:rPr>
          <w:i/>
          <w:iCs/>
        </w:rPr>
        <w:t xml:space="preserve">State</w:t>
      </w:r>
      <w:r>
        <w:t xml:space="preserve"> </w:t>
      </w:r>
      <w:r>
        <w:t xml:space="preserve">95</w:t>
        <w:noBreakHyphen/>
        <w:t xml:space="preserve">2385</w:t>
      </w:r>
      <w:r>
        <w:t xml:space="preserve"> </w:t>
      </w:r>
      <w:r>
        <w:t xml:space="preserve">(La.</w:t>
      </w:r>
      <w:r>
        <w:t xml:space="preserve"> </w:t>
      </w:r>
      <w:r>
        <w:t xml:space="preserve">7/2/96),</w:t>
      </w:r>
      <w:r>
        <w:t xml:space="preserve"> </w:t>
      </w:r>
      <w:r>
        <w:t xml:space="preserve">676</w:t>
      </w:r>
      <w:r>
        <w:t xml:space="preserve"> </w:t>
      </w:r>
      <w:r>
        <w:t xml:space="preserve">So.</w:t>
      </w:r>
      <w:r>
        <w:t xml:space="preserve"> </w:t>
      </w:r>
      <w:r>
        <w:t xml:space="preserve">2d</w:t>
      </w:r>
      <w:r>
        <w:t xml:space="preserve"> </w:t>
      </w:r>
      <w:r>
        <w:t xml:space="preserve">87</w:t>
      </w:r>
      <w:r>
        <w:t xml:space="preserve">   </w:t>
      </w:r>
      <w:r>
        <w:tab/>
      </w:r>
      <w:r>
        <w:t xml:space="preserve">10</w:t>
      </w:r>
    </w:p>
    <w:p>
      <w:pPr>
        <w:keepLines/>
        <w:tabs>
          <w:tab w:val="right" w:leader="dot" w:pos="9360"/>
        </w:tabs>
        <w:spacing w:before="144" w:after="0" w:line="276" w:lineRule="exact"/>
        <w:ind w:left="576" w:right="1120" w:hanging="576"/>
      </w:pPr>
      <w:r>
        <w:rPr>
          <w:i/>
          <w:iCs/>
        </w:rPr>
        <w:t xml:space="preserve">Stringer</w:t>
      </w:r>
      <w:r>
        <w:rPr>
          <w:i/>
          <w:iCs/>
        </w:rPr>
        <w:t xml:space="preserve"> </w:t>
      </w:r>
      <w:r>
        <w:rPr>
          <w:i/>
          <w:iCs/>
        </w:rPr>
        <w:t xml:space="preserve">v.</w:t>
      </w:r>
      <w:r>
        <w:rPr>
          <w:i/>
          <w:iCs/>
        </w:rPr>
        <w:t xml:space="preserve"> </w:t>
      </w:r>
      <w:r>
        <w:rPr>
          <w:i/>
          <w:iCs/>
        </w:rPr>
        <w:t xml:space="preserve">Black</w:t>
      </w:r>
      <w:r>
        <w:t xml:space="preserve"> </w:t>
      </w:r>
      <w:r>
        <w:t xml:space="preserve">503</w:t>
      </w:r>
      <w:r>
        <w:t xml:space="preserve"> </w:t>
      </w:r>
      <w:r>
        <w:t xml:space="preserve">U.S.</w:t>
      </w:r>
      <w:r>
        <w:t xml:space="preserve"> </w:t>
      </w:r>
      <w:r>
        <w:t xml:space="preserve">222</w:t>
      </w:r>
      <w:r>
        <w:t xml:space="preserve"> </w:t>
      </w:r>
      <w:r>
        <w:t xml:space="preserve">(1992)</w:t>
      </w:r>
      <w:r>
        <w:t xml:space="preserve">   </w:t>
      </w:r>
      <w:r>
        <w:tab/>
      </w:r>
      <w:r>
        <w:t xml:space="preserve">18</w:t>
      </w:r>
    </w:p>
    <w:p>
      <w:pPr>
        <w:keepLines/>
        <w:tabs>
          <w:tab w:val="right" w:leader="dot" w:pos="9360"/>
        </w:tabs>
        <w:spacing w:before="144" w:after="0" w:line="276" w:lineRule="exact"/>
        <w:ind w:left="576" w:right="1120" w:hanging="576"/>
      </w:pPr>
      <w:r>
        <w:rPr>
          <w:i/>
          <w:iCs/>
        </w:rPr>
        <w:t xml:space="preserve">Teague</w:t>
      </w:r>
      <w:r>
        <w:rPr>
          <w:i/>
          <w:iCs/>
        </w:rPr>
        <w:t xml:space="preserve"> </w:t>
      </w:r>
      <w:r>
        <w:rPr>
          <w:i/>
          <w:iCs/>
        </w:rPr>
        <w:t xml:space="preserve">v.</w:t>
      </w:r>
      <w:r>
        <w:rPr>
          <w:i/>
          <w:iCs/>
        </w:rPr>
        <w:t xml:space="preserve"> </w:t>
      </w:r>
      <w:r>
        <w:rPr>
          <w:i/>
          <w:iCs/>
        </w:rPr>
        <w:t xml:space="preserve">Lane</w:t>
      </w:r>
      <w:r>
        <w:t xml:space="preserve"> </w:t>
      </w:r>
      <w:r>
        <w:t xml:space="preserve">489</w:t>
      </w:r>
      <w:r>
        <w:t xml:space="preserve"> </w:t>
      </w:r>
      <w:r>
        <w:t xml:space="preserve">U.S.</w:t>
      </w:r>
      <w:r>
        <w:t xml:space="preserve"> </w:t>
      </w:r>
      <w:r>
        <w:t xml:space="preserve">288,</w:t>
      </w:r>
      <w:r>
        <w:t xml:space="preserve"> </w:t>
      </w:r>
      <w:r>
        <w:t xml:space="preserve">310</w:t>
      </w:r>
      <w:r>
        <w:t xml:space="preserve"> </w:t>
      </w:r>
      <w:r>
        <w:t xml:space="preserve">(1989)</w:t>
      </w:r>
      <w:r>
        <w:t xml:space="preserve">   </w:t>
      </w:r>
      <w:r>
        <w:tab/>
      </w:r>
      <w:r>
        <w:t xml:space="preserve">2, 6, 15</w:t>
      </w:r>
    </w:p>
    <w:p>
      <w:pPr>
        <w:keepLines/>
        <w:tabs>
          <w:tab w:val="right" w:leader="dot" w:pos="9360"/>
        </w:tabs>
        <w:spacing w:before="144" w:after="0" w:line="276" w:lineRule="exact"/>
        <w:ind w:left="576" w:right="1120" w:hanging="576"/>
      </w:pPr>
      <w:r>
        <w:rPr>
          <w:i/>
          <w:iCs/>
        </w:rPr>
        <w:t xml:space="preserve">Tyler</w:t>
      </w:r>
      <w:r>
        <w:rPr>
          <w:i/>
          <w:iCs/>
        </w:rPr>
        <w:t xml:space="preserve"> </w:t>
      </w:r>
      <w:r>
        <w:rPr>
          <w:i/>
          <w:iCs/>
        </w:rPr>
        <w:t xml:space="preserve">v.</w:t>
      </w:r>
      <w:r>
        <w:rPr>
          <w:i/>
          <w:iCs/>
        </w:rPr>
        <w:t xml:space="preserve"> </w:t>
      </w:r>
      <w:r>
        <w:rPr>
          <w:i/>
          <w:iCs/>
        </w:rPr>
        <w:t xml:space="preserve">Cain</w:t>
      </w:r>
      <w:r>
        <w:t xml:space="preserve"> </w:t>
      </w:r>
      <w:r>
        <w:t xml:space="preserve">533</w:t>
      </w:r>
      <w:r>
        <w:t xml:space="preserve"> </w:t>
      </w:r>
      <w:r>
        <w:t xml:space="preserve">U.S.</w:t>
      </w:r>
      <w:r>
        <w:t xml:space="preserve"> </w:t>
      </w:r>
      <w:r>
        <w:t xml:space="preserve">656</w:t>
      </w:r>
      <w:r>
        <w:t xml:space="preserve"> </w:t>
      </w:r>
      <w:r>
        <w:t xml:space="preserve">(2001)</w:t>
      </w:r>
      <w:r>
        <w:t xml:space="preserve">   </w:t>
      </w:r>
      <w:r>
        <w:tab/>
      </w:r>
      <w:r>
        <w:t xml:space="preserve">7</w:t>
      </w:r>
    </w:p>
    <w:p>
      <w:pPr>
        <w:keepLines/>
        <w:tabs>
          <w:tab w:val="right" w:leader="dot" w:pos="9360"/>
        </w:tabs>
        <w:spacing w:before="144" w:after="0" w:line="276"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Johnson</w:t>
      </w:r>
      <w:r>
        <w:t xml:space="preserve"> </w:t>
      </w:r>
      <w:r>
        <w:t xml:space="preserve">40</w:t>
      </w:r>
      <w:r>
        <w:t xml:space="preserve"> </w:t>
      </w:r>
      <w:r>
        <w:t xml:space="preserve">F.3d</w:t>
      </w:r>
      <w:r>
        <w:t xml:space="preserve"> </w:t>
      </w:r>
      <w:r>
        <w:t xml:space="preserve">436</w:t>
      </w:r>
      <w:r>
        <w:t xml:space="preserve"> </w:t>
      </w:r>
      <w:r>
        <w:t xml:space="preserve">(D.C.</w:t>
      </w:r>
      <w:r>
        <w:t xml:space="preserve"> </w:t>
      </w:r>
      <w:r>
        <w:t xml:space="preserve">Cir.</w:t>
      </w:r>
      <w:r>
        <w:t xml:space="preserve"> </w:t>
      </w:r>
      <w:r>
        <w:t xml:space="preserve">1994)</w:t>
      </w:r>
      <w:r>
        <w:t xml:space="preserve">   </w:t>
      </w:r>
      <w:r>
        <w:tab/>
      </w:r>
      <w:r>
        <w:t xml:space="preserve">21</w:t>
      </w:r>
    </w:p>
    <w:p>
      <w:pPr>
        <w:keepLines/>
        <w:tabs>
          <w:tab w:val="right" w:leader="dot" w:pos="9360"/>
        </w:tabs>
        <w:spacing w:before="144" w:after="0" w:line="276" w:lineRule="exact"/>
        <w:ind w:left="576" w:right="1120" w:hanging="576"/>
      </w:pPr>
      <w:r>
        <w:rPr>
          <w:i/>
          <w:iCs/>
        </w:rPr>
        <w:t xml:space="preserve">Vincent</w:t>
      </w:r>
      <w:r>
        <w:rPr>
          <w:i/>
          <w:iCs/>
        </w:rPr>
        <w:t xml:space="preserve"> </w:t>
      </w:r>
      <w:r>
        <w:rPr>
          <w:i/>
          <w:iCs/>
        </w:rPr>
        <w:t xml:space="preserve">Smith</w:t>
      </w:r>
      <w:r>
        <w:rPr>
          <w:i/>
          <w:iCs/>
        </w:rPr>
        <w:t xml:space="preserve"> </w:t>
      </w:r>
      <w:r>
        <w:rPr>
          <w:i/>
          <w:iCs/>
        </w:rPr>
        <w:t xml:space="preserve">v.</w:t>
      </w:r>
      <w:r>
        <w:rPr>
          <w:i/>
          <w:iCs/>
        </w:rPr>
        <w:t xml:space="preserve"> </w:t>
      </w:r>
      <w:r>
        <w:rPr>
          <w:i/>
          <w:iCs/>
        </w:rPr>
        <w:t xml:space="preserve">Louisiana</w:t>
      </w:r>
      <w:r>
        <w:t xml:space="preserve"> </w:t>
      </w:r>
      <w:r>
        <w:t xml:space="preserve">2019</w:t>
        <w:noBreakHyphen/>
        <w:t xml:space="preserve">02080</w:t>
      </w:r>
      <w:r>
        <w:t xml:space="preserve"> </w:t>
      </w:r>
      <w:r>
        <w:t xml:space="preserve">(La.</w:t>
      </w:r>
      <w:r>
        <w:t xml:space="preserve"> </w:t>
      </w:r>
      <w:r>
        <w:t xml:space="preserve">8/14/20),</w:t>
      </w:r>
      <w:r>
        <w:t xml:space="preserve"> </w:t>
      </w:r>
      <w:r>
        <w:t xml:space="preserve">300</w:t>
      </w:r>
      <w:r>
        <w:t xml:space="preserve"> </w:t>
      </w:r>
      <w:r>
        <w:t xml:space="preserve">So.3d</w:t>
      </w:r>
      <w:r>
        <w:t xml:space="preserve"> </w:t>
      </w:r>
      <w:r>
        <w:t xml:space="preserve">859</w:t>
      </w:r>
      <w:r>
        <w:t xml:space="preserve">   </w:t>
      </w:r>
      <w:r>
        <w:tab/>
      </w:r>
      <w:r>
        <w:t xml:space="preserve">19</w:t>
      </w:r>
    </w:p>
    <w:p>
      <w:pPr>
        <w:keepLines/>
        <w:tabs>
          <w:tab w:val="right" w:leader="dot" w:pos="9360"/>
        </w:tabs>
        <w:spacing w:before="144" w:after="0" w:line="276" w:lineRule="exact"/>
        <w:ind w:left="576" w:right="1120" w:hanging="576"/>
      </w:pPr>
      <w:r>
        <w:rPr>
          <w:i/>
          <w:iCs/>
        </w:rPr>
        <w:t xml:space="preserve">Washington</w:t>
      </w:r>
      <w:r>
        <w:rPr>
          <w:i/>
          <w:iCs/>
        </w:rPr>
        <w:t xml:space="preserve"> </w:t>
      </w:r>
      <w:r>
        <w:rPr>
          <w:i/>
          <w:iCs/>
        </w:rPr>
        <w:t xml:space="preserve">v.</w:t>
      </w:r>
      <w:r>
        <w:rPr>
          <w:i/>
          <w:iCs/>
        </w:rPr>
        <w:t xml:space="preserve"> </w:t>
      </w:r>
      <w:r>
        <w:rPr>
          <w:i/>
          <w:iCs/>
        </w:rPr>
        <w:t xml:space="preserve">Davis</w:t>
      </w:r>
      <w:r>
        <w:t xml:space="preserve"> </w:t>
      </w:r>
      <w:r>
        <w:t xml:space="preserve">426</w:t>
      </w:r>
      <w:r>
        <w:t xml:space="preserve"> </w:t>
      </w:r>
      <w:r>
        <w:t xml:space="preserve">U.S.</w:t>
      </w:r>
      <w:r>
        <w:t xml:space="preserve"> </w:t>
      </w:r>
      <w:r>
        <w:t xml:space="preserve">229</w:t>
      </w:r>
      <w:r>
        <w:t xml:space="preserve"> </w:t>
      </w:r>
      <w:r>
        <w:t xml:space="preserve">(1976)</w:t>
      </w:r>
      <w:r>
        <w:t xml:space="preserve">   </w:t>
      </w:r>
      <w:r>
        <w:tab/>
      </w:r>
      <w:r>
        <w:t xml:space="preserve">21</w:t>
      </w:r>
    </w:p>
    <w:p>
      <w:pPr>
        <w:keepLines/>
        <w:tabs>
          <w:tab w:val="right" w:leader="dot" w:pos="9360"/>
        </w:tabs>
        <w:spacing w:before="144" w:after="0" w:line="276" w:lineRule="exact"/>
        <w:ind w:left="576" w:right="1120" w:hanging="576"/>
      </w:pPr>
      <w:r>
        <w:rPr>
          <w:i/>
          <w:iCs/>
        </w:rPr>
        <w:t xml:space="preserve">Whorton</w:t>
      </w:r>
      <w:r>
        <w:rPr>
          <w:i/>
          <w:iCs/>
        </w:rPr>
        <w:t xml:space="preserve"> </w:t>
      </w:r>
      <w:r>
        <w:rPr>
          <w:i/>
          <w:iCs/>
        </w:rPr>
        <w:t xml:space="preserve">v.</w:t>
      </w:r>
      <w:r>
        <w:rPr>
          <w:i/>
          <w:iCs/>
        </w:rPr>
        <w:t xml:space="preserve"> </w:t>
      </w:r>
      <w:r>
        <w:rPr>
          <w:i/>
          <w:iCs/>
        </w:rPr>
        <w:t xml:space="preserve">Bockting</w:t>
      </w:r>
      <w:r>
        <w:t xml:space="preserve"> </w:t>
      </w:r>
      <w:r>
        <w:t xml:space="preserve">549</w:t>
      </w:r>
      <w:r>
        <w:t xml:space="preserve"> </w:t>
      </w:r>
      <w:r>
        <w:t xml:space="preserve">U.S.</w:t>
      </w:r>
      <w:r>
        <w:t xml:space="preserve"> </w:t>
      </w:r>
      <w:r>
        <w:t xml:space="preserve">406</w:t>
      </w:r>
      <w:r>
        <w:t xml:space="preserve"> </w:t>
      </w:r>
      <w:r>
        <w:t xml:space="preserve">(2007)</w:t>
      </w:r>
      <w:r>
        <w:t xml:space="preserve">   </w:t>
      </w:r>
      <w:r>
        <w:tab/>
      </w:r>
      <w:r>
        <w:rPr>
          <w:i/>
          <w:iCs/>
        </w:rPr>
        <w:t xml:space="preserve">passim</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La.</w:t>
      </w:r>
      <w:r>
        <w:t xml:space="preserve"> </w:t>
      </w:r>
      <w:r>
        <w:t xml:space="preserve">C.</w:t>
      </w:r>
      <w:r>
        <w:t xml:space="preserve"> </w:t>
      </w:r>
      <w:r>
        <w:t xml:space="preserve">Cr.</w:t>
      </w:r>
      <w:r>
        <w:t xml:space="preserve"> </w:t>
      </w:r>
      <w:r>
        <w:t xml:space="preserve">P.</w:t>
      </w:r>
      <w:r>
        <w:t xml:space="preserve"> </w:t>
      </w:r>
      <w:r>
        <w:t xml:space="preserve">art.</w:t>
      </w:r>
      <w:r>
        <w:t xml:space="preserve"> </w:t>
      </w:r>
      <w:r>
        <w:t xml:space="preserve">930.8(A)⁠(2)</w:t>
      </w:r>
      <w:r>
        <w:t xml:space="preserve">   </w:t>
      </w:r>
      <w:r>
        <w:tab/>
      </w:r>
      <w:r>
        <w:t xml:space="preserve">2</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3</w:t>
      </w:r>
      <w:r>
        <w:t xml:space="preserve">   </w:t>
      </w:r>
      <w:r>
        <w:tab/>
      </w:r>
      <w:r>
        <w:t xml:space="preserve">20</w:t>
      </w:r>
    </w:p>
    <w:p>
      <w:pPr>
        <w:keepLines/>
        <w:tabs>
          <w:tab w:val="right" w:leader="dot" w:pos="9360"/>
        </w:tabs>
        <w:spacing w:before="144" w:after="0" w:line="276" w:lineRule="exact"/>
        <w:ind w:left="576" w:right="1120" w:hanging="576"/>
      </w:pPr>
      <w:r>
        <w:t xml:space="preserve">Louisiana</w:t>
      </w:r>
      <w:r>
        <w:t xml:space="preserve"> </w:t>
      </w:r>
      <w:r>
        <w:t xml:space="preserve">Constitution</w:t>
      </w:r>
      <w:r>
        <w:t xml:space="preserve"> </w:t>
      </w:r>
      <w:r>
        <w:t xml:space="preserve">Article</w:t>
      </w:r>
      <w:r>
        <w:t xml:space="preserve"> </w:t>
      </w:r>
      <w:r>
        <w:t xml:space="preserve">I,</w:t>
      </w:r>
      <w:r>
        <w:t xml:space="preserve"> </w:t>
      </w:r>
      <w:r>
        <w:t xml:space="preserve">§</w:t>
      </w:r>
      <w:r>
        <w:t xml:space="preserve"> </w:t>
      </w:r>
      <w:r>
        <w:t xml:space="preserve">12</w:t>
      </w:r>
      <w:r>
        <w:t xml:space="preserve">   </w:t>
      </w:r>
      <w:r>
        <w:tab/>
      </w:r>
      <w:r>
        <w:t xml:space="preserve">20</w:t>
      </w:r>
    </w:p>
    <w:p>
      <w:pPr>
        <w:keepLines/>
        <w:tabs>
          <w:tab w:val="right" w:leader="dot" w:pos="9360"/>
        </w:tabs>
        <w:spacing w:before="144" w:after="0" w:line="276" w:lineRule="exact"/>
        <w:ind w:left="576" w:right="1120" w:hanging="576"/>
      </w:pPr>
      <w:r>
        <w:t xml:space="preserve">Louisiana</w:t>
      </w:r>
      <w:r>
        <w:t xml:space="preserve"> </w:t>
      </w:r>
      <w:r>
        <w:t xml:space="preserve">Constitution</w:t>
      </w:r>
      <w:r>
        <w:t xml:space="preserve"> </w:t>
      </w:r>
      <w:r>
        <w:t xml:space="preserve">Article</w:t>
      </w:r>
      <w:r>
        <w:t xml:space="preserve"> </w:t>
      </w:r>
      <w:r>
        <w:t xml:space="preserve">I,</w:t>
      </w:r>
      <w:r>
        <w:t xml:space="preserve"> </w:t>
      </w:r>
      <w:r>
        <w:t xml:space="preserve">§</w:t>
      </w:r>
      <w:r>
        <w:t xml:space="preserve"> </w:t>
      </w:r>
      <w:r>
        <w:t xml:space="preserve">13</w:t>
      </w:r>
      <w:r>
        <w:t xml:space="preserve">   </w:t>
      </w:r>
      <w:r>
        <w:tab/>
      </w:r>
      <w:r>
        <w:t xml:space="preserve">10</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576" w:right="1120" w:hanging="576"/>
      </w:pPr>
      <w:r>
        <w:t xml:space="preserve">7</w:t>
      </w:r>
      <w:r>
        <w:t xml:space="preserve"> </w:t>
      </w:r>
      <w:r>
        <w:t xml:space="preserve">Records</w:t>
      </w:r>
      <w:r>
        <w:t xml:space="preserve"> </w:t>
      </w:r>
      <w:r>
        <w:t xml:space="preserve">of</w:t>
      </w:r>
      <w:r>
        <w:t xml:space="preserve"> </w:t>
      </w:r>
      <w:r>
        <w:t xml:space="preserve">the</w:t>
      </w:r>
      <w:r>
        <w:t xml:space="preserve"> </w:t>
      </w:r>
      <w:r>
        <w:t xml:space="preserve">Louisiana</w:t>
      </w:r>
      <w:r>
        <w:t xml:space="preserve"> </w:t>
      </w:r>
      <w:r>
        <w:t xml:space="preserve">Constitutional</w:t>
      </w:r>
      <w:r>
        <w:t xml:space="preserve"> </w:t>
      </w:r>
      <w:r>
        <w:t xml:space="preserve">Convention</w:t>
      </w:r>
      <w:r>
        <w:t xml:space="preserve"> </w:t>
      </w:r>
      <w:r>
        <w:t xml:space="preserve">of</w:t>
      </w:r>
      <w:r>
        <w:t xml:space="preserve"> </w:t>
      </w:r>
      <w:r>
        <w:t xml:space="preserve">1973:</w:t>
      </w:r>
      <w:r>
        <w:t xml:space="preserve"> </w:t>
      </w:r>
      <w:r>
        <w:t xml:space="preserve">Convention</w:t>
      </w:r>
      <w:r>
        <w:t xml:space="preserve"> </w:t>
      </w:r>
      <w:r>
        <w:t xml:space="preserve">Transcripts</w:t>
      </w:r>
      <w:r>
        <w:t xml:space="preserve"> </w:t>
      </w:r>
      <w:r>
        <w:t xml:space="preserve">1184–89</w:t>
      </w:r>
      <w:r>
        <w:t xml:space="preserve"> </w:t>
      </w:r>
      <w:r>
        <w:t xml:space="preserve">(La.</w:t>
      </w:r>
      <w:r>
        <w:t xml:space="preserve"> </w:t>
      </w:r>
      <w:r>
        <w:t xml:space="preserve">Constitutional</w:t>
      </w:r>
      <w:r>
        <w:t xml:space="preserve"> </w:t>
      </w:r>
      <w:r>
        <w:t xml:space="preserve">Convention</w:t>
      </w:r>
      <w:r>
        <w:t xml:space="preserve"> </w:t>
      </w:r>
      <w:r>
        <w:t xml:space="preserve">Records</w:t>
      </w:r>
      <w:r>
        <w:t xml:space="preserve"> </w:t>
      </w:r>
      <w:r>
        <w:t xml:space="preserve">Comm’n</w:t>
      </w:r>
      <w:r>
        <w:t xml:space="preserve"> </w:t>
      </w:r>
      <w:r>
        <w:t xml:space="preserve">1977)</w:t>
      </w:r>
      <w:r>
        <w:t xml:space="preserve">   </w:t>
      </w:r>
      <w:r>
        <w:tab/>
      </w:r>
      <w:r>
        <w:t xml:space="preserve">20</w:t>
      </w:r>
    </w:p>
    <w:p>
      <w:pPr>
        <w:keepLines/>
        <w:tabs>
          <w:tab w:val="right" w:leader="dot" w:pos="9360"/>
        </w:tabs>
        <w:spacing w:before="144" w:after="0" w:line="276" w:lineRule="exact"/>
        <w:ind w:left="576" w:right="1120" w:hanging="576"/>
      </w:pPr>
      <w:r>
        <w:t xml:space="preserve">Akhil</w:t>
      </w:r>
      <w:r>
        <w:t xml:space="preserve"> </w:t>
      </w:r>
      <w:r>
        <w:t xml:space="preserve">Reed</w:t>
      </w:r>
      <w:r>
        <w:t xml:space="preserve"> </w:t>
      </w:r>
      <w:r>
        <w:t xml:space="preserve">Amar,</w:t>
      </w:r>
      <w:r>
        <w:t xml:space="preserve"> </w:t>
      </w:r>
      <w:r>
        <w:t xml:space="preserve">Reinventing</w:t>
      </w:r>
      <w:r>
        <w:t xml:space="preserve"> </w:t>
      </w:r>
      <w:r>
        <w:t xml:space="preserve">Juries:</w:t>
      </w:r>
      <w:r>
        <w:t xml:space="preserve"> </w:t>
      </w:r>
      <w:r>
        <w:t xml:space="preserve">Ten</w:t>
      </w:r>
      <w:r>
        <w:t xml:space="preserve"> </w:t>
      </w:r>
      <w:r>
        <w:t xml:space="preserve">Suggested</w:t>
      </w:r>
      <w:r>
        <w:t xml:space="preserve"> </w:t>
      </w:r>
      <w:r>
        <w:t xml:space="preserve">Reforms,</w:t>
      </w:r>
      <w:r>
        <w:t xml:space="preserve"> </w:t>
      </w:r>
      <w:r>
        <w:t xml:space="preserve">28</w:t>
      </w:r>
      <w:r>
        <w:t xml:space="preserve"> </w:t>
      </w:r>
      <w:r>
        <w:t xml:space="preserve">U.C.</w:t>
      </w:r>
      <w:r>
        <w:t xml:space="preserve"> </w:t>
      </w:r>
      <w:r>
        <w:t xml:space="preserve">Davis</w:t>
      </w:r>
      <w:r>
        <w:t xml:space="preserve"> </w:t>
      </w:r>
      <w:r>
        <w:t xml:space="preserve">L.</w:t>
      </w:r>
      <w:r>
        <w:t xml:space="preserve"> </w:t>
      </w:r>
      <w:r>
        <w:t xml:space="preserve">Rev.</w:t>
      </w:r>
      <w:r>
        <w:t xml:space="preserve"> </w:t>
      </w:r>
      <w:r>
        <w:t xml:space="preserve">1169,</w:t>
      </w:r>
      <w:r>
        <w:t xml:space="preserve"> </w:t>
      </w:r>
      <w:r>
        <w:t xml:space="preserve">1191</w:t>
      </w:r>
      <w:r>
        <w:t xml:space="preserve"> </w:t>
      </w:r>
      <w:r>
        <w:t xml:space="preserve">(1995)</w:t>
      </w:r>
      <w:r>
        <w:t xml:space="preserve">   </w:t>
      </w:r>
      <w:r>
        <w:tab/>
      </w:r>
      <w:r>
        <w:t xml:space="preserve">16</w:t>
      </w:r>
    </w:p>
    <w:p>
      <w:pPr>
        <w:keepLines/>
        <w:tabs>
          <w:tab w:val="right" w:leader="dot" w:pos="9360"/>
        </w:tabs>
        <w:spacing w:before="144" w:after="0" w:line="276" w:lineRule="exact"/>
        <w:ind w:left="576" w:right="1120" w:hanging="576"/>
      </w:pPr>
      <w:r>
        <w:t xml:space="preserve">ALI,</w:t>
      </w:r>
      <w:r>
        <w:t xml:space="preserve"> </w:t>
      </w:r>
      <w:r>
        <w:t xml:space="preserve">Code</w:t>
      </w:r>
      <w:r>
        <w:t xml:space="preserve"> </w:t>
      </w:r>
      <w:r>
        <w:t xml:space="preserve">of</w:t>
      </w:r>
      <w:r>
        <w:t xml:space="preserve"> </w:t>
      </w:r>
      <w:r>
        <w:t xml:space="preserve">Criminal</w:t>
      </w:r>
      <w:r>
        <w:t xml:space="preserve"> </w:t>
      </w:r>
      <w:r>
        <w:t xml:space="preserve">Procedure</w:t>
      </w:r>
      <w:r>
        <w:t xml:space="preserve"> </w:t>
      </w:r>
      <w:r>
        <w:t xml:space="preserve">§355</w:t>
      </w:r>
      <w:r>
        <w:t xml:space="preserve"> </w:t>
      </w:r>
      <w:r>
        <w:t xml:space="preserve">(1930)</w:t>
      </w:r>
      <w:r>
        <w:t xml:space="preserve">   </w:t>
      </w:r>
      <w:r>
        <w:tab/>
      </w:r>
      <w:r>
        <w:t xml:space="preserve">22</w:t>
      </w:r>
    </w:p>
    <w:p>
      <w:pPr>
        <w:keepLines/>
        <w:tabs>
          <w:tab w:val="right" w:leader="dot" w:pos="9360"/>
        </w:tabs>
        <w:spacing w:before="144" w:after="0" w:line="276" w:lineRule="exact"/>
        <w:ind w:left="576" w:right="1120" w:hanging="576"/>
      </w:pPr>
      <w:r>
        <w:t xml:space="preserve">American</w:t>
      </w:r>
      <w:r>
        <w:t xml:space="preserve"> </w:t>
      </w:r>
      <w:r>
        <w:t xml:space="preserve">Bar</w:t>
      </w:r>
      <w:r>
        <w:t xml:space="preserve"> </w:t>
      </w:r>
      <w:r>
        <w:t xml:space="preserve">Association,</w:t>
      </w:r>
      <w:r>
        <w:t xml:space="preserve"> </w:t>
      </w:r>
      <w:r>
        <w:t xml:space="preserve">Project</w:t>
      </w:r>
      <w:r>
        <w:t xml:space="preserve"> </w:t>
      </w:r>
      <w:r>
        <w:t xml:space="preserve">on</w:t>
      </w:r>
      <w:r>
        <w:t xml:space="preserve"> </w:t>
      </w:r>
      <w:r>
        <w:t xml:space="preserve">Standards</w:t>
      </w:r>
      <w:r>
        <w:t xml:space="preserve"> </w:t>
      </w:r>
      <w:r>
        <w:t xml:space="preserve">for</w:t>
      </w:r>
      <w:r>
        <w:t xml:space="preserve"> </w:t>
      </w:r>
      <w:r>
        <w:t xml:space="preserve">Criminal</w:t>
      </w:r>
      <w:r>
        <w:t xml:space="preserve"> </w:t>
      </w:r>
      <w:r>
        <w:t xml:space="preserve">Justice,</w:t>
      </w:r>
      <w:r>
        <w:t xml:space="preserve"> </w:t>
      </w:r>
      <w:r>
        <w:t xml:space="preserve">Trial</w:t>
      </w:r>
      <w:r>
        <w:t xml:space="preserve"> </w:t>
      </w:r>
      <w:r>
        <w:t xml:space="preserve">By</w:t>
      </w:r>
      <w:r>
        <w:t xml:space="preserve"> </w:t>
      </w:r>
      <w:r>
        <w:t xml:space="preserve">Jury</w:t>
      </w:r>
      <w:r>
        <w:t xml:space="preserve"> </w:t>
      </w:r>
      <w:r>
        <w:t xml:space="preserve">§</w:t>
      </w:r>
      <w:r>
        <w:t xml:space="preserve"> </w:t>
      </w:r>
      <w:r>
        <w:t xml:space="preserve">1.1</w:t>
      </w:r>
      <w:r>
        <w:t xml:space="preserve"> </w:t>
      </w:r>
      <w:r>
        <w:t xml:space="preserve">(1968)</w:t>
      </w:r>
      <w:r>
        <w:t xml:space="preserve">   </w:t>
      </w:r>
      <w:r>
        <w:tab/>
      </w:r>
      <w:r>
        <w:t xml:space="preserve">22</w:t>
      </w:r>
    </w:p>
    <w:p>
      <w:pPr>
        <w:keepLines/>
        <w:tabs>
          <w:tab w:val="right" w:leader="dot" w:pos="9360"/>
        </w:tabs>
        <w:spacing w:before="144" w:after="0" w:line="276" w:lineRule="exact"/>
        <w:ind w:left="576" w:right="1120" w:hanging="576"/>
      </w:pPr>
      <w:r>
        <w:t xml:space="preserve">Ethan</w:t>
      </w:r>
      <w:r>
        <w:t xml:space="preserve"> </w:t>
      </w:r>
      <w:r>
        <w:t xml:space="preserve">J.</w:t>
      </w:r>
      <w:r>
        <w:t xml:space="preserve"> </w:t>
      </w:r>
      <w:r>
        <w:t xml:space="preserve">Lieb,</w:t>
      </w:r>
      <w:r>
        <w:t xml:space="preserve"> </w:t>
      </w:r>
      <w:r>
        <w:t xml:space="preserve">A</w:t>
      </w:r>
      <w:r>
        <w:t xml:space="preserve"> </w:t>
      </w:r>
      <w:r>
        <w:t xml:space="preserve">Comparison</w:t>
      </w:r>
      <w:r>
        <w:t xml:space="preserve"> </w:t>
      </w:r>
      <w:r>
        <w:t xml:space="preserve">of</w:t>
      </w:r>
      <w:r>
        <w:t xml:space="preserve"> </w:t>
      </w:r>
      <w:r>
        <w:t xml:space="preserve">Criminal</w:t>
      </w:r>
      <w:r>
        <w:t xml:space="preserve"> </w:t>
      </w:r>
      <w:r>
        <w:t xml:space="preserve">Jury</w:t>
      </w:r>
      <w:r>
        <w:t xml:space="preserve"> </w:t>
      </w:r>
      <w:r>
        <w:t xml:space="preserve">Decision</w:t>
      </w:r>
      <w:r>
        <w:t xml:space="preserve"> </w:t>
      </w:r>
      <w:r>
        <w:t xml:space="preserve">Rules</w:t>
      </w:r>
      <w:r>
        <w:t xml:space="preserve"> </w:t>
      </w:r>
      <w:r>
        <w:t xml:space="preserve">in</w:t>
      </w:r>
      <w:r>
        <w:t xml:space="preserve"> </w:t>
      </w:r>
      <w:r>
        <w:t xml:space="preserve">Democratic</w:t>
      </w:r>
      <w:r>
        <w:t xml:space="preserve"> </w:t>
      </w:r>
      <w:r>
        <w:t xml:space="preserve">Countries,</w:t>
      </w:r>
      <w:r>
        <w:t xml:space="preserve"> </w:t>
      </w:r>
      <w:r>
        <w:t xml:space="preserve">5</w:t>
      </w:r>
      <w:r>
        <w:t xml:space="preserve"> </w:t>
      </w:r>
      <w:r>
        <w:t xml:space="preserve">Ohio</w:t>
      </w:r>
      <w:r>
        <w:t xml:space="preserve"> </w:t>
      </w:r>
      <w:r>
        <w:t xml:space="preserve">St.</w:t>
      </w:r>
      <w:r>
        <w:t xml:space="preserve"> </w:t>
      </w:r>
      <w:r>
        <w:t xml:space="preserve">J.</w:t>
      </w:r>
      <w:r>
        <w:t xml:space="preserve"> </w:t>
      </w:r>
      <w:r>
        <w:t xml:space="preserve">Crim.</w:t>
      </w:r>
      <w:r>
        <w:t xml:space="preserve"> </w:t>
      </w:r>
      <w:r>
        <w:t xml:space="preserve">L.</w:t>
      </w:r>
      <w:r>
        <w:t xml:space="preserve"> </w:t>
      </w:r>
      <w:r>
        <w:t xml:space="preserve">629,</w:t>
      </w:r>
      <w:r>
        <w:t xml:space="preserve"> </w:t>
      </w:r>
      <w:r>
        <w:t xml:space="preserve">642</w:t>
      </w:r>
      <w:r>
        <w:t xml:space="preserve"> </w:t>
      </w:r>
      <w:r>
        <w:t xml:space="preserve">(2008)</w:t>
      </w:r>
      <w:r>
        <w:t xml:space="preserve">   </w:t>
      </w:r>
      <w:r>
        <w:tab/>
      </w:r>
      <w:r>
        <w:t xml:space="preserve">17</w:t>
      </w:r>
    </w:p>
    <w:p>
      <w:pPr>
        <w:keepLines/>
        <w:tabs>
          <w:tab w:val="right" w:leader="dot" w:pos="9360"/>
        </w:tabs>
        <w:spacing w:before="144" w:after="0" w:line="276" w:lineRule="exact"/>
        <w:ind w:left="576" w:right="1120" w:hanging="576"/>
      </w:pPr>
      <w:r>
        <w:t xml:space="preserve">National</w:t>
      </w:r>
      <w:r>
        <w:t xml:space="preserve"> </w:t>
      </w:r>
      <w:r>
        <w:t xml:space="preserve">Registry</w:t>
      </w:r>
      <w:r>
        <w:t xml:space="preserve"> </w:t>
      </w:r>
      <w:r>
        <w:t xml:space="preserve">of</w:t>
      </w:r>
      <w:r>
        <w:t xml:space="preserve"> </w:t>
      </w:r>
      <w:r>
        <w:t xml:space="preserve">Exonerations,</w:t>
      </w:r>
      <w:r>
        <w:t xml:space="preserve"> </w:t>
      </w:r>
      <w:r>
        <w:t xml:space="preserve">see</w:t>
      </w:r>
      <w:r>
        <w:t xml:space="preserve"> </w:t>
      </w:r>
      <w:r>
        <w:t xml:space="preserve">https://​bit.​ly/​3091xdd</w:t>
      </w:r>
      <w:r>
        <w:t xml:space="preserve"> </w:t>
      </w:r>
      <w:r>
        <w:t xml:space="preserve">(last</w:t>
      </w:r>
      <w:r>
        <w:t xml:space="preserve"> </w:t>
      </w:r>
      <w:r>
        <w:t xml:space="preserve">visited</w:t>
      </w:r>
      <w:r>
        <w:t xml:space="preserve"> </w:t>
      </w:r>
      <w:r>
        <w:t xml:space="preserve">4/4/2022)</w:t>
      </w:r>
      <w:r>
        <w:t xml:space="preserve">   </w:t>
      </w:r>
      <w:r>
        <w:tab/>
      </w:r>
      <w:r>
        <w:t xml:space="preserve">16</w:t>
      </w:r>
    </w:p>
    <w:p>
      <w:pPr>
        <w:keepLines/>
        <w:tabs>
          <w:tab w:val="right" w:leader="dot" w:pos="9360"/>
        </w:tabs>
        <w:spacing w:before="144" w:after="0" w:line="276" w:lineRule="exact"/>
        <w:ind w:left="576" w:right="1120" w:hanging="576"/>
      </w:pPr>
      <w:r>
        <w:t xml:space="preserve">Oyez,</w:t>
      </w:r>
      <w:r>
        <w:t xml:space="preserve"> </w:t>
      </w:r>
      <w:r>
        <w:t xml:space="preserve">Edwards</w:t>
      </w:r>
      <w:r>
        <w:t xml:space="preserve"> </w:t>
      </w:r>
      <w:r>
        <w:t xml:space="preserve">v.</w:t>
      </w:r>
      <w:r>
        <w:t xml:space="preserve"> </w:t>
      </w:r>
      <w:r>
        <w:t xml:space="preserve">Vannoy,</w:t>
      </w:r>
      <w:r>
        <w:t xml:space="preserve"> </w:t>
      </w:r>
      <w:r>
        <w:t xml:space="preserve">https://​www.​oyez.​org/​cases/​2020/​19-⁠5807</w:t>
      </w:r>
      <w:r>
        <w:t xml:space="preserve">   </w:t>
      </w:r>
      <w:r>
        <w:tab/>
      </w:r>
      <w:r>
        <w:t xml:space="preserve">3</w:t>
      </w:r>
    </w:p>
    <w:p>
      <w:pPr>
        <w:keepLines/>
        <w:tabs>
          <w:tab w:val="right" w:leader="dot" w:pos="9360"/>
        </w:tabs>
        <w:spacing w:before="144" w:after="0" w:line="276" w:lineRule="exact"/>
        <w:ind w:left="576" w:right="1120" w:hanging="576"/>
      </w:pPr>
      <w:r>
        <w:t xml:space="preserve">Sally</w:t>
      </w:r>
      <w:r>
        <w:t xml:space="preserve"> </w:t>
      </w:r>
      <w:r>
        <w:t xml:space="preserve">Lloyd-Bostock</w:t>
      </w:r>
      <w:r>
        <w:t xml:space="preserve"> </w:t>
      </w:r>
      <w:r>
        <w:t xml:space="preserve">&amp;</w:t>
      </w:r>
      <w:r>
        <w:t xml:space="preserve"> </w:t>
      </w:r>
      <w:r>
        <w:t xml:space="preserve">Cheryl</w:t>
      </w:r>
      <w:r>
        <w:t xml:space="preserve"> </w:t>
      </w:r>
      <w:r>
        <w:t xml:space="preserve">Thomas,</w:t>
      </w:r>
      <w:r>
        <w:t xml:space="preserve"> </w:t>
      </w:r>
      <w:r>
        <w:t xml:space="preserve">Decline</w:t>
      </w:r>
      <w:r>
        <w:t xml:space="preserve"> </w:t>
      </w:r>
      <w:r>
        <w:t xml:space="preserve">of</w:t>
      </w:r>
      <w:r>
        <w:t xml:space="preserve"> </w:t>
      </w:r>
      <w:r>
        <w:t xml:space="preserve">the</w:t>
      </w:r>
      <w:r>
        <w:t xml:space="preserve"> </w:t>
      </w:r>
      <w:r>
        <w:t xml:space="preserve">“Little</w:t>
      </w:r>
      <w:r>
        <w:t xml:space="preserve"> </w:t>
      </w:r>
      <w:r>
        <w:t xml:space="preserve">Parliament”:</w:t>
      </w:r>
      <w:r>
        <w:t xml:space="preserve"> </w:t>
      </w:r>
      <w:r>
        <w:t xml:space="preserve">Juries</w:t>
      </w:r>
      <w:r>
        <w:t xml:space="preserve"> </w:t>
      </w:r>
      <w:r>
        <w:t xml:space="preserve">and</w:t>
      </w:r>
      <w:r>
        <w:t xml:space="preserve"> </w:t>
      </w:r>
      <w:r>
        <w:t xml:space="preserve">Jury</w:t>
      </w:r>
      <w:r>
        <w:t xml:space="preserve"> </w:t>
      </w:r>
      <w:r>
        <w:t xml:space="preserve">Reform</w:t>
      </w:r>
      <w:r>
        <w:t xml:space="preserve"> </w:t>
      </w:r>
      <w:r>
        <w:t xml:space="preserve">in</w:t>
      </w:r>
      <w:r>
        <w:t xml:space="preserve"> </w:t>
      </w:r>
      <w:r>
        <w:t xml:space="preserve">England</w:t>
      </w:r>
      <w:r>
        <w:t xml:space="preserve"> </w:t>
      </w:r>
      <w:r>
        <w:t xml:space="preserve">and</w:t>
      </w:r>
      <w:r>
        <w:t xml:space="preserve"> </w:t>
      </w:r>
      <w:r>
        <w:t xml:space="preserve">Wales,</w:t>
      </w:r>
      <w:r>
        <w:t xml:space="preserve"> </w:t>
      </w:r>
      <w:r>
        <w:t xml:space="preserve">62-SPG</w:t>
      </w:r>
      <w:r>
        <w:t xml:space="preserve"> </w:t>
      </w:r>
      <w:r>
        <w:t xml:space="preserve">Law</w:t>
      </w:r>
      <w:r>
        <w:t xml:space="preserve"> </w:t>
      </w:r>
      <w:r>
        <w:t xml:space="preserve">&amp;</w:t>
      </w:r>
      <w:r>
        <w:t xml:space="preserve"> </w:t>
      </w:r>
      <w:r>
        <w:t xml:space="preserve">Contemp.</w:t>
      </w:r>
      <w:r>
        <w:t xml:space="preserve"> </w:t>
      </w:r>
      <w:r>
        <w:t xml:space="preserve">Probs.</w:t>
      </w:r>
      <w:r>
        <w:t xml:space="preserve"> </w:t>
      </w:r>
      <w:r>
        <w:t xml:space="preserve">7,</w:t>
      </w:r>
      <w:r>
        <w:t xml:space="preserve"> </w:t>
      </w:r>
      <w:r>
        <w:t xml:space="preserve">36</w:t>
      </w:r>
      <w:r>
        <w:t xml:space="preserve"> </w:t>
      </w:r>
      <w:r>
        <w:t xml:space="preserve">(1999)</w:t>
      </w:r>
      <w:r>
        <w:t xml:space="preserve">   </w:t>
      </w:r>
      <w:r>
        <w:tab/>
      </w:r>
      <w:r>
        <w:t xml:space="preserve">17</w:t>
      </w:r>
    </w:p>
    <w:p>
      <w:pPr>
        <w:keepLines/>
        <w:tabs>
          <w:tab w:val="right" w:leader="dot" w:pos="9360"/>
        </w:tabs>
        <w:spacing w:before="144" w:after="0" w:line="276" w:lineRule="exact"/>
        <w:ind w:left="576" w:right="1120" w:hanging="576"/>
      </w:pPr>
      <w:r>
        <w:t xml:space="preserve">U.S.</w:t>
      </w:r>
      <w:r>
        <w:t xml:space="preserve"> </w:t>
      </w:r>
      <w:r>
        <w:t xml:space="preserve">Census</w:t>
      </w:r>
      <w:r>
        <w:t xml:space="preserve"> </w:t>
      </w:r>
      <w:r>
        <w:t xml:space="preserve">Bureau,</w:t>
      </w:r>
      <w:r>
        <w:t xml:space="preserve"> </w:t>
      </w:r>
      <w:r>
        <w:t xml:space="preserve">State</w:t>
      </w:r>
      <w:r>
        <w:t xml:space="preserve"> </w:t>
      </w:r>
      <w:r>
        <w:t xml:space="preserve">Population</w:t>
      </w:r>
      <w:r>
        <w:t xml:space="preserve"> </w:t>
      </w:r>
      <w:r>
        <w:t xml:space="preserve">Totals,</w:t>
      </w:r>
      <w:r>
        <w:t xml:space="preserve"> </w:t>
      </w:r>
      <w:r>
        <w:t xml:space="preserve">https://​bit.​ly/​363ZLxN</w:t>
      </w:r>
      <w:r>
        <w:t xml:space="preserve">   </w:t>
      </w:r>
      <w:r>
        <w:tab/>
      </w:r>
      <w:r>
        <w:t xml:space="preserve">16</w:t>
      </w:r>
    </w:p>
    <w:p>
      <w:pPr>
        <w:spacing w:before="0" w:after="0" w:line="1" w:lineRule="exact"/>
        <w:sectPr>
          <w:footerReference w:type="default" r:id="rIdXdPage"/>
          <w:pgSz w:w="12240" w:h="20160"/>
          <w:pgMar w:top="216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1. Late one summer night in 1993, Reginald Reddick shot Al Moliere in the head, killing him. Moliere’s brother found him slumped over the steering wheel of his car in a parking lot early the next morning. ROA.63, 1639.</w:t>
      </w:r>
    </w:p>
    <w:p>
      <w:pPr>
        <w:pStyle w:val="BodyText"/>
      </w:pPr>
      <w:r>
        <w:t xml:space="preserve">Both Moliere and Reddick had been seen drinking at “Alice’s Sweet Shop” the night of the murder.</w:t>
      </w:r>
      <w:r>
        <w:t xml:space="preserve"> </w:t>
      </w:r>
      <w:r>
        <w:rPr>
          <w:i/>
          <w:iCs/>
        </w:rPr>
        <w:t xml:space="preserve">See, e.g.</w:t>
      </w:r>
      <w:r>
        <w:t xml:space="preserve">, ROA.1800. According to an eyewitness, Reddick was sitting with Moliere in his car when he demanded money from Moliere. ROA.1816. After Moliere did not respond, Reddick grabbed Moliere and shot him. ROA.1817, 1819. Reddick took Moliere’s money, exited the vehicle, and ran up a river levee. ROA.1822.</w:t>
      </w:r>
    </w:p>
    <w:p>
      <w:pPr>
        <w:pStyle w:val="BodyText"/>
      </w:pPr>
      <w:r>
        <w:t xml:space="preserve">Authorities later recovered Moliere’s papers and family photos “on the river side of the levee just opposite the house where [Reddick] resided.” ROA.61, 1868. Sometime after that, a young boy found a ⁠.357 magnum pistol with Reddick’s initials—“R.R.”—carved into the handle. ROA.1090, 1122, 1718, 1738–39, 1767, 1871. The boy found the gun not far from the location where Moliere’s papers and family photos had been found. ROA.1094, 1102, 1707, 1725, 1868. The gun contained one spent round and five live rounds of ammunition. ROA.1093, 1966.</w:t>
      </w:r>
    </w:p>
    <w:p>
      <w:pPr>
        <w:pStyle w:val="BodyTextNote"/>
      </w:pPr>
      <w:r>
        <w:t xml:space="preserve">2. A jury convicted Reddick of second-degree murder for killing Moliere.</w:t>
      </w:r>
      <w:r>
        <w:rPr>
          <w:rStyle w:val="FootnoteReference"/>
        </w:rPr>
        <w:footnoteReference w:id="9"/>
      </w:r>
      <w:r>
        <w:t xml:space="preserve"> </w:t>
      </w:r>
      <w:r>
        <w:t xml:space="preserve">ROA.35–35, 480–81. The verdict was non-unanimous (by a ten-to-two vote). ROA.35–35, 480–81. The court sentenced Reddick to life imprisonment, without the possibility of parole. ROA.36, 484. Reddick’s conviction and sentence were upheld by the Fourth Circuit Court of Appeal.</w:t>
      </w:r>
      <w:r>
        <w:t xml:space="preserve"> </w:t>
      </w:r>
      <w:r>
        <w:rPr>
          <w:i/>
          <w:iCs/>
        </w:rPr>
        <w:t xml:space="preserve">See</w:t>
      </w:r>
      <w:r>
        <w:t xml:space="preserve"> </w:t>
      </w:r>
      <w:r>
        <w:t xml:space="preserve">ROA.436;</w:t>
      </w:r>
      <w:r>
        <w:t xml:space="preserve"> </w:t>
      </w:r>
      <w:r>
        <w:rPr>
          <w:i/>
          <w:iCs/>
        </w:rPr>
        <w:t xml:space="preserve">accord</w:t>
      </w:r>
      <w:r>
        <w:t xml:space="preserve"> </w:t>
      </w:r>
      <w:r>
        <w:rPr>
          <w:i/>
          <w:iCs/>
        </w:rPr>
        <w:t xml:space="preserve">State</w:t>
      </w:r>
      <w:r>
        <w:rPr>
          <w:i/>
          <w:iCs/>
        </w:rPr>
        <w:t xml:space="preserve"> </w:t>
      </w:r>
      <w:r>
        <w:rPr>
          <w:i/>
          <w:iCs/>
        </w:rPr>
        <w:t xml:space="preserve">v. Reddick</w:t>
      </w:r>
      <w:r>
        <w:t xml:space="preserve">, 97</w:t>
      </w:r>
      <w:r>
        <w:noBreakHyphen/>
      </w:r>
      <w:r>
        <w:t xml:space="preserve">1155 (La. App. 4 Cir. 2/11/98), 707 So. 2d 521. Reddick’s sentence and conviction became final after this Court denied his writ application on September 18, 1998. ROA.379;</w:t>
      </w:r>
      <w:r>
        <w:t xml:space="preserve"> </w:t>
      </w:r>
      <w:r>
        <w:rPr>
          <w:i/>
          <w:iCs/>
        </w:rPr>
        <w:t xml:space="preserve">accord</w:t>
      </w:r>
      <w:r>
        <w:t xml:space="preserve"> </w:t>
      </w:r>
      <w:r>
        <w:rPr>
          <w:i/>
          <w:iCs/>
        </w:rPr>
        <w:t xml:space="preserve">State</w:t>
      </w:r>
      <w:r>
        <w:rPr>
          <w:i/>
          <w:iCs/>
        </w:rPr>
        <w:t xml:space="preserve"> </w:t>
      </w:r>
      <w:r>
        <w:rPr>
          <w:i/>
          <w:iCs/>
        </w:rPr>
        <w:t xml:space="preserve">v. Reddick</w:t>
      </w:r>
      <w:r>
        <w:t xml:space="preserve">, 98</w:t>
      </w:r>
      <w:r>
        <w:noBreakHyphen/>
      </w:r>
      <w:r>
        <w:t xml:space="preserve">0664 (La. 9/18/98), 724 So. 2d 755.</w:t>
      </w:r>
    </w:p>
    <w:p>
      <w:pPr>
        <w:pStyle w:val="BodyText"/>
      </w:pPr>
      <w:r>
        <w:t xml:space="preserve">Years passed, and Reddick sought post-conviction relief on several occasions.</w:t>
      </w:r>
      <w:r>
        <w:t xml:space="preserve"> </w:t>
      </w:r>
      <w:r>
        <w:rPr>
          <w:i/>
          <w:iCs/>
        </w:rPr>
        <w:t xml:space="preserve">See, e.g.</w:t>
      </w:r>
      <w:r>
        <w:t xml:space="preserve">, ROA.405 (application for post-conviction relief filed 2009). Each application was denied.</w:t>
      </w:r>
      <w:r>
        <w:t xml:space="preserve"> </w:t>
      </w:r>
      <w:r>
        <w:rPr>
          <w:i/>
          <w:iCs/>
        </w:rPr>
        <w:t xml:space="preserve">See, e.g.</w:t>
      </w:r>
      <w:r>
        <w:t xml:space="preserve">, ROA.418.</w:t>
      </w:r>
    </w:p>
    <w:p>
      <w:pPr>
        <w:pStyle w:val="BodyText"/>
      </w:pPr>
      <w:r>
        <w:t xml:space="preserve">In the spring of 2020—nearly 22 years after Reddick’s conviction became final—the United States Supreme Court held in</w:t>
      </w:r>
      <w:r>
        <w:t xml:space="preserve"> </w:t>
      </w:r>
      <w:r>
        <w:rPr>
          <w:i/>
          <w:iCs/>
        </w:rPr>
        <w:t xml:space="preserve">Ramos v. Louisiana</w:t>
      </w:r>
      <w:r>
        <w:t xml:space="preserve"> </w:t>
      </w:r>
      <w:r>
        <w:t xml:space="preserve">that nonunanimous verdicts violate criminal defendants’ right to a jury trial under the Sixth Amendment. 140</w:t>
      </w:r>
      <w:r>
        <w:t xml:space="preserve"> </w:t>
      </w:r>
      <w:r>
        <w:t xml:space="preserve">S. Ct. 1390 (2020). Almost immediately after issuing</w:t>
      </w:r>
      <w:r>
        <w:t xml:space="preserve"> </w:t>
      </w:r>
      <w:r>
        <w:rPr>
          <w:i/>
          <w:iCs/>
        </w:rPr>
        <w:t xml:space="preserve">Ramos</w:t>
      </w:r>
      <w:r>
        <w:t xml:space="preserve">, the Supreme Court granted certiorari in</w:t>
      </w:r>
      <w:r>
        <w:t xml:space="preserve"> </w:t>
      </w:r>
      <w:r>
        <w:rPr>
          <w:i/>
          <w:iCs/>
        </w:rPr>
        <w:t xml:space="preserve">Edwards v. Vannoy</w:t>
      </w:r>
      <w:r>
        <w:t xml:space="preserve"> </w:t>
      </w:r>
      <w:r>
        <w:t xml:space="preserve">to decide whether the unanimity rule would apply retroactively to cases on federal collateral review. 140</w:t>
      </w:r>
      <w:r>
        <w:t xml:space="preserve"> </w:t>
      </w:r>
      <w:r>
        <w:t xml:space="preserve">S. Ct. 2737 (2020).</w:t>
      </w:r>
    </w:p>
    <w:p>
      <w:pPr>
        <w:pStyle w:val="BodyText"/>
      </w:pPr>
      <w:r>
        <w:t xml:space="preserve">Because his conviction and sentence became final long before the Supreme Court announced its decision in</w:t>
      </w:r>
      <w:r>
        <w:t xml:space="preserve"> </w:t>
      </w:r>
      <w:r>
        <w:rPr>
          <w:i/>
          <w:iCs/>
        </w:rPr>
        <w:t xml:space="preserve">Ramos</w:t>
      </w:r>
      <w:r>
        <w:t xml:space="preserve">, Reddick could not benefit directly from the new unanimity rule. La.</w:t>
      </w:r>
      <w:r>
        <w:t xml:space="preserve"> </w:t>
      </w:r>
      <w:r>
        <w:t xml:space="preserve">C. Cr. P. art. 930.8(A)⁠(2). Reddick again filed an application for post-conviction relief, requesting retroactive application of the</w:t>
      </w:r>
      <w:r>
        <w:t xml:space="preserve"> </w:t>
      </w:r>
      <w:r>
        <w:rPr>
          <w:i/>
          <w:iCs/>
        </w:rPr>
        <w:t xml:space="preserve">Ramos</w:t>
      </w:r>
      <w:r>
        <w:t xml:space="preserve"> </w:t>
      </w:r>
      <w:r>
        <w:t xml:space="preserve">rule to his conviction. ROA.435, 438. Reddick asked the district court for a stay of the proceedings until the Supreme Court issued a decision in</w:t>
      </w:r>
      <w:r>
        <w:t xml:space="preserve"> </w:t>
      </w:r>
      <w:r>
        <w:rPr>
          <w:i/>
          <w:iCs/>
        </w:rPr>
        <w:t xml:space="preserve">Edwards</w:t>
      </w:r>
      <w:r>
        <w:t xml:space="preserve">. ROA.431. The district court granted the stay.</w:t>
      </w:r>
      <w:r>
        <w:t xml:space="preserve"> </w:t>
      </w:r>
      <w:r>
        <w:rPr>
          <w:i/>
          <w:iCs/>
        </w:rPr>
        <w:t xml:space="preserve">See</w:t>
      </w:r>
      <w:r>
        <w:t xml:space="preserve"> </w:t>
      </w:r>
      <w:r>
        <w:t xml:space="preserve">ROA.37.</w:t>
      </w:r>
    </w:p>
    <w:p>
      <w:pPr>
        <w:pStyle w:val="BodyText"/>
      </w:pPr>
      <w:r>
        <w:t xml:space="preserve">The Supreme Court ultimately decided that the</w:t>
      </w:r>
      <w:r>
        <w:t xml:space="preserve"> </w:t>
      </w:r>
      <w:r>
        <w:rPr>
          <w:i/>
          <w:iCs/>
        </w:rPr>
        <w:t xml:space="preserve">Ramos</w:t>
      </w:r>
      <w:r>
        <w:t xml:space="preserve"> </w:t>
      </w:r>
      <w:r>
        <w:t xml:space="preserve">rule would not apply retroactively to cases on federal collateral review. According to</w:t>
      </w:r>
      <w:r>
        <w:t xml:space="preserve"> </w:t>
      </w:r>
      <w:r>
        <w:rPr>
          <w:i/>
          <w:iCs/>
        </w:rPr>
        <w:t xml:space="preserve">Edwards</w:t>
      </w:r>
      <w:r>
        <w:t xml:space="preserve">,</w:t>
      </w:r>
      <w:r>
        <w:t xml:space="preserve"> </w:t>
      </w:r>
      <w:r>
        <w:rPr>
          <w:i/>
          <w:iCs/>
        </w:rPr>
        <w:t xml:space="preserve">Ramos</w:t>
      </w:r>
      <w:r>
        <w:t xml:space="preserve"> </w:t>
      </w:r>
      <w:r>
        <w:t xml:space="preserve">issued a new, procedural rule of criminal procedure.</w:t>
      </w:r>
      <w:r>
        <w:t xml:space="preserve"> </w:t>
      </w:r>
      <w:r>
        <w:rPr>
          <w:i/>
          <w:iCs/>
        </w:rPr>
        <w:t xml:space="preserve">Id.</w:t>
      </w:r>
      <w:r>
        <w:t xml:space="preserve"> </w:t>
      </w:r>
      <w:r>
        <w:t xml:space="preserve">at 1556. As such, it could not apply retroactively on federal collateral review unless it satisfied the so-called “second exception” to the retroactivity bar—as described in</w:t>
      </w:r>
      <w:r>
        <w:t xml:space="preserve"> </w:t>
      </w:r>
      <w:r>
        <w:rPr>
          <w:i/>
          <w:iCs/>
        </w:rPr>
        <w:t xml:space="preserve">Teague v. Lane</w:t>
      </w:r>
      <w:r>
        <w:t xml:space="preserve">.</w:t>
      </w:r>
      <w:r>
        <w:t xml:space="preserve"> </w:t>
      </w:r>
      <w:r>
        <w:rPr>
          <w:i/>
          <w:iCs/>
        </w:rPr>
        <w:t xml:space="preserve">See id.</w:t>
      </w:r>
      <w:r>
        <w:t xml:space="preserve"> </w:t>
      </w:r>
      <w:r>
        <w:t xml:space="preserve">at 1557 (discussing</w:t>
      </w:r>
      <w:r>
        <w:t xml:space="preserve"> </w:t>
      </w:r>
      <w:r>
        <w:rPr>
          <w:i/>
          <w:iCs/>
        </w:rPr>
        <w:t xml:space="preserve">Teague</w:t>
      </w:r>
      <w:r>
        <w:rPr>
          <w:i/>
          <w:iCs/>
        </w:rPr>
        <w:t xml:space="preserve"> </w:t>
      </w:r>
      <w:r>
        <w:rPr>
          <w:i/>
          <w:iCs/>
        </w:rPr>
        <w:t xml:space="preserve">v. Lane</w:t>
      </w:r>
      <w:r>
        <w:t xml:space="preserve">, 489 U.S. 288, 310 (1989) (plurality opinion)). Under</w:t>
      </w:r>
      <w:r>
        <w:t xml:space="preserve"> </w:t>
      </w:r>
      <w:r>
        <w:rPr>
          <w:i/>
          <w:iCs/>
        </w:rPr>
        <w:t xml:space="preserve">Teague</w:t>
      </w:r>
      <w:r>
        <w:t xml:space="preserve">’s second exception, it was theoretically possible that a new “watershed” rule of criminal procedure could apply retroactively to cases on collateral review if the rule altered “our understanding of the bedrock procedural elements essential to the fairness of a proceeding.”</w:t>
      </w:r>
      <w:r>
        <w:t xml:space="preserve"> </w:t>
      </w:r>
      <w:r>
        <w:rPr>
          <w:i/>
          <w:iCs/>
        </w:rPr>
        <w:t xml:space="preserve">Id.</w:t>
      </w:r>
      <w:r>
        <w:t xml:space="preserve"> </w:t>
      </w:r>
      <w:r>
        <w:t xml:space="preserve">(quotation marks omitted). The Court concluded</w:t>
      </w:r>
      <w:r>
        <w:t xml:space="preserve"> </w:t>
      </w:r>
      <w:r>
        <w:rPr>
          <w:i/>
          <w:iCs/>
        </w:rPr>
        <w:t xml:space="preserve">Ramos</w:t>
      </w:r>
      <w:r>
        <w:t xml:space="preserve">’s rule did not meet that high standard.</w:t>
      </w:r>
      <w:r>
        <w:t xml:space="preserve"> </w:t>
      </w:r>
      <w:r>
        <w:rPr>
          <w:i/>
          <w:iCs/>
        </w:rPr>
        <w:t xml:space="preserve">Id.</w:t>
      </w:r>
      <w:r>
        <w:t xml:space="preserve"> </w:t>
      </w:r>
      <w:r>
        <w:t xml:space="preserve">at 1557–59.</w:t>
      </w:r>
    </w:p>
    <w:p>
      <w:pPr>
        <w:pStyle w:val="BodyText"/>
      </w:pPr>
      <w:r>
        <w:t xml:space="preserve">Then the</w:t>
      </w:r>
      <w:r>
        <w:t xml:space="preserve"> </w:t>
      </w:r>
      <w:r>
        <w:rPr>
          <w:i/>
          <w:iCs/>
        </w:rPr>
        <w:t xml:space="preserve">Edwards</w:t>
      </w:r>
      <w:r>
        <w:t xml:space="preserve"> </w:t>
      </w:r>
      <w:r>
        <w:t xml:space="preserve">Court took one step further and held that no new rule of criminal procedure could ever apply retroactively on federal collateral review. That ruling rendered</w:t>
      </w:r>
      <w:r>
        <w:t xml:space="preserve"> </w:t>
      </w:r>
      <w:r>
        <w:rPr>
          <w:i/>
          <w:iCs/>
        </w:rPr>
        <w:t xml:space="preserve">Teague</w:t>
      </w:r>
      <w:r>
        <w:t xml:space="preserve">’s second exception “moribund.”</w:t>
      </w:r>
      <w:r>
        <w:t xml:space="preserve"> </w:t>
      </w:r>
      <w:r>
        <w:rPr>
          <w:i/>
          <w:iCs/>
        </w:rPr>
        <w:t xml:space="preserve">Id.</w:t>
      </w:r>
      <w:r>
        <w:t xml:space="preserve"> </w:t>
      </w:r>
      <w:r>
        <w:t xml:space="preserve">at 1560.</w:t>
      </w:r>
    </w:p>
    <w:p>
      <w:pPr>
        <w:pStyle w:val="BodyText"/>
      </w:pPr>
      <w:r>
        <w:t xml:space="preserve">The district court lifted its stay in light of the</w:t>
      </w:r>
      <w:r>
        <w:t xml:space="preserve"> </w:t>
      </w:r>
      <w:r>
        <w:rPr>
          <w:i/>
          <w:iCs/>
        </w:rPr>
        <w:t xml:space="preserve">Edwards</w:t>
      </w:r>
      <w:r>
        <w:t xml:space="preserve"> </w:t>
      </w:r>
      <w:r>
        <w:t xml:space="preserve">decision and took up the question of whether</w:t>
      </w:r>
      <w:r>
        <w:t xml:space="preserve"> </w:t>
      </w:r>
      <w:r>
        <w:rPr>
          <w:i/>
          <w:iCs/>
        </w:rPr>
        <w:t xml:space="preserve">Ramos</w:t>
      </w:r>
      <w:r>
        <w:t xml:space="preserve"> </w:t>
      </w:r>
      <w:r>
        <w:t xml:space="preserve">would apply retroactively on state collateral view. ROA.37. After a hearing, the district court granted Reddick’s request for retroactive application of the</w:t>
      </w:r>
      <w:r>
        <w:t xml:space="preserve"> </w:t>
      </w:r>
      <w:r>
        <w:rPr>
          <w:i/>
          <w:iCs/>
        </w:rPr>
        <w:t xml:space="preserve">Ramos</w:t>
      </w:r>
      <w:r>
        <w:t xml:space="preserve"> </w:t>
      </w:r>
      <w:r>
        <w:t xml:space="preserve">rule without much explanation. ROA.39.</w:t>
      </w:r>
    </w:p>
    <w:p>
      <w:pPr>
        <w:pStyle w:val="BodyText"/>
      </w:pPr>
      <w:r>
        <w:t xml:space="preserve">The State filed a writ application in the Fourth Circuit, which “requested that the district court file a per curiam” opinion providing its reasoning. ROA.494. The district court complied and issued a decision opining that, although the Supreme Court concluded new procedural rules would never apply retroactively on federal collateral review, “Teague is still the standard to determining the retroactivity of a new rule of criminal procedure in Louisiana.” The district court next concluded that, despite the Supreme Court’s ruling to the contrary, Teague’s second exception to the retroactivity bar applies because</w:t>
      </w:r>
      <w:r>
        <w:t xml:space="preserve"> </w:t>
      </w:r>
      <w:r>
        <w:rPr>
          <w:i/>
          <w:iCs/>
        </w:rPr>
        <w:t xml:space="preserve">Ramos</w:t>
      </w:r>
      <w:r>
        <w:t xml:space="preserve"> </w:t>
      </w:r>
      <w:r>
        <w:t xml:space="preserve">“created a ‘watershed’ rule that retroactively applies to application for post-conviction relief under Louisiana law.” The Fourth Circuit denied the State’s writ without explanation.</w:t>
      </w:r>
    </w:p>
    <w:p>
      <w:pPr>
        <w:pStyle w:val="BodyText"/>
      </w:pPr>
      <w:r>
        <w:t xml:space="preserve">The State next filed a writ application in this Court, noting that the Fourth Circuit had split with other circuit courts’ decisions—which had concluded that</w:t>
      </w:r>
      <w:r>
        <w:t xml:space="preserve"> </w:t>
      </w:r>
      <w:r>
        <w:rPr>
          <w:i/>
          <w:iCs/>
        </w:rPr>
        <w:t xml:space="preserve">Ramos</w:t>
      </w:r>
      <w:r>
        <w:t xml:space="preserve"> </w:t>
      </w:r>
      <w:r>
        <w:t xml:space="preserve">does not apply retroactively on state collateral review. This Court granted the State’s writ application and set the case for briefing and argument.</w:t>
      </w:r>
    </w:p>
    <w:p>
      <w:pPr>
        <w:keepNext/>
        <w:keepLines/>
        <w:spacing w:before="288" w:after="240" w:line="276" w:lineRule="exact"/>
        <w:ind w:left="0" w:firstLine="0"/>
        <w:jc w:val="center"/>
      </w:pPr>
      <w:r>
        <w:rPr>
          <w:b/>
          <w:bCs/>
        </w:rPr>
        <w:t xml:space="preserve">ERRORS</w:t>
      </w:r>
    </w:p>
    <w:p>
      <w:pPr>
        <w:pStyle w:val="BodyText"/>
      </w:pPr>
      <w:r>
        <w:t xml:space="preserve">1. The lower court erred by concluding that a new procedural rule could retroactively benefit a petitioner on post-conviction review under state law.</w:t>
      </w:r>
    </w:p>
    <w:p>
      <w:pPr>
        <w:pStyle w:val="BodyText"/>
      </w:pPr>
      <w:r>
        <w:t xml:space="preserve">2. The lower court erred by concluding that the United States Supreme Court’s decision in</w:t>
      </w:r>
      <w:r>
        <w:t xml:space="preserve"> </w:t>
      </w:r>
      <w:r>
        <w:rPr>
          <w:i/>
          <w:iCs/>
        </w:rPr>
        <w:t xml:space="preserve">Ramos v. Louisiana</w:t>
      </w:r>
      <w:r>
        <w:t xml:space="preserve"> </w:t>
      </w:r>
      <w:r>
        <w:t xml:space="preserve">announced a new watershed rule of criminal procedure that requires retroactive application on post-conviction review under state law.</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Note"/>
      </w:pPr>
      <w:r>
        <w:t xml:space="preserve">1. In</w:t>
      </w:r>
      <w:r>
        <w:t xml:space="preserve"> </w:t>
      </w:r>
      <w:r>
        <w:rPr>
          <w:i/>
          <w:iCs/>
        </w:rPr>
        <w:t xml:space="preserve">Edwards</w:t>
      </w:r>
      <w:r>
        <w:t xml:space="preserve">, the United States Supreme Court concluded that</w:t>
      </w:r>
      <w:r>
        <w:t xml:space="preserve"> </w:t>
      </w:r>
      <w:r>
        <w:rPr>
          <w:i/>
          <w:iCs/>
        </w:rPr>
        <w:t xml:space="preserve">Ramos</w:t>
      </w:r>
      <w:r>
        <w:t xml:space="preserve">’ unanimity rule should not apply retroactively because it is not a watershed rule of criminal procedure. But the Court did not end its analysis there. The Court observed that, since adopting the</w:t>
      </w:r>
      <w:r>
        <w:t xml:space="preserve"> </w:t>
      </w:r>
      <w:r>
        <w:rPr>
          <w:i/>
          <w:iCs/>
        </w:rPr>
        <w:t xml:space="preserve">Teague</w:t>
      </w:r>
      <w:r>
        <w:t xml:space="preserve"> </w:t>
      </w:r>
      <w:r>
        <w:t xml:space="preserve">retroactivity framework, it had never identified any watershed rule. Consequently, no new procedural rule had applied retroactively. Rather than continuing the search for a watershed rule—which had proved as elusive as a “Tasmanian Tiger”</w:t>
      </w:r>
      <w:r>
        <w:rPr>
          <w:rStyle w:val="FootnoteReference"/>
        </w:rPr>
        <w:footnoteReference w:id="10"/>
      </w:r>
      <w:r>
        <w:t xml:space="preserve">—the Court acknowledged that no new procedural rule would ever apply retroactively on federal collateral review.</w:t>
      </w:r>
    </w:p>
    <w:p>
      <w:pPr>
        <w:pStyle w:val="BodyText"/>
      </w:pPr>
      <w:r>
        <w:t xml:space="preserve">Since adopting the</w:t>
      </w:r>
      <w:r>
        <w:t xml:space="preserve"> </w:t>
      </w:r>
      <w:r>
        <w:rPr>
          <w:i/>
          <w:iCs/>
        </w:rPr>
        <w:t xml:space="preserve">Teague</w:t>
      </w:r>
      <w:r>
        <w:t xml:space="preserve"> </w:t>
      </w:r>
      <w:r>
        <w:t xml:space="preserve">framework nearly thirty years ago, this Court has never identified any watershed rule of criminal procedure. And so, this Court has not applied any new rule of criminal procedure retroactively on state collateral review. The State respectfully urges the Court to follow the United States Supreme Court’s example in</w:t>
      </w:r>
      <w:r>
        <w:t xml:space="preserve"> </w:t>
      </w:r>
      <w:r>
        <w:rPr>
          <w:i/>
          <w:iCs/>
        </w:rPr>
        <w:t xml:space="preserve">Edwards</w:t>
      </w:r>
      <w:r>
        <w:t xml:space="preserve"> </w:t>
      </w:r>
      <w:r>
        <w:t xml:space="preserve">and acknowledge that no new rule of criminal procedure will ever apply retroactively on state collateral review. The Court can and should reverse the lower court on these grounds alone.</w:t>
      </w:r>
    </w:p>
    <w:p>
      <w:pPr>
        <w:pStyle w:val="BodyText"/>
      </w:pPr>
      <w:r>
        <w:t xml:space="preserve">2. Alternatively, the State asks the Court to conclude that</w:t>
      </w:r>
      <w:r>
        <w:t xml:space="preserve"> </w:t>
      </w:r>
      <w:r>
        <w:rPr>
          <w:i/>
          <w:iCs/>
        </w:rPr>
        <w:t xml:space="preserve">Ramos</w:t>
      </w:r>
      <w:r>
        <w:t xml:space="preserve"> </w:t>
      </w:r>
      <w:r>
        <w:t xml:space="preserve">did not announce a watershed rule of criminal procedure capable of satisfying</w:t>
      </w:r>
      <w:r>
        <w:t xml:space="preserve"> </w:t>
      </w:r>
      <w:r>
        <w:rPr>
          <w:i/>
          <w:iCs/>
        </w:rPr>
        <w:t xml:space="preserve">Teague</w:t>
      </w:r>
      <w:r>
        <w:t xml:space="preserve">’s second exception.</w:t>
      </w:r>
      <w:r>
        <w:t xml:space="preserve"> </w:t>
      </w:r>
      <w:r>
        <w:rPr>
          <w:i/>
          <w:iCs/>
        </w:rPr>
        <w:t xml:space="preserve">Edwards</w:t>
      </w:r>
      <w:r>
        <w:t xml:space="preserve"> </w:t>
      </w:r>
      <w:r>
        <w:t xml:space="preserve">got it right. Although</w:t>
      </w:r>
      <w:r>
        <w:t xml:space="preserve"> </w:t>
      </w:r>
      <w:r>
        <w:rPr>
          <w:i/>
          <w:iCs/>
        </w:rPr>
        <w:t xml:space="preserve">Ramos</w:t>
      </w:r>
      <w:r>
        <w:t xml:space="preserve"> </w:t>
      </w:r>
      <w:r>
        <w:t xml:space="preserve">was a very important decision, especially for Louisiana, it was not as important as</w:t>
      </w:r>
      <w:r>
        <w:t xml:space="preserve"> </w:t>
      </w:r>
      <w:r>
        <w:rPr>
          <w:i/>
          <w:iCs/>
        </w:rPr>
        <w:t xml:space="preserve">Duncan v. Louisiana</w:t>
      </w:r>
      <w:r>
        <w:t xml:space="preserve">, which held that States must provide jury trials.</w:t>
      </w:r>
      <w:r>
        <w:t xml:space="preserve"> </w:t>
      </w:r>
      <w:r>
        <w:rPr>
          <w:i/>
          <w:iCs/>
        </w:rPr>
        <w:t xml:space="preserve">See generally</w:t>
      </w:r>
      <w:r>
        <w:t xml:space="preserve"> </w:t>
      </w:r>
      <w:r>
        <w:rPr>
          <w:i/>
          <w:iCs/>
        </w:rPr>
        <w:t xml:space="preserve">Duncan</w:t>
      </w:r>
      <w:r>
        <w:rPr>
          <w:i/>
          <w:iCs/>
        </w:rPr>
        <w:t xml:space="preserve"> </w:t>
      </w:r>
      <w:r>
        <w:rPr>
          <w:i/>
          <w:iCs/>
        </w:rPr>
        <w:t xml:space="preserve">v. Louisiana</w:t>
      </w:r>
      <w:r>
        <w:t xml:space="preserve">, 391 U.S. 145 (1968).</w:t>
      </w:r>
      <w:r>
        <w:t xml:space="preserve"> </w:t>
      </w:r>
      <w:r>
        <w:rPr>
          <w:i/>
          <w:iCs/>
        </w:rPr>
        <w:t xml:space="preserve">Duncan</w:t>
      </w:r>
      <w:r>
        <w:t xml:space="preserve"> </w:t>
      </w:r>
      <w:r>
        <w:t xml:space="preserve">was not applied retroactively. Nor was</w:t>
      </w:r>
      <w:r>
        <w:t xml:space="preserve"> </w:t>
      </w:r>
      <w:r>
        <w:rPr>
          <w:i/>
          <w:iCs/>
        </w:rPr>
        <w:t xml:space="preserve">Ramos</w:t>
      </w:r>
      <w:r>
        <w:t xml:space="preserve"> </w:t>
      </w:r>
      <w:r>
        <w:t xml:space="preserve">as important as</w:t>
      </w:r>
      <w:r>
        <w:t xml:space="preserve"> </w:t>
      </w:r>
      <w:r>
        <w:rPr>
          <w:i/>
          <w:iCs/>
        </w:rPr>
        <w:t xml:space="preserve">Batson v. Kentucky</w:t>
      </w:r>
      <w:r>
        <w:t xml:space="preserve">, which remedied intentional discrimination in the jury selection process.</w:t>
      </w:r>
      <w:r>
        <w:t xml:space="preserve"> </w:t>
      </w:r>
      <w:r>
        <w:rPr>
          <w:i/>
          <w:iCs/>
        </w:rPr>
        <w:t xml:space="preserve">See generally</w:t>
      </w:r>
      <w:r>
        <w:t xml:space="preserve"> </w:t>
      </w:r>
      <w:r>
        <w:rPr>
          <w:i/>
          <w:iCs/>
        </w:rPr>
        <w:t xml:space="preserve">Batson</w:t>
      </w:r>
      <w:r>
        <w:rPr>
          <w:i/>
          <w:iCs/>
        </w:rPr>
        <w:t xml:space="preserve"> </w:t>
      </w:r>
      <w:r>
        <w:rPr>
          <w:i/>
          <w:iCs/>
        </w:rPr>
        <w:t xml:space="preserve">v. Kentucky</w:t>
      </w:r>
      <w:r>
        <w:t xml:space="preserve">, 476 U.S. 79 (1986).</w:t>
      </w:r>
      <w:r>
        <w:t xml:space="preserve"> </w:t>
      </w:r>
      <w:r>
        <w:rPr>
          <w:i/>
          <w:iCs/>
        </w:rPr>
        <w:t xml:space="preserve">Batson</w:t>
      </w:r>
      <w:r>
        <w:t xml:space="preserve"> </w:t>
      </w:r>
      <w:r>
        <w:t xml:space="preserve">was not applied retroactively either. If</w:t>
      </w:r>
      <w:r>
        <w:t xml:space="preserve"> </w:t>
      </w:r>
      <w:r>
        <w:rPr>
          <w:i/>
          <w:iCs/>
        </w:rPr>
        <w:t xml:space="preserve">Duncan</w:t>
      </w:r>
      <w:r>
        <w:t xml:space="preserve"> </w:t>
      </w:r>
      <w:r>
        <w:t xml:space="preserve">and</w:t>
      </w:r>
      <w:r>
        <w:t xml:space="preserve"> </w:t>
      </w:r>
      <w:r>
        <w:rPr>
          <w:i/>
          <w:iCs/>
        </w:rPr>
        <w:t xml:space="preserve">Batson</w:t>
      </w:r>
      <w:r>
        <w:t xml:space="preserve"> </w:t>
      </w:r>
      <w:r>
        <w:t xml:space="preserve">were not watershed rules,</w:t>
      </w:r>
      <w:r>
        <w:t xml:space="preserve"> </w:t>
      </w:r>
      <w:r>
        <w:rPr>
          <w:i/>
          <w:iCs/>
        </w:rPr>
        <w:t xml:space="preserve">Ramos</w:t>
      </w:r>
      <w:r>
        <w:t xml:space="preserve"> </w:t>
      </w:r>
      <w:r>
        <w:t xml:space="preserve">certainly was not.</w:t>
      </w:r>
    </w:p>
    <w:p>
      <w:pPr>
        <w:pStyle w:val="BodyText"/>
      </w:pPr>
      <w:r>
        <w:t xml:space="preserve">3. The State’s interest in the finality of its non-unanimous verdicts is overwhelming and untainted by racial discrimination, as Reddick contends. If this Court decides</w:t>
      </w:r>
      <w:r>
        <w:t xml:space="preserve"> </w:t>
      </w:r>
      <w:r>
        <w:rPr>
          <w:i/>
          <w:iCs/>
        </w:rPr>
        <w:t xml:space="preserve">Ramos</w:t>
      </w:r>
      <w:r>
        <w:t xml:space="preserve"> </w:t>
      </w:r>
      <w:r>
        <w:t xml:space="preserve">should apply retroactively, it will flood the criminal justice system with hundreds of old cases. Evidence deteriorates, memories fade, and witnesses become unavailable over time. It will be difficult—if not impossible—for the State to retry these cases. Even if the State could retry some defendants, doing so would subject the victims of their crimes to fresh pain and difficulty.</w:t>
      </w:r>
    </w:p>
    <w:p>
      <w:pPr>
        <w:pStyle w:val="BodyText"/>
      </w:pPr>
      <w:r>
        <w:t xml:space="preserve">After the United States Supreme Court upheld the constitutionality of nonunanimous verdicts in</w:t>
      </w:r>
      <w:r>
        <w:t xml:space="preserve"> </w:t>
      </w:r>
      <w:r>
        <w:rPr>
          <w:i/>
          <w:iCs/>
        </w:rPr>
        <w:t xml:space="preserve">Apodaca</w:t>
      </w:r>
      <w:r>
        <w:rPr>
          <w:i/>
          <w:iCs/>
        </w:rPr>
        <w:t xml:space="preserve"> </w:t>
      </w:r>
      <w:r>
        <w:rPr>
          <w:i/>
          <w:iCs/>
        </w:rPr>
        <w:t xml:space="preserve">v. Oregon</w:t>
      </w:r>
      <w:r>
        <w:t xml:space="preserve">, 406 U.S. 404 (1972), Louisiana held a constitutional convention in 1973 and re-adopted a narrower version of its nonunanimity rule. Nobody contends the Legislature acted with discriminatory intent during the 1973 convention—where it passed sweeping guarantees of racial equality. The Legislature relied in good faith on</w:t>
      </w:r>
      <w:r>
        <w:t xml:space="preserve"> </w:t>
      </w:r>
      <w:r>
        <w:rPr>
          <w:i/>
          <w:iCs/>
        </w:rPr>
        <w:t xml:space="preserve">Apodaca</w:t>
      </w:r>
      <w:r>
        <w:t xml:space="preserve"> </w:t>
      </w:r>
      <w:r>
        <w:t xml:space="preserve">and sought only to enhance judicial efficiency with its revamped non-unanimity rule. Thus, Reddick’s conviction—which became final in 1998—is untainted by any racial discrimination.</w:t>
      </w:r>
    </w:p>
    <w:p>
      <w:pPr>
        <w:pStyle w:val="BodyText"/>
      </w:pPr>
      <w:r>
        <w:t xml:space="preserve">***</w:t>
      </w:r>
    </w:p>
    <w:p>
      <w:pPr>
        <w:pStyle w:val="BodyText"/>
      </w:pPr>
      <w:r>
        <w:t xml:space="preserve">The State respectfully asks the Court to reverse the lower court’s decision and hold that new procedural rules never apply retroactively on state post-conviction review. Alternatively, the State asks the Court to hold that</w:t>
      </w:r>
      <w:r>
        <w:t xml:space="preserve"> </w:t>
      </w:r>
      <w:r>
        <w:rPr>
          <w:i/>
          <w:iCs/>
        </w:rPr>
        <w:t xml:space="preserve">Ramos</w:t>
      </w:r>
      <w:r>
        <w:t xml:space="preserve"> </w:t>
      </w:r>
      <w:r>
        <w:t xml:space="preserve">did not announce a new “watershed” rule of criminal procedure.</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NEW</w:t>
      </w:r>
      <w:r>
        <w:rPr>
          <w:b/>
          <w:bCs/>
        </w:rPr>
        <w:t xml:space="preserve"> </w:t>
      </w:r>
      <w:r>
        <w:rPr>
          <w:b/>
          <w:bCs/>
        </w:rPr>
        <w:t xml:space="preserve">PROCEDURAL</w:t>
      </w:r>
      <w:r>
        <w:rPr>
          <w:b/>
          <w:bCs/>
        </w:rPr>
        <w:t xml:space="preserve"> </w:t>
      </w:r>
      <w:r>
        <w:rPr>
          <w:b/>
          <w:bCs/>
        </w:rPr>
        <w:t xml:space="preserve">RULES</w:t>
      </w:r>
      <w:r>
        <w:rPr>
          <w:b/>
          <w:bCs/>
        </w:rPr>
        <w:t xml:space="preserve"> </w:t>
      </w:r>
      <w:r>
        <w:rPr>
          <w:b/>
          <w:bCs/>
        </w:rPr>
        <w:t xml:space="preserve">NEVER</w:t>
      </w:r>
      <w:r>
        <w:rPr>
          <w:b/>
          <w:bCs/>
        </w:rPr>
        <w:t xml:space="preserve"> </w:t>
      </w:r>
      <w:r>
        <w:rPr>
          <w:b/>
          <w:bCs/>
        </w:rPr>
        <w:t xml:space="preserve">APPLY</w:t>
      </w:r>
      <w:r>
        <w:rPr>
          <w:b/>
          <w:bCs/>
        </w:rPr>
        <w:t xml:space="preserve"> </w:t>
      </w:r>
      <w:r>
        <w:rPr>
          <w:b/>
          <w:bCs/>
        </w:rPr>
        <w:t xml:space="preserve">RETROACTIVELY</w:t>
      </w:r>
    </w:p>
    <w:p>
      <w:pPr>
        <w:pStyle w:val="BodyText"/>
      </w:pPr>
      <w:r>
        <w:t xml:space="preserve">In</w:t>
      </w:r>
      <w:r>
        <w:t xml:space="preserve"> </w:t>
      </w:r>
      <w:r>
        <w:rPr>
          <w:i/>
          <w:iCs/>
        </w:rPr>
        <w:t xml:space="preserve">Edwards</w:t>
      </w:r>
      <w:r>
        <w:t xml:space="preserve">, the Supreme Court observed “[i]t is time—probably long past time—to make explicit what has become increasingly apparent to bench and bar over the last 32 years: New procedural rules do not apply retroactively on federal collateral review.” 141</w:t>
      </w:r>
      <w:r>
        <w:t xml:space="preserve"> </w:t>
      </w:r>
      <w:r>
        <w:t xml:space="preserve">S. Ct. at 1560. In the decades since adopting the retroactivity framework of</w:t>
      </w:r>
      <w:r>
        <w:t xml:space="preserve"> </w:t>
      </w:r>
      <w:r>
        <w:rPr>
          <w:i/>
          <w:iCs/>
        </w:rPr>
        <w:t xml:space="preserve">Teague</w:t>
      </w:r>
      <w:r>
        <w:t xml:space="preserve">, the Court never identified a new watershed rule of criminal procedure warranting retroactive application. After considering the issue again and again in case after case without ever identifying even one “watershed” rule, the Court eventually concluded in</w:t>
      </w:r>
      <w:r>
        <w:t xml:space="preserve"> </w:t>
      </w:r>
      <w:r>
        <w:rPr>
          <w:i/>
          <w:iCs/>
        </w:rPr>
        <w:t xml:space="preserve">Edwards</w:t>
      </w:r>
      <w:r>
        <w:t xml:space="preserve"> </w:t>
      </w:r>
      <w:r>
        <w:t xml:space="preserve">that “[t]he watershed exception is moribund.”</w:t>
      </w:r>
      <w:r>
        <w:t xml:space="preserve"> </w:t>
      </w:r>
      <w:r>
        <w:rPr>
          <w:i/>
          <w:iCs/>
        </w:rPr>
        <w:t xml:space="preserve">Id.</w:t>
      </w:r>
    </w:p>
    <w:p>
      <w:pPr>
        <w:pStyle w:val="BodyText"/>
      </w:pPr>
      <w:r>
        <w:t xml:space="preserve">This Court has also adopted the</w:t>
      </w:r>
      <w:r>
        <w:t xml:space="preserve"> </w:t>
      </w:r>
      <w:r>
        <w:rPr>
          <w:i/>
          <w:iCs/>
        </w:rPr>
        <w:t xml:space="preserve">Teague</w:t>
      </w:r>
      <w:r>
        <w:t xml:space="preserve"> </w:t>
      </w:r>
      <w:r>
        <w:t xml:space="preserve">retroactivity framework.</w:t>
      </w:r>
      <w:r>
        <w:t xml:space="preserve"> </w:t>
      </w:r>
      <w:r>
        <w:rPr>
          <w:i/>
          <w:iCs/>
        </w:rPr>
        <w:t xml:space="preserve">State</w:t>
      </w:r>
      <w:r>
        <w:rPr>
          <w:i/>
          <w:iCs/>
        </w:rPr>
        <w:t xml:space="preserve"> </w:t>
      </w:r>
      <w:r>
        <w:rPr>
          <w:i/>
          <w:iCs/>
        </w:rPr>
        <w:t xml:space="preserve">ex rel. Taylor v. Whitley</w:t>
      </w:r>
      <w:r>
        <w:t xml:space="preserve">, 606 So. 2d 1292, 1296 (La. 1992). And, like its federal counterpart, this Court has never identified a new rule of criminal procedure that warrants retroactive application. The time has come for this Court to make explicit what has become increasingly apparent: New procedural rules do not apply retroactively on state post-conviction review. The lower court erred by concluding otherwise.</w:t>
      </w:r>
    </w:p>
    <w:p>
      <w:pPr>
        <w:keepNext/>
        <w:keepLines/>
        <w:spacing w:before="336" w:after="216" w:line="276" w:lineRule="exact"/>
        <w:ind w:left="0" w:firstLine="0"/>
        <w:jc w:val="left"/>
      </w:pPr>
      <w:r>
        <w:rPr>
          <w:b/>
          <w:bCs/>
          <w:i/>
          <w:iCs/>
        </w:rPr>
        <w:t xml:space="preserve">A.</w:t>
      </w:r>
      <w:r>
        <w:rPr>
          <w:b/>
          <w:bCs/>
          <w:i/>
          <w:iCs/>
        </w:rPr>
        <w:t xml:space="preserve"> </w:t>
      </w:r>
      <w:r>
        <w:rPr>
          <w:b/>
          <w:bCs/>
          <w:i/>
          <w:iCs/>
        </w:rPr>
        <w:t xml:space="preserve">In</w:t>
      </w:r>
      <w:r>
        <w:rPr>
          <w:b/>
          <w:bCs/>
          <w:i/>
          <w:iCs/>
        </w:rPr>
        <w:t xml:space="preserve"> </w:t>
      </w:r>
      <w:r>
        <w:rPr>
          <w:b/>
          <w:bCs/>
          <w:i/>
          <w:iCs/>
        </w:rPr>
        <w:t xml:space="preserve">Federal</w:t>
      </w:r>
      <w:r>
        <w:rPr>
          <w:b/>
          <w:bCs/>
          <w:i/>
          <w:iCs/>
        </w:rPr>
        <w:t xml:space="preserve"> </w:t>
      </w:r>
      <w:r>
        <w:rPr>
          <w:b/>
          <w:bCs/>
          <w:i/>
          <w:iCs/>
        </w:rPr>
        <w:t xml:space="preserve">Habeas</w:t>
      </w:r>
      <w:r>
        <w:rPr>
          <w:b/>
          <w:bCs/>
          <w:i/>
          <w:iCs/>
        </w:rPr>
        <w:t xml:space="preserve"> </w:t>
      </w:r>
      <w:r>
        <w:rPr>
          <w:b/>
          <w:bCs/>
          <w:i/>
          <w:iCs/>
        </w:rPr>
        <w:t xml:space="preserve">Cases,</w:t>
      </w:r>
      <w:r>
        <w:rPr>
          <w:b/>
          <w:bCs/>
          <w:i/>
          <w:iCs/>
        </w:rPr>
        <w:t xml:space="preserve"> </w:t>
      </w:r>
      <w:r>
        <w:rPr>
          <w:b/>
          <w:bCs/>
          <w:i/>
          <w:iCs/>
        </w:rPr>
        <w:t xml:space="preserve">the</w:t>
      </w:r>
      <w:r>
        <w:rPr>
          <w:b/>
          <w:bCs/>
          <w:i/>
          <w:iCs/>
        </w:rPr>
        <w:t xml:space="preserve"> </w:t>
      </w:r>
      <w:r>
        <w:rPr>
          <w:b/>
          <w:bCs/>
          <w:i/>
          <w:iCs/>
        </w:rPr>
        <w:t xml:space="preserve">Watershed</w:t>
      </w:r>
      <w:r>
        <w:rPr>
          <w:b/>
          <w:bCs/>
          <w:i/>
          <w:iCs/>
        </w:rPr>
        <w:t xml:space="preserve"> </w:t>
      </w:r>
      <w:r>
        <w:rPr>
          <w:b/>
          <w:bCs/>
          <w:i/>
          <w:iCs/>
        </w:rPr>
        <w:t xml:space="preserve">Exception</w:t>
      </w:r>
      <w:r>
        <w:rPr>
          <w:b/>
          <w:bCs/>
          <w:i/>
          <w:iCs/>
        </w:rPr>
        <w:t xml:space="preserve"> </w:t>
      </w:r>
      <w:r>
        <w:rPr>
          <w:b/>
          <w:bCs/>
          <w:i/>
          <w:iCs/>
        </w:rPr>
        <w:t xml:space="preserve">Is</w:t>
      </w:r>
      <w:r>
        <w:rPr>
          <w:b/>
          <w:bCs/>
          <w:i/>
          <w:iCs/>
        </w:rPr>
        <w:t xml:space="preserve"> </w:t>
      </w:r>
      <w:r>
        <w:rPr>
          <w:b/>
          <w:bCs/>
          <w:i/>
          <w:iCs/>
        </w:rPr>
        <w:t xml:space="preserve">“Moribund”</w:t>
      </w:r>
    </w:p>
    <w:p>
      <w:pPr>
        <w:pStyle w:val="BodyText"/>
      </w:pPr>
      <w:r>
        <w:t xml:space="preserve">If this Court or the United States Supreme Court announces a new constitutional rule, the rule applies automatically to all criminal cases pending on direct review—state or federal.</w:t>
      </w:r>
      <w:r>
        <w:t xml:space="preserve"> </w:t>
      </w:r>
      <w:r>
        <w:rPr>
          <w:i/>
          <w:iCs/>
        </w:rPr>
        <w:t xml:space="preserve">Griffith</w:t>
      </w:r>
      <w:r>
        <w:rPr>
          <w:i/>
          <w:iCs/>
        </w:rPr>
        <w:t xml:space="preserve"> </w:t>
      </w:r>
      <w:r>
        <w:rPr>
          <w:i/>
          <w:iCs/>
        </w:rPr>
        <w:t xml:space="preserve">v. Kentucky</w:t>
      </w:r>
      <w:r>
        <w:t xml:space="preserve">, 479 U.S. 314, 328 (1987) (“[A] new rule for the conduct of criminal prosecutions is to be applied retroactively to all cases, state or federal, pending on direct review or not yet final.”);</w:t>
      </w:r>
      <w:r>
        <w:t xml:space="preserve"> </w:t>
      </w:r>
      <w:r>
        <w:rPr>
          <w:i/>
          <w:iCs/>
        </w:rPr>
        <w:t xml:space="preserve">State</w:t>
      </w:r>
      <w:r>
        <w:rPr>
          <w:i/>
          <w:iCs/>
        </w:rPr>
        <w:t xml:space="preserve"> </w:t>
      </w:r>
      <w:r>
        <w:rPr>
          <w:i/>
          <w:iCs/>
        </w:rPr>
        <w:t xml:space="preserve">v. Ruiz</w:t>
      </w:r>
      <w:r>
        <w:t xml:space="preserve">, 2006</w:t>
      </w:r>
      <w:r>
        <w:noBreakHyphen/>
      </w:r>
      <w:r>
        <w:t xml:space="preserve">1755 (La. 4/11/07), 955 So. 2d 81, 85 (“This Court has followed</w:t>
      </w:r>
      <w:r>
        <w:t xml:space="preserve"> </w:t>
      </w:r>
      <w:r>
        <w:rPr>
          <w:i/>
          <w:iCs/>
        </w:rPr>
        <w:t xml:space="preserve">Griffith v. Kentucky</w:t>
      </w:r>
      <w:r>
        <w:t xml:space="preserve"> </w:t>
      </w:r>
      <w:r>
        <w:t xml:space="preserve">for some time and has applied new rules to cases pending on direct review or not yet final.”). Even a criminal defendant who lost at trial can benefit from a new constitutional rule if his case remains pending on appeal when the new rule is announced.</w:t>
      </w:r>
      <w:r>
        <w:t xml:space="preserve"> </w:t>
      </w:r>
      <w:r>
        <w:rPr>
          <w:i/>
          <w:iCs/>
        </w:rPr>
        <w:t xml:space="preserve">See</w:t>
      </w:r>
      <w:r>
        <w:t xml:space="preserve"> </w:t>
      </w:r>
      <w:r>
        <w:rPr>
          <w:i/>
          <w:iCs/>
        </w:rPr>
        <w:t xml:space="preserve">State</w:t>
      </w:r>
      <w:r>
        <w:rPr>
          <w:i/>
          <w:iCs/>
        </w:rPr>
        <w:t xml:space="preserve"> </w:t>
      </w:r>
      <w:r>
        <w:rPr>
          <w:i/>
          <w:iCs/>
        </w:rPr>
        <w:t xml:space="preserve">v. Sparks</w:t>
      </w:r>
      <w:r>
        <w:t xml:space="preserve">, 1988</w:t>
      </w:r>
      <w:r>
        <w:noBreakHyphen/>
      </w:r>
      <w:r>
        <w:t xml:space="preserve">0017 (La. 5/11/11), 68 So. 3d 435, 469 (applying new rules on appeal despite 24-year gap between sentencing and appeal).</w:t>
      </w:r>
    </w:p>
    <w:p>
      <w:pPr>
        <w:pStyle w:val="BodyText"/>
      </w:pPr>
      <w:r>
        <w:t xml:space="preserve">Things change substantially, however, after direct review ends and a criminal defendant’s case becomes final. For federal habeas cases, the Supreme Court explained in</w:t>
      </w:r>
      <w:r>
        <w:t xml:space="preserve"> </w:t>
      </w:r>
      <w:r>
        <w:rPr>
          <w:i/>
          <w:iCs/>
        </w:rPr>
        <w:t xml:space="preserve">Teague</w:t>
      </w:r>
      <w:r>
        <w:t xml:space="preserve"> </w:t>
      </w:r>
      <w:r>
        <w:t xml:space="preserve">that new constitutional rules generally should not apply retroactively to cases that are final.</w:t>
      </w:r>
      <w:r>
        <w:t xml:space="preserve"> </w:t>
      </w:r>
      <w:r>
        <w:rPr>
          <w:i/>
          <w:iCs/>
        </w:rPr>
        <w:t xml:space="preserve">See</w:t>
      </w:r>
      <w:r>
        <w:t xml:space="preserve"> </w:t>
      </w:r>
      <w:r>
        <w:rPr>
          <w:i/>
          <w:iCs/>
        </w:rPr>
        <w:t xml:space="preserve">Montgomery</w:t>
      </w:r>
      <w:r>
        <w:rPr>
          <w:i/>
          <w:iCs/>
        </w:rPr>
        <w:t xml:space="preserve"> </w:t>
      </w:r>
      <w:r>
        <w:rPr>
          <w:i/>
          <w:iCs/>
        </w:rPr>
        <w:t xml:space="preserve">v. Louisiana</w:t>
      </w:r>
      <w:r>
        <w:t xml:space="preserve">, 577 U.S. 190, 198 (2016),</w:t>
      </w:r>
      <w:r>
        <w:t xml:space="preserve"> </w:t>
      </w:r>
      <w:r>
        <w:rPr>
          <w:i/>
          <w:iCs/>
        </w:rPr>
        <w:t xml:space="preserve">as revised</w:t>
      </w:r>
      <w:r>
        <w:t xml:space="preserve"> </w:t>
      </w:r>
      <w:r>
        <w:t xml:space="preserve">(Jan. 27, 2016) (“Under</w:t>
      </w:r>
      <w:r>
        <w:t xml:space="preserve"> </w:t>
      </w:r>
      <w:r>
        <w:rPr>
          <w:i/>
          <w:iCs/>
        </w:rPr>
        <w:t xml:space="preserve">Teague</w:t>
      </w:r>
      <w:r>
        <w:t xml:space="preserve">, a new constitutional rule of criminal procedure does not apply, as a general matter, to convictions that were final when the new rule was announced.”);</w:t>
      </w:r>
      <w:r>
        <w:t xml:space="preserve"> </w:t>
      </w:r>
      <w:r>
        <w:rPr>
          <w:i/>
          <w:iCs/>
        </w:rPr>
        <w:t xml:space="preserve">accord</w:t>
      </w:r>
      <w:r>
        <w:t xml:space="preserve"> </w:t>
      </w:r>
      <w:r>
        <w:rPr>
          <w:i/>
          <w:iCs/>
        </w:rPr>
        <w:t xml:space="preserve">Danforth</w:t>
      </w:r>
      <w:r>
        <w:rPr>
          <w:i/>
          <w:iCs/>
        </w:rPr>
        <w:t xml:space="preserve"> </w:t>
      </w:r>
      <w:r>
        <w:rPr>
          <w:i/>
          <w:iCs/>
        </w:rPr>
        <w:t xml:space="preserve">v. Minnesota</w:t>
      </w:r>
      <w:r>
        <w:t xml:space="preserve">, 552 U.S. 264, 300 (2008) (Roberts, C.J., dissenting) (“[O]ur decision in</w:t>
      </w:r>
      <w:r>
        <w:t xml:space="preserve"> </w:t>
      </w:r>
      <w:r>
        <w:rPr>
          <w:i/>
          <w:iCs/>
        </w:rPr>
        <w:t xml:space="preserve">Griffith</w:t>
      </w:r>
      <w:r>
        <w:t xml:space="preserve"> </w:t>
      </w:r>
      <w:r>
        <w:t xml:space="preserve">made finality the touchstone for retroactivity of new federal rules.”). This is known as “</w:t>
      </w:r>
      <w:r>
        <w:rPr>
          <w:i/>
          <w:iCs/>
        </w:rPr>
        <w:t xml:space="preserve">Teague</w:t>
      </w:r>
      <w:r>
        <w:t xml:space="preserve">’s retroactivity bar.”</w:t>
      </w:r>
      <w:r>
        <w:t xml:space="preserve"> </w:t>
      </w:r>
      <w:r>
        <w:rPr>
          <w:i/>
          <w:iCs/>
        </w:rPr>
        <w:t xml:space="preserve">Montgomery</w:t>
      </w:r>
      <w:r>
        <w:t xml:space="preserve">, 577 U.S. at 199.</w:t>
      </w:r>
    </w:p>
    <w:p>
      <w:pPr>
        <w:pStyle w:val="BodyText"/>
      </w:pPr>
      <w:r>
        <w:t xml:space="preserve">In</w:t>
      </w:r>
      <w:r>
        <w:t xml:space="preserve"> </w:t>
      </w:r>
      <w:r>
        <w:rPr>
          <w:i/>
          <w:iCs/>
        </w:rPr>
        <w:t xml:space="preserve">Teague</w:t>
      </w:r>
      <w:r>
        <w:t xml:space="preserve">, the Court envisioned two possible exceptions to the retroactivity bar. The first exception is for new substantive rules of constitutional law. 489</w:t>
      </w:r>
      <w:r>
        <w:t xml:space="preserve"> </w:t>
      </w:r>
      <w:r>
        <w:t xml:space="preserve">U.S. at 307. These are “rules forbidding criminal punishment of certain primary conduct” and “rules prohibiting a certain category of punishment for a class of defendants because of their status or offense.”</w:t>
      </w:r>
      <w:r>
        <w:t xml:space="preserve"> </w:t>
      </w:r>
      <w:r>
        <w:rPr>
          <w:i/>
          <w:iCs/>
        </w:rPr>
        <w:t xml:space="preserve">Montgomery</w:t>
      </w:r>
      <w:r>
        <w:t xml:space="preserve">, 577 U.S. at 198. Substantive rules also include “decisions that narrow the scope of a criminal statute by interpreting its terms ⁠. ⁠. ⁠. [and] constitutional determinations that place particular conduct or persons covered by the statute beyond the State’s power to punish.”</w:t>
      </w:r>
      <w:r>
        <w:t xml:space="preserve"> </w:t>
      </w:r>
      <w:r>
        <w:rPr>
          <w:i/>
          <w:iCs/>
        </w:rPr>
        <w:t xml:space="preserve">Schriro</w:t>
      </w:r>
      <w:r>
        <w:rPr>
          <w:i/>
          <w:iCs/>
        </w:rPr>
        <w:t xml:space="preserve"> </w:t>
      </w:r>
      <w:r>
        <w:rPr>
          <w:i/>
          <w:iCs/>
        </w:rPr>
        <w:t xml:space="preserve">v. Summerlin</w:t>
      </w:r>
      <w:r>
        <w:t xml:space="preserve">, 542 U.S. 348, 351–52 (2004) (citing</w:t>
      </w:r>
      <w:r>
        <w:t xml:space="preserve"> </w:t>
      </w:r>
      <w:r>
        <w:rPr>
          <w:i/>
          <w:iCs/>
        </w:rPr>
        <w:t xml:space="preserve">Saffle</w:t>
      </w:r>
      <w:r>
        <w:rPr>
          <w:i/>
          <w:iCs/>
        </w:rPr>
        <w:t xml:space="preserve"> </w:t>
      </w:r>
      <w:r>
        <w:rPr>
          <w:i/>
          <w:iCs/>
        </w:rPr>
        <w:t xml:space="preserve">v. Parks</w:t>
      </w:r>
      <w:r>
        <w:t xml:space="preserve">, 494 U.S. 484, 494–95 (1990);</w:t>
      </w:r>
      <w:r>
        <w:t xml:space="preserve"> </w:t>
      </w:r>
      <w:r>
        <w:rPr>
          <w:i/>
          <w:iCs/>
        </w:rPr>
        <w:t xml:space="preserve">Bousley</w:t>
      </w:r>
      <w:r>
        <w:rPr>
          <w:i/>
          <w:iCs/>
        </w:rPr>
        <w:t xml:space="preserve"> </w:t>
      </w:r>
      <w:r>
        <w:rPr>
          <w:i/>
          <w:iCs/>
        </w:rPr>
        <w:t xml:space="preserve">v. United States</w:t>
      </w:r>
      <w:r>
        <w:t xml:space="preserve">, 523 U.S. 614, 620–21 (1998)). State and federal courts “must give retroactive effect to new substantive rules of constitutional law.”</w:t>
      </w:r>
      <w:r>
        <w:t xml:space="preserve"> </w:t>
      </w:r>
      <w:r>
        <w:rPr>
          <w:i/>
          <w:iCs/>
        </w:rPr>
        <w:t xml:space="preserve">Montgomery</w:t>
      </w:r>
      <w:r>
        <w:t xml:space="preserve">, 577 U.S. at 198.</w:t>
      </w:r>
    </w:p>
    <w:p>
      <w:pPr>
        <w:pStyle w:val="BodyText"/>
      </w:pPr>
      <w:r>
        <w:t xml:space="preserve">In</w:t>
      </w:r>
      <w:r>
        <w:t xml:space="preserve"> </w:t>
      </w:r>
      <w:r>
        <w:rPr>
          <w:i/>
          <w:iCs/>
        </w:rPr>
        <w:t xml:space="preserve">Teague</w:t>
      </w:r>
      <w:r>
        <w:t xml:space="preserve">, the Court also contemplated an exception to the retroactivity bar for an “extremely narrow” class of “watershed” procedural rules.</w:t>
      </w:r>
      <w:r>
        <w:t xml:space="preserve"> </w:t>
      </w:r>
      <w:r>
        <w:rPr>
          <w:i/>
          <w:iCs/>
        </w:rPr>
        <w:t xml:space="preserve">Id.</w:t>
      </w:r>
      <w:r>
        <w:t xml:space="preserve"> </w:t>
      </w:r>
      <w:r>
        <w:t xml:space="preserve">at 352;</w:t>
      </w:r>
      <w:r>
        <w:t xml:space="preserve"> </w:t>
      </w:r>
      <w:r>
        <w:rPr>
          <w:i/>
          <w:iCs/>
        </w:rPr>
        <w:t xml:space="preserve">Teague</w:t>
      </w:r>
      <w:r>
        <w:t xml:space="preserve">, 489 U.S. at 311 (“[T]he second exception [is meant] to be reserved for watershed rules of criminal procedure.”). Rules are procedural when they “regulate only the manner of determining the defendant’s culpability.”</w:t>
      </w:r>
      <w:r>
        <w:t xml:space="preserve"> </w:t>
      </w:r>
      <w:r>
        <w:rPr>
          <w:i/>
          <w:iCs/>
        </w:rPr>
        <w:t xml:space="preserve">Id.</w:t>
      </w:r>
      <w:r>
        <w:t xml:space="preserve"> </w:t>
      </w:r>
      <w:r>
        <w:t xml:space="preserve">at 353.</w:t>
      </w:r>
    </w:p>
    <w:p>
      <w:pPr>
        <w:pStyle w:val="BodyText"/>
      </w:pPr>
      <w:r>
        <w:t xml:space="preserve">Because new procedural rules have a “more speculative connection to innocence” than substantive rules, the Supreme Court sharply curtailed</w:t>
      </w:r>
      <w:r>
        <w:t xml:space="preserve"> </w:t>
      </w:r>
      <w:r>
        <w:rPr>
          <w:i/>
          <w:iCs/>
        </w:rPr>
        <w:t xml:space="preserve">Teague</w:t>
      </w:r>
      <w:r>
        <w:t xml:space="preserve">’s second exception.</w:t>
      </w:r>
      <w:r>
        <w:t xml:space="preserve"> </w:t>
      </w:r>
      <w:r>
        <w:rPr>
          <w:i/>
          <w:iCs/>
        </w:rPr>
        <w:t xml:space="preserve">Summerlin</w:t>
      </w:r>
      <w:r>
        <w:t xml:space="preserve">, 542 U.S. at 352. The Court “repeatedly emphasized the limited scope of the second</w:t>
      </w:r>
      <w:r>
        <w:t xml:space="preserve"> </w:t>
      </w:r>
      <w:r>
        <w:rPr>
          <w:i/>
          <w:iCs/>
        </w:rPr>
        <w:t xml:space="preserve">Teague</w:t>
      </w:r>
      <w:r>
        <w:t xml:space="preserve"> </w:t>
      </w:r>
      <w:r>
        <w:t xml:space="preserve">exception, explaining that it is clearly meant to apply only to a small core of rules requiring observance of those procedures that are implicit in the concept of ordered liberty.”</w:t>
      </w:r>
      <w:r>
        <w:t xml:space="preserve"> </w:t>
      </w:r>
      <w:r>
        <w:rPr>
          <w:i/>
          <w:iCs/>
        </w:rPr>
        <w:t xml:space="preserve">Beard</w:t>
      </w:r>
      <w:r>
        <w:rPr>
          <w:i/>
          <w:iCs/>
        </w:rPr>
        <w:t xml:space="preserve"> </w:t>
      </w:r>
      <w:r>
        <w:rPr>
          <w:i/>
          <w:iCs/>
        </w:rPr>
        <w:t xml:space="preserve">v. Banks</w:t>
      </w:r>
      <w:r>
        <w:t xml:space="preserve">, 542 U.S. 406, 417 (2004) (cleaned up).</w:t>
      </w:r>
    </w:p>
    <w:p>
      <w:pPr>
        <w:pStyle w:val="BodyText"/>
      </w:pPr>
      <w:r>
        <w:t xml:space="preserve">Over the years, the Supreme Court announced many new procedural rules. Over and over again, it considered whether the new procedural rules should apply retroactively on federal collateral review. The Court declined every invitation to declare a new procedural rule “watershed”—prioritizing States’ tremendous interests in the finality of their convictions over prisoners’ interests in retroactive application of a new procedural rule that has only a speculative connection with innocence.</w:t>
      </w:r>
      <w:r>
        <w:t xml:space="preserve"> </w:t>
      </w:r>
      <w:r>
        <w:rPr>
          <w:i/>
          <w:iCs/>
        </w:rPr>
        <w:t xml:space="preserve">Summerlin</w:t>
      </w:r>
      <w:r>
        <w:t xml:space="preserve">, 542 U.S. at 352.</w:t>
      </w:r>
    </w:p>
    <w:p>
      <w:pPr>
        <w:pStyle w:val="BodyText"/>
      </w:pPr>
      <w:r>
        <w:t xml:space="preserve">For example, the Supreme Court concluded that none of the following new procedural rules warranted retroactive application:</w:t>
      </w:r>
    </w:p>
    <w:p>
      <w:pPr>
        <w:pStyle w:val="XdList1"/>
      </w:pPr>
      <w:r>
        <w:t xml:space="preserve">•</w:t>
      </w:r>
      <w:r>
        <w:tab/>
      </w:r>
      <w:r>
        <w:rPr>
          <w:i/>
          <w:iCs/>
        </w:rPr>
        <w:t xml:space="preserve">Chaidez</w:t>
      </w:r>
      <w:r>
        <w:rPr>
          <w:i/>
          <w:iCs/>
        </w:rPr>
        <w:t xml:space="preserve"> </w:t>
      </w:r>
      <w:r>
        <w:rPr>
          <w:i/>
          <w:iCs/>
        </w:rPr>
        <w:t xml:space="preserve">v. United States</w:t>
      </w:r>
      <w:r>
        <w:t xml:space="preserve">, 568 U.S. 342 (2013) (rejecting retroactivity of</w:t>
      </w:r>
      <w:r>
        <w:t xml:space="preserve"> </w:t>
      </w:r>
      <w:r>
        <w:rPr>
          <w:i/>
          <w:iCs/>
        </w:rPr>
        <w:t xml:space="preserve">Padilla</w:t>
      </w:r>
      <w:r>
        <w:rPr>
          <w:i/>
          <w:iCs/>
        </w:rPr>
        <w:t xml:space="preserve"> </w:t>
      </w:r>
      <w:r>
        <w:rPr>
          <w:i/>
          <w:iCs/>
        </w:rPr>
        <w:t xml:space="preserve">v. Kentucky</w:t>
      </w:r>
      <w:r>
        <w:t xml:space="preserve">, 559 U.S. 356 (2010), which held that defense counsel is ineffective for not advising defendant about risk of deportation arising from guilty plea);</w:t>
      </w:r>
    </w:p>
    <w:p>
      <w:pPr>
        <w:pStyle w:val="XdList1"/>
      </w:pPr>
      <w:r>
        <w:t xml:space="preserve">•</w:t>
      </w:r>
      <w:r>
        <w:tab/>
      </w:r>
      <w:r>
        <w:rPr>
          <w:i/>
          <w:iCs/>
        </w:rPr>
        <w:t xml:space="preserve">Whorton</w:t>
      </w:r>
      <w:r>
        <w:rPr>
          <w:i/>
          <w:iCs/>
        </w:rPr>
        <w:t xml:space="preserve"> </w:t>
      </w:r>
      <w:r>
        <w:rPr>
          <w:i/>
          <w:iCs/>
        </w:rPr>
        <w:t xml:space="preserve">v. Bockting</w:t>
      </w:r>
      <w:r>
        <w:t xml:space="preserve">, 549 U.S. 406 (2007) (rejecting retroactivity of</w:t>
      </w:r>
      <w:r>
        <w:t xml:space="preserve"> </w:t>
      </w:r>
      <w:r>
        <w:rPr>
          <w:i/>
          <w:iCs/>
        </w:rPr>
        <w:t xml:space="preserve">Crawford</w:t>
      </w:r>
      <w:r>
        <w:rPr>
          <w:i/>
          <w:iCs/>
        </w:rPr>
        <w:t xml:space="preserve"> </w:t>
      </w:r>
      <w:r>
        <w:rPr>
          <w:i/>
          <w:iCs/>
        </w:rPr>
        <w:t xml:space="preserve">v. Washington</w:t>
      </w:r>
      <w:r>
        <w:t xml:space="preserve">, 541 U.S. 36 (2004), which held that admission of certain hearsay evidence violated the Confrontation Clause);</w:t>
      </w:r>
    </w:p>
    <w:p>
      <w:pPr>
        <w:pStyle w:val="XdList1"/>
      </w:pPr>
      <w:r>
        <w:t xml:space="preserve">•</w:t>
      </w:r>
      <w:r>
        <w:tab/>
      </w:r>
      <w:r>
        <w:rPr>
          <w:i/>
          <w:iCs/>
        </w:rPr>
        <w:t xml:space="preserve">Summerlin</w:t>
      </w:r>
      <w:r>
        <w:t xml:space="preserve">, 542 U.S. at 348 (rejecting retroactivity of</w:t>
      </w:r>
      <w:r>
        <w:t xml:space="preserve"> </w:t>
      </w:r>
      <w:r>
        <w:rPr>
          <w:i/>
          <w:iCs/>
        </w:rPr>
        <w:t xml:space="preserve">Ring</w:t>
      </w:r>
      <w:r>
        <w:rPr>
          <w:i/>
          <w:iCs/>
        </w:rPr>
        <w:t xml:space="preserve"> </w:t>
      </w:r>
      <w:r>
        <w:rPr>
          <w:i/>
          <w:iCs/>
        </w:rPr>
        <w:t xml:space="preserve">v. Arizona</w:t>
      </w:r>
      <w:r>
        <w:t xml:space="preserve">, 536 U.S. 584 (2002), which held that a jury must determine presence or absence of aggravating factors to impose death penalty);</w:t>
      </w:r>
    </w:p>
    <w:p>
      <w:pPr>
        <w:pStyle w:val="XdList1"/>
      </w:pPr>
      <w:r>
        <w:t xml:space="preserve">•</w:t>
      </w:r>
      <w:r>
        <w:tab/>
      </w:r>
      <w:r>
        <w:rPr>
          <w:i/>
          <w:iCs/>
        </w:rPr>
        <w:t xml:space="preserve">Beard</w:t>
      </w:r>
      <w:r>
        <w:t xml:space="preserve">, 542 U.S. at 406 (rejecting retroactivity of</w:t>
      </w:r>
      <w:r>
        <w:t xml:space="preserve"> </w:t>
      </w:r>
      <w:r>
        <w:rPr>
          <w:i/>
          <w:iCs/>
        </w:rPr>
        <w:t xml:space="preserve">Mills</w:t>
      </w:r>
      <w:r>
        <w:rPr>
          <w:i/>
          <w:iCs/>
        </w:rPr>
        <w:t xml:space="preserve"> </w:t>
      </w:r>
      <w:r>
        <w:rPr>
          <w:i/>
          <w:iCs/>
        </w:rPr>
        <w:t xml:space="preserve">v. Maryland</w:t>
      </w:r>
      <w:r>
        <w:t xml:space="preserve">, 486 U.S. 367 (1988), which invalidated capital sentencing schemes requiring juries to disregard mitigating factors not found unanimously);</w:t>
      </w:r>
    </w:p>
    <w:p>
      <w:pPr>
        <w:pStyle w:val="XdList1"/>
      </w:pPr>
      <w:r>
        <w:t xml:space="preserve">•</w:t>
      </w:r>
      <w:r>
        <w:tab/>
      </w:r>
      <w:r>
        <w:rPr>
          <w:i/>
          <w:iCs/>
        </w:rPr>
        <w:t xml:space="preserve">Tyler</w:t>
      </w:r>
      <w:r>
        <w:rPr>
          <w:i/>
          <w:iCs/>
        </w:rPr>
        <w:t xml:space="preserve"> </w:t>
      </w:r>
      <w:r>
        <w:rPr>
          <w:i/>
          <w:iCs/>
        </w:rPr>
        <w:t xml:space="preserve">v. Cain</w:t>
      </w:r>
      <w:r>
        <w:t xml:space="preserve">, 533 U.S. 656 (2001) (rejecting retroactivity of</w:t>
      </w:r>
      <w:r>
        <w:t xml:space="preserve"> </w:t>
      </w:r>
      <w:r>
        <w:rPr>
          <w:i/>
          <w:iCs/>
        </w:rPr>
        <w:t xml:space="preserve">Cage</w:t>
      </w:r>
      <w:r>
        <w:rPr>
          <w:i/>
          <w:iCs/>
        </w:rPr>
        <w:t xml:space="preserve"> </w:t>
      </w:r>
      <w:r>
        <w:rPr>
          <w:i/>
          <w:iCs/>
        </w:rPr>
        <w:t xml:space="preserve">v. Louisiana</w:t>
      </w:r>
      <w:r>
        <w:t xml:space="preserve">, 498 U.S. 39 (1990), which held that jury instruction is unconstitutional if there is a reasonable likelihood the jury understood it to allow conviction without proof beyond reasonable doubt);</w:t>
      </w:r>
    </w:p>
    <w:p>
      <w:pPr>
        <w:pStyle w:val="XdList1"/>
      </w:pPr>
      <w:r>
        <w:t xml:space="preserve">•</w:t>
      </w:r>
      <w:r>
        <w:tab/>
      </w:r>
      <w:r>
        <w:rPr>
          <w:i/>
          <w:iCs/>
        </w:rPr>
        <w:t xml:space="preserve">O’Dell</w:t>
      </w:r>
      <w:r>
        <w:rPr>
          <w:i/>
          <w:iCs/>
        </w:rPr>
        <w:t xml:space="preserve"> </w:t>
      </w:r>
      <w:r>
        <w:rPr>
          <w:i/>
          <w:iCs/>
        </w:rPr>
        <w:t xml:space="preserve">v. Netherland</w:t>
      </w:r>
      <w:r>
        <w:t xml:space="preserve">, 521 U.S. 151 (1997) (rejecting retroactivity of</w:t>
      </w:r>
      <w:r>
        <w:t xml:space="preserve"> </w:t>
      </w:r>
      <w:r>
        <w:rPr>
          <w:i/>
          <w:iCs/>
        </w:rPr>
        <w:t xml:space="preserve">Simmons</w:t>
      </w:r>
      <w:r>
        <w:rPr>
          <w:i/>
          <w:iCs/>
        </w:rPr>
        <w:t xml:space="preserve"> </w:t>
      </w:r>
      <w:r>
        <w:rPr>
          <w:i/>
          <w:iCs/>
        </w:rPr>
        <w:t xml:space="preserve">v. South Carolina</w:t>
      </w:r>
      <w:r>
        <w:t xml:space="preserve">, 512 U.S. 154 (1994), which held that capital defendant must be allowed to inform sentencer that he would be ineligible for parole if prosecution argues future dangerousness);</w:t>
      </w:r>
    </w:p>
    <w:p>
      <w:pPr>
        <w:pStyle w:val="XdList1"/>
      </w:pPr>
      <w:r>
        <w:t xml:space="preserve">•</w:t>
      </w:r>
      <w:r>
        <w:tab/>
      </w:r>
      <w:r>
        <w:rPr>
          <w:i/>
          <w:iCs/>
        </w:rPr>
        <w:t xml:space="preserve">Gilmore</w:t>
      </w:r>
      <w:r>
        <w:rPr>
          <w:i/>
          <w:iCs/>
        </w:rPr>
        <w:t xml:space="preserve"> </w:t>
      </w:r>
      <w:r>
        <w:rPr>
          <w:i/>
          <w:iCs/>
        </w:rPr>
        <w:t xml:space="preserve">v. Taylor</w:t>
      </w:r>
      <w:r>
        <w:t xml:space="preserve">, 508 U.S. 333 (1993) (rejecting retroactivity of</w:t>
      </w:r>
      <w:r>
        <w:t xml:space="preserve"> </w:t>
      </w:r>
      <w:r>
        <w:rPr>
          <w:i/>
          <w:iCs/>
        </w:rPr>
        <w:t xml:space="preserve">Falconer</w:t>
      </w:r>
      <w:r>
        <w:rPr>
          <w:i/>
          <w:iCs/>
        </w:rPr>
        <w:t xml:space="preserve"> </w:t>
      </w:r>
      <w:r>
        <w:rPr>
          <w:i/>
          <w:iCs/>
        </w:rPr>
        <w:t xml:space="preserve">v. Lane</w:t>
      </w:r>
      <w:r>
        <w:t xml:space="preserve">, 905 F.2d 1129 (7th Cir. 1990), in which the Seventh Circuit held that a jury instruction—which left jurors with a false impression that they could convict even if defendant possessed one of the mitigating states of mind—violated due process);</w:t>
      </w:r>
    </w:p>
    <w:p>
      <w:pPr>
        <w:pStyle w:val="XdList1"/>
      </w:pPr>
      <w:r>
        <w:t xml:space="preserve">•</w:t>
      </w:r>
      <w:r>
        <w:tab/>
      </w:r>
      <w:r>
        <w:rPr>
          <w:i/>
          <w:iCs/>
        </w:rPr>
        <w:t xml:space="preserve">Sawyer</w:t>
      </w:r>
      <w:r>
        <w:rPr>
          <w:i/>
          <w:iCs/>
        </w:rPr>
        <w:t xml:space="preserve"> </w:t>
      </w:r>
      <w:r>
        <w:rPr>
          <w:i/>
          <w:iCs/>
        </w:rPr>
        <w:t xml:space="preserve">v. Smith</w:t>
      </w:r>
      <w:r>
        <w:t xml:space="preserve">, 497 U.S. 227 (1990) (rejecting retroactivity of</w:t>
      </w:r>
      <w:r>
        <w:t xml:space="preserve"> </w:t>
      </w:r>
      <w:r>
        <w:rPr>
          <w:i/>
          <w:iCs/>
        </w:rPr>
        <w:t xml:space="preserve">Caldwell</w:t>
      </w:r>
      <w:r>
        <w:rPr>
          <w:i/>
          <w:iCs/>
        </w:rPr>
        <w:t xml:space="preserve"> </w:t>
      </w:r>
      <w:r>
        <w:rPr>
          <w:i/>
          <w:iCs/>
        </w:rPr>
        <w:t xml:space="preserve">v. Mississippi</w:t>
      </w:r>
      <w:r>
        <w:t xml:space="preserve">, 472 U.S. 320 (1985), which held that Eighth Amendment barred imposition of death penalty by jury that had been led to believe responsibility for the ultimate decision rested elsewhere).</w:t>
      </w:r>
    </w:p>
    <w:p>
      <w:pPr>
        <w:pStyle w:val="BodyText"/>
      </w:pPr>
      <w:r>
        <w:t xml:space="preserve">Finally, in</w:t>
      </w:r>
      <w:r>
        <w:t xml:space="preserve"> </w:t>
      </w:r>
      <w:r>
        <w:rPr>
          <w:i/>
          <w:iCs/>
        </w:rPr>
        <w:t xml:space="preserve">Edwards</w:t>
      </w:r>
      <w:r>
        <w:t xml:space="preserve">, the Supreme Court granted certiorari to consider the retroactivity of</w:t>
      </w:r>
      <w:r>
        <w:t xml:space="preserve"> </w:t>
      </w:r>
      <w:r>
        <w:rPr>
          <w:i/>
          <w:iCs/>
        </w:rPr>
        <w:t xml:space="preserve">Ramos</w:t>
      </w:r>
      <w:r>
        <w:t xml:space="preserve">—which concluded that the Sixth Amendment prohibited States from accepting non-unanimous jury verdicts. The rule announced in</w:t>
      </w:r>
      <w:r>
        <w:t xml:space="preserve"> </w:t>
      </w:r>
      <w:r>
        <w:rPr>
          <w:i/>
          <w:iCs/>
        </w:rPr>
        <w:t xml:space="preserve">Ramos</w:t>
      </w:r>
      <w:r>
        <w:t xml:space="preserve"> </w:t>
      </w:r>
      <w:r>
        <w:t xml:space="preserve">was undisputedly procedural. And so, the question for the Court in</w:t>
      </w:r>
      <w:r>
        <w:t xml:space="preserve"> </w:t>
      </w:r>
      <w:r>
        <w:rPr>
          <w:i/>
          <w:iCs/>
        </w:rPr>
        <w:t xml:space="preserve">Edwards</w:t>
      </w:r>
      <w:r>
        <w:t xml:space="preserve"> </w:t>
      </w:r>
      <w:r>
        <w:t xml:space="preserve">was whether</w:t>
      </w:r>
      <w:r>
        <w:t xml:space="preserve"> </w:t>
      </w:r>
      <w:r>
        <w:rPr>
          <w:i/>
          <w:iCs/>
        </w:rPr>
        <w:t xml:space="preserve">Ramos</w:t>
      </w:r>
      <w:r>
        <w:t xml:space="preserve"> </w:t>
      </w:r>
      <w:r>
        <w:t xml:space="preserve">announced a “watershed” rule that warranted retroactive application. Like every other new procedural rule it had considered, the Court concluded the</w:t>
      </w:r>
      <w:r>
        <w:t xml:space="preserve"> </w:t>
      </w:r>
      <w:r>
        <w:rPr>
          <w:i/>
          <w:iCs/>
        </w:rPr>
        <w:t xml:space="preserve">Ramos</w:t>
      </w:r>
      <w:r>
        <w:t xml:space="preserve"> </w:t>
      </w:r>
      <w:r>
        <w:t xml:space="preserve">rule should not apply retroactively.</w:t>
      </w:r>
    </w:p>
    <w:p>
      <w:pPr>
        <w:pStyle w:val="BodyText"/>
      </w:pPr>
      <w:r>
        <w:t xml:space="preserve">The</w:t>
      </w:r>
      <w:r>
        <w:t xml:space="preserve"> </w:t>
      </w:r>
      <w:r>
        <w:rPr>
          <w:i/>
          <w:iCs/>
        </w:rPr>
        <w:t xml:space="preserve">Edwards</w:t>
      </w:r>
      <w:r>
        <w:t xml:space="preserve"> </w:t>
      </w:r>
      <w:r>
        <w:t xml:space="preserve">Court then observed that, “for decades, the Court has rejected watershed status for new procedural rule after new procedural rule.” 141</w:t>
      </w:r>
      <w:r>
        <w:t xml:space="preserve"> </w:t>
      </w:r>
      <w:r>
        <w:t xml:space="preserve">S. Ct. at 1560. The Court</w:t>
      </w:r>
      <w:r>
        <w:t xml:space="preserve"> </w:t>
      </w:r>
      <w:r>
        <w:rPr>
          <w:i/>
          <w:iCs/>
        </w:rPr>
        <w:t xml:space="preserve">sua sponte</w:t>
      </w:r>
      <w:r>
        <w:t xml:space="preserve"> </w:t>
      </w:r>
      <w:r>
        <w:t xml:space="preserve">raised the question of whether any new procedural rule could ever satisfy the watershed exception. The answer was no: “At this point, some 32 years after</w:t>
      </w:r>
      <w:r>
        <w:t xml:space="preserve"> </w:t>
      </w:r>
      <w:r>
        <w:rPr>
          <w:i/>
          <w:iCs/>
        </w:rPr>
        <w:t xml:space="preserve">Teague</w:t>
      </w:r>
      <w:r>
        <w:t xml:space="preserve">, we think the only candid answer is that none can—that is, no new rules of criminal procedure can satisfy the watershed exception.”</w:t>
      </w:r>
      <w:r>
        <w:t xml:space="preserve"> </w:t>
      </w:r>
      <w:r>
        <w:rPr>
          <w:i/>
          <w:iCs/>
        </w:rPr>
        <w:t xml:space="preserve">Id.</w:t>
      </w:r>
      <w:r>
        <w:t xml:space="preserve"> </w:t>
      </w:r>
      <w:r>
        <w:t xml:space="preserve">at 1559.</w:t>
      </w:r>
    </w:p>
    <w:p>
      <w:pPr>
        <w:pStyle w:val="BodyText"/>
      </w:pPr>
      <w:r>
        <w:t xml:space="preserve">In light of its observation that new procedural rules never apply retroactively, the Court concluded that “[c]ontinuing to articulate a theoretical exception that never actually applies in practice offers false hope to defendants, distorts the law, misleads judges, and wastes the resources of defense counsel, prosecutors, and courts.”</w:t>
      </w:r>
      <w:r>
        <w:t xml:space="preserve"> </w:t>
      </w:r>
      <w:r>
        <w:rPr>
          <w:i/>
          <w:iCs/>
        </w:rPr>
        <w:t xml:space="preserve">Id.</w:t>
      </w:r>
      <w:r>
        <w:t xml:space="preserve"> </w:t>
      </w:r>
      <w:r>
        <w:t xml:space="preserve">at 1560. To avoid these negative consequences, the Court decided that “[t]he watershed exception is moribund. It must be regarded as retaining no vitality.”</w:t>
      </w:r>
      <w:r>
        <w:t xml:space="preserve"> </w:t>
      </w:r>
      <w:r>
        <w:rPr>
          <w:i/>
          <w:iCs/>
        </w:rPr>
        <w:t xml:space="preserve">Id.</w:t>
      </w:r>
      <w:r>
        <w:t xml:space="preserve"> </w:t>
      </w:r>
      <w:r>
        <w:t xml:space="preserve">(internal quotation marks omitted).</w:t>
      </w:r>
    </w:p>
    <w:p>
      <w:pPr>
        <w:pStyle w:val="BodyText"/>
      </w:pPr>
      <w:r>
        <w:t xml:space="preserve">The rule of</w:t>
      </w:r>
      <w:r>
        <w:t xml:space="preserve"> </w:t>
      </w:r>
      <w:r>
        <w:rPr>
          <w:i/>
          <w:iCs/>
        </w:rPr>
        <w:t xml:space="preserve">Edwards</w:t>
      </w:r>
      <w:r>
        <w:t xml:space="preserve"> </w:t>
      </w:r>
      <w:r>
        <w:t xml:space="preserve">is clear: New procedural rules will never apply retroactively on federal collateral review.</w:t>
      </w:r>
      <w:r>
        <w:t xml:space="preserve"> </w:t>
      </w:r>
      <w:r>
        <w:rPr>
          <w:i/>
          <w:iCs/>
        </w:rPr>
        <w:t xml:space="preserve">Teague</w:t>
      </w:r>
      <w:r>
        <w:t xml:space="preserve">’s “purported exception” for watershed procedural rules was no exception at all.</w:t>
      </w:r>
      <w:r>
        <w:t xml:space="preserve"> </w:t>
      </w:r>
      <w:r>
        <w:rPr>
          <w:i/>
          <w:iCs/>
        </w:rPr>
        <w:t xml:space="preserve">Id.</w:t>
      </w:r>
      <w:r>
        <w:t xml:space="preserve"> </w:t>
      </w:r>
      <w:r>
        <w:t xml:space="preserve">It was never anything more than an “empty promise.”</w:t>
      </w:r>
      <w:r>
        <w:t xml:space="preserve"> </w:t>
      </w:r>
      <w:r>
        <w:rPr>
          <w:i/>
          <w:iCs/>
        </w:rPr>
        <w:t xml:space="preserve">Id.</w:t>
      </w:r>
      <w:r>
        <w:t xml:space="preserve"> </w:t>
      </w:r>
      <w:r>
        <w:t xml:space="preserve">New procedural rules have never applied retroactively on federal collateral review under the</w:t>
      </w:r>
      <w:r>
        <w:t xml:space="preserve"> </w:t>
      </w:r>
      <w:r>
        <w:rPr>
          <w:i/>
          <w:iCs/>
        </w:rPr>
        <w:t xml:space="preserve">Teague</w:t>
      </w:r>
      <w:r>
        <w:t xml:space="preserve"> </w:t>
      </w:r>
      <w:r>
        <w:t xml:space="preserve">framework. And, in light of</w:t>
      </w:r>
      <w:r>
        <w:t xml:space="preserve"> </w:t>
      </w:r>
      <w:r>
        <w:rPr>
          <w:i/>
          <w:iCs/>
        </w:rPr>
        <w:t xml:space="preserve">Edwards</w:t>
      </w:r>
      <w:r>
        <w:t xml:space="preserve">, they never will.</w:t>
      </w:r>
    </w:p>
    <w:p>
      <w:pPr>
        <w:keepNext/>
        <w:keepLines/>
        <w:spacing w:before="336" w:after="216" w:line="276" w:lineRule="exact"/>
        <w:ind w:left="0" w:firstLine="0"/>
        <w:jc w:val="left"/>
      </w:pPr>
      <w:r>
        <w:rPr>
          <w:b/>
          <w:bCs/>
          <w:i/>
          <w:iCs/>
        </w:rPr>
        <w:t xml:space="preserve">B.</w:t>
      </w:r>
      <w:r>
        <w:rPr>
          <w:b/>
          <w:bCs/>
          <w:i/>
          <w:iCs/>
        </w:rPr>
        <w:t xml:space="preserve"> </w:t>
      </w:r>
      <w:r>
        <w:rPr>
          <w:b/>
          <w:bCs/>
          <w:i/>
          <w:iCs/>
        </w:rPr>
        <w:t xml:space="preserve">Since</w:t>
      </w:r>
      <w:r>
        <w:rPr>
          <w:b/>
          <w:bCs/>
          <w:i/>
          <w:iCs/>
        </w:rPr>
        <w:t xml:space="preserve"> </w:t>
      </w:r>
      <w:r>
        <w:rPr>
          <w:b/>
          <w:bCs/>
          <w:i/>
          <w:iCs/>
        </w:rPr>
        <w:t xml:space="preserve">Adopting</w:t>
      </w:r>
      <w:r>
        <w:rPr>
          <w:b/>
          <w:bCs/>
          <w:i/>
          <w:iCs/>
        </w:rPr>
        <w:t xml:space="preserve"> </w:t>
      </w:r>
      <w:r>
        <w:rPr>
          <w:b/>
          <w:bCs/>
          <w:i/>
          <w:iCs/>
        </w:rPr>
        <w:t xml:space="preserve">Teague,</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Has</w:t>
      </w:r>
      <w:r>
        <w:rPr>
          <w:b/>
          <w:bCs/>
          <w:i/>
          <w:iCs/>
        </w:rPr>
        <w:t xml:space="preserve"> </w:t>
      </w:r>
      <w:r>
        <w:rPr>
          <w:b/>
          <w:bCs/>
          <w:i/>
          <w:iCs/>
        </w:rPr>
        <w:t xml:space="preserve">Never</w:t>
      </w:r>
      <w:r>
        <w:rPr>
          <w:b/>
          <w:bCs/>
          <w:i/>
          <w:iCs/>
        </w:rPr>
        <w:t xml:space="preserve"> </w:t>
      </w:r>
      <w:r>
        <w:rPr>
          <w:b/>
          <w:bCs/>
          <w:i/>
          <w:iCs/>
        </w:rPr>
        <w:t xml:space="preserve">Applied</w:t>
      </w:r>
      <w:r>
        <w:rPr>
          <w:b/>
          <w:bCs/>
          <w:i/>
          <w:iCs/>
        </w:rPr>
        <w:t xml:space="preserve"> </w:t>
      </w:r>
      <w:r>
        <w:rPr>
          <w:b/>
          <w:bCs/>
          <w:i/>
          <w:iCs/>
        </w:rPr>
        <w:t xml:space="preserve">a</w:t>
      </w:r>
      <w:r>
        <w:rPr>
          <w:b/>
          <w:bCs/>
          <w:i/>
          <w:iCs/>
        </w:rPr>
        <w:t xml:space="preserve"> </w:t>
      </w:r>
      <w:r>
        <w:rPr>
          <w:b/>
          <w:bCs/>
          <w:i/>
          <w:iCs/>
        </w:rPr>
        <w:t xml:space="preserve">New</w:t>
      </w:r>
      <w:r>
        <w:rPr>
          <w:b/>
          <w:bCs/>
          <w:i/>
          <w:iCs/>
        </w:rPr>
        <w:t xml:space="preserve"> </w:t>
      </w:r>
      <w:r>
        <w:rPr>
          <w:b/>
          <w:bCs/>
          <w:i/>
          <w:iCs/>
        </w:rPr>
        <w:t xml:space="preserve">Procedural</w:t>
      </w:r>
      <w:r>
        <w:rPr>
          <w:b/>
          <w:bCs/>
          <w:i/>
          <w:iCs/>
        </w:rPr>
        <w:t xml:space="preserve"> </w:t>
      </w:r>
      <w:r>
        <w:rPr>
          <w:b/>
          <w:bCs/>
          <w:i/>
          <w:iCs/>
        </w:rPr>
        <w:t xml:space="preserve">Rule</w:t>
      </w:r>
      <w:r>
        <w:rPr>
          <w:b/>
          <w:bCs/>
          <w:i/>
          <w:iCs/>
        </w:rPr>
        <w:t xml:space="preserve"> </w:t>
      </w:r>
      <w:r>
        <w:rPr>
          <w:b/>
          <w:bCs/>
          <w:i/>
          <w:iCs/>
        </w:rPr>
        <w:t xml:space="preserve">Retroactively</w:t>
      </w:r>
    </w:p>
    <w:p>
      <w:pPr>
        <w:pStyle w:val="BodyText"/>
      </w:pPr>
      <w:r>
        <w:t xml:space="preserve">Nearly 30 years ago, this Court adopted</w:t>
      </w:r>
      <w:r>
        <w:t xml:space="preserve"> </w:t>
      </w:r>
      <w:r>
        <w:rPr>
          <w:i/>
          <w:iCs/>
        </w:rPr>
        <w:t xml:space="preserve">Teague</w:t>
      </w:r>
      <w:r>
        <w:t xml:space="preserve">’s retroactivity framework for criminal defendants seeking post-conviction relief in state court.</w:t>
      </w:r>
      <w:r>
        <w:t xml:space="preserve"> </w:t>
      </w:r>
      <w:r>
        <w:rPr>
          <w:i/>
          <w:iCs/>
        </w:rPr>
        <w:t xml:space="preserve">Whitley</w:t>
      </w:r>
      <w:r>
        <w:t xml:space="preserve">, 606 So. 2d at 1296. The Louisiana Constitution “does not prohibit nor require courts to give retroactive application to criminal law decisions.”</w:t>
      </w:r>
      <w:r>
        <w:t xml:space="preserve"> </w:t>
      </w:r>
      <w:r>
        <w:rPr>
          <w:i/>
          <w:iCs/>
        </w:rPr>
        <w:t xml:space="preserve">Id.</w:t>
      </w:r>
      <w:r>
        <w:t xml:space="preserve"> </w:t>
      </w:r>
      <w:r>
        <w:t xml:space="preserve">And the Court “was not bound to adopt” the</w:t>
      </w:r>
      <w:r>
        <w:t xml:space="preserve"> </w:t>
      </w:r>
      <w:r>
        <w:rPr>
          <w:i/>
          <w:iCs/>
        </w:rPr>
        <w:t xml:space="preserve">Teague</w:t>
      </w:r>
      <w:r>
        <w:t xml:space="preserve"> </w:t>
      </w:r>
      <w:r>
        <w:t xml:space="preserve">retroactivity bar.</w:t>
      </w:r>
      <w:r>
        <w:t xml:space="preserve"> </w:t>
      </w:r>
      <w:r>
        <w:rPr>
          <w:i/>
          <w:iCs/>
        </w:rPr>
        <w:t xml:space="preserve">Id.</w:t>
      </w:r>
      <w:r>
        <w:t xml:space="preserve"> </w:t>
      </w:r>
      <w:r>
        <w:t xml:space="preserve">But the Court concluded it was necessary “[g]iven our overcrowded state judicial system.”</w:t>
      </w:r>
      <w:r>
        <w:t xml:space="preserve"> </w:t>
      </w:r>
      <w:r>
        <w:rPr>
          <w:i/>
          <w:iCs/>
        </w:rPr>
        <w:t xml:space="preserve">Id.</w:t>
      </w:r>
      <w:r>
        <w:t xml:space="preserve"> </w:t>
      </w:r>
      <w:r>
        <w:t xml:space="preserve">at 1297. Moreover, the Court agreed with Justice Harlan’s words “on the need for finality.”</w:t>
      </w:r>
      <w:r>
        <w:t xml:space="preserve"> </w:t>
      </w:r>
      <w:r>
        <w:rPr>
          <w:i/>
          <w:iCs/>
        </w:rPr>
        <w:t xml:space="preserve">Id.</w:t>
      </w:r>
      <w:r>
        <w:t xml:space="preserve"> </w:t>
      </w:r>
      <w:r>
        <w:t xml:space="preserve">(quoting</w:t>
      </w:r>
      <w:r>
        <w:t xml:space="preserve"> </w:t>
      </w:r>
      <w:r>
        <w:rPr>
          <w:i/>
          <w:iCs/>
        </w:rPr>
        <w:t xml:space="preserve">Mackey</w:t>
      </w:r>
      <w:r>
        <w:rPr>
          <w:i/>
          <w:iCs/>
        </w:rPr>
        <w:t xml:space="preserve"> </w:t>
      </w:r>
      <w:r>
        <w:rPr>
          <w:i/>
          <w:iCs/>
        </w:rPr>
        <w:t xml:space="preserve">v. United States</w:t>
      </w:r>
      <w:r>
        <w:t xml:space="preserve">, 401 U.S. 667, 691 (Harlan, J., concurring)). According to Justice Harlan, relitigating “facts buried in the remote past through presentation of witnesses whose memories of the relevant events often have dimmed ⁠. ⁠. ⁠. may well, ironically, produce a second trial no more reliable as a matter of getting at the truth than the first.”</w:t>
      </w:r>
      <w:r>
        <w:t xml:space="preserve"> </w:t>
      </w:r>
      <w:r>
        <w:rPr>
          <w:i/>
          <w:iCs/>
        </w:rPr>
        <w:t xml:space="preserve">Id.</w:t>
      </w:r>
    </w:p>
    <w:p>
      <w:pPr>
        <w:pStyle w:val="BodyText"/>
      </w:pPr>
      <w:r>
        <w:t xml:space="preserve">This Court wields broad power to fashion remedies for petitioners on state post-conviction review. Indeed, the Court is free to apply a new rule retroactively on state post-conviction review even when the United States Supreme Court has expressly declined to make the rule retroactive on federal collateral review.</w:t>
      </w:r>
      <w:r>
        <w:t xml:space="preserve"> </w:t>
      </w:r>
      <w:r>
        <w:rPr>
          <w:i/>
          <w:iCs/>
        </w:rPr>
        <w:t xml:space="preserve">Danforth</w:t>
      </w:r>
      <w:r>
        <w:t xml:space="preserve">, 552 U.S. at 266 (holding</w:t>
      </w:r>
      <w:r>
        <w:t xml:space="preserve"> </w:t>
      </w:r>
      <w:r>
        <w:rPr>
          <w:i/>
          <w:iCs/>
        </w:rPr>
        <w:t xml:space="preserve">Teague</w:t>
      </w:r>
      <w:r>
        <w:t xml:space="preserve"> </w:t>
      </w:r>
      <w:r>
        <w:t xml:space="preserve">does not constrain “the authority of state courts to give broader effect to new rules of criminal procedure” than the Supreme Court’s holdings);</w:t>
      </w:r>
      <w:r>
        <w:t xml:space="preserve"> </w:t>
      </w:r>
      <w:r>
        <w:rPr>
          <w:i/>
          <w:iCs/>
        </w:rPr>
        <w:t xml:space="preserve">accord</w:t>
      </w:r>
      <w:r>
        <w:t xml:space="preserve"> </w:t>
      </w:r>
      <w:r>
        <w:rPr>
          <w:i/>
          <w:iCs/>
        </w:rPr>
        <w:t xml:space="preserve">Montgomery</w:t>
      </w:r>
      <w:r>
        <w:t xml:space="preserve">, 577 U.S. at 199 (“Since</w:t>
      </w:r>
      <w:r>
        <w:t xml:space="preserve"> </w:t>
      </w:r>
      <w:r>
        <w:rPr>
          <w:i/>
          <w:iCs/>
        </w:rPr>
        <w:t xml:space="preserve">Teague</w:t>
      </w:r>
      <w:r>
        <w:t xml:space="preserve">’s retroactivity bar limits only the scope of federal habeas relief,” ⁠. ⁠. ⁠. States are free to make new procedural rules retroactive on state collateral review.” (cleaned up));</w:t>
      </w:r>
      <w:r>
        <w:t xml:space="preserve"> </w:t>
      </w:r>
      <w:r>
        <w:rPr>
          <w:i/>
          <w:iCs/>
        </w:rPr>
        <w:t xml:space="preserve">Edwards</w:t>
      </w:r>
      <w:r>
        <w:t xml:space="preserve">, 141 S. Ct. at 1559 n.6. (“States remain free, if they choose, to retroactively apply the jury-unanimity rule as a matter of state law in state post-conviction proceedings.”).</w:t>
      </w:r>
    </w:p>
    <w:p>
      <w:pPr>
        <w:pStyle w:val="BodyText"/>
      </w:pPr>
      <w:r>
        <w:t xml:space="preserve">Despite wielding unfettered authority to fashion remedies on post-collateral review, since adopting the</w:t>
      </w:r>
      <w:r>
        <w:t xml:space="preserve"> </w:t>
      </w:r>
      <w:r>
        <w:rPr>
          <w:i/>
          <w:iCs/>
        </w:rPr>
        <w:t xml:space="preserve">Teague</w:t>
      </w:r>
      <w:r>
        <w:t xml:space="preserve"> </w:t>
      </w:r>
      <w:r>
        <w:t xml:space="preserve">retroactivity framework, this Court has never applied any procedural rule retroactively. Like the United States Supreme Court, this Court has turned down every opportunity to declare a new procedural rule retroactive:</w:t>
      </w:r>
    </w:p>
    <w:p>
      <w:pPr>
        <w:pStyle w:val="XdList1"/>
      </w:pPr>
      <w:r>
        <w:t xml:space="preserve">•</w:t>
      </w:r>
      <w:r>
        <w:tab/>
      </w:r>
      <w:r>
        <w:rPr>
          <w:i/>
          <w:iCs/>
        </w:rPr>
        <w:t xml:space="preserve">Whitley</w:t>
      </w:r>
      <w:r>
        <w:t xml:space="preserve">, 606 So. 2d at 1296 (rejecting retroactivity of</w:t>
      </w:r>
      <w:r>
        <w:t xml:space="preserve"> </w:t>
      </w:r>
      <w:r>
        <w:rPr>
          <w:i/>
          <w:iCs/>
        </w:rPr>
        <w:t xml:space="preserve">Cage</w:t>
      </w:r>
      <w:r>
        <w:rPr>
          <w:i/>
          <w:iCs/>
        </w:rPr>
        <w:t xml:space="preserve"> </w:t>
      </w:r>
      <w:r>
        <w:rPr>
          <w:i/>
          <w:iCs/>
        </w:rPr>
        <w:t xml:space="preserve">v. Louisiana</w:t>
      </w:r>
      <w:r>
        <w:t xml:space="preserve">, 498 U.S. 39 (1990), which held that jury instruction is unconstitutional if there is a reasonable likelihood the jury understood it to allow conviction without proof beyond reasonable doubt);</w:t>
      </w:r>
    </w:p>
    <w:p>
      <w:pPr>
        <w:pStyle w:val="XdList1"/>
      </w:pPr>
      <w:r>
        <w:t xml:space="preserve">•</w:t>
      </w:r>
      <w:r>
        <w:tab/>
      </w:r>
      <w:r>
        <w:rPr>
          <w:i/>
          <w:iCs/>
        </w:rPr>
        <w:t xml:space="preserve">State</w:t>
      </w:r>
      <w:r>
        <w:rPr>
          <w:i/>
          <w:iCs/>
        </w:rPr>
        <w:t xml:space="preserve"> </w:t>
      </w:r>
      <w:r>
        <w:rPr>
          <w:i/>
          <w:iCs/>
        </w:rPr>
        <w:t xml:space="preserve">v. Tate</w:t>
      </w:r>
      <w:r>
        <w:t xml:space="preserve">, 2012</w:t>
      </w:r>
      <w:r>
        <w:noBreakHyphen/>
      </w:r>
      <w:r>
        <w:t xml:space="preserve">2763 (La. 11/5/13), 130 So. 3d 829, 841 (concluding that the Supreme Court’s ruling in</w:t>
      </w:r>
      <w:r>
        <w:t xml:space="preserve"> </w:t>
      </w:r>
      <w:r>
        <w:rPr>
          <w:i/>
          <w:iCs/>
        </w:rPr>
        <w:t xml:space="preserve">Miller</w:t>
      </w:r>
      <w:r>
        <w:rPr>
          <w:i/>
          <w:iCs/>
        </w:rPr>
        <w:t xml:space="preserve"> </w:t>
      </w:r>
      <w:r>
        <w:rPr>
          <w:i/>
          <w:iCs/>
        </w:rPr>
        <w:t xml:space="preserve">v. Alabama</w:t>
      </w:r>
      <w:r>
        <w:t xml:space="preserve">, 567 U.S. 460 (2012), was procedural and not retroactive);</w:t>
      </w:r>
      <w:r>
        <w:rPr>
          <w:rStyle w:val="FootnoteReference"/>
        </w:rPr>
        <w:footnoteReference w:id="11"/>
      </w:r>
    </w:p>
    <w:p>
      <w:pPr>
        <w:pStyle w:val="XdList1"/>
      </w:pPr>
      <w:r>
        <w:t xml:space="preserve">•</w:t>
      </w:r>
      <w:r>
        <w:tab/>
      </w:r>
      <w:r>
        <w:rPr>
          <w:i/>
          <w:iCs/>
        </w:rPr>
        <w:t xml:space="preserve">Stewart</w:t>
      </w:r>
      <w:r>
        <w:rPr>
          <w:i/>
          <w:iCs/>
        </w:rPr>
        <w:t xml:space="preserve"> </w:t>
      </w:r>
      <w:r>
        <w:rPr>
          <w:i/>
          <w:iCs/>
        </w:rPr>
        <w:t xml:space="preserve">v. State</w:t>
      </w:r>
      <w:r>
        <w:t xml:space="preserve">, 95</w:t>
      </w:r>
      <w:r>
        <w:noBreakHyphen/>
      </w:r>
      <w:r>
        <w:t xml:space="preserve">2385 (La. 7/2/96), 676 So. 2d 87, 87 (rejecting retroactivity of</w:t>
      </w:r>
      <w:r>
        <w:t xml:space="preserve"> </w:t>
      </w:r>
      <w:r>
        <w:rPr>
          <w:i/>
          <w:iCs/>
        </w:rPr>
        <w:t xml:space="preserve">State</w:t>
      </w:r>
      <w:r>
        <w:rPr>
          <w:i/>
          <w:iCs/>
        </w:rPr>
        <w:t xml:space="preserve"> </w:t>
      </w:r>
      <w:r>
        <w:rPr>
          <w:i/>
          <w:iCs/>
        </w:rPr>
        <w:t xml:space="preserve">v. Hattaway</w:t>
      </w:r>
      <w:r>
        <w:t xml:space="preserve">, 621 So. 2d 796 (La. 1993), in which this Court determined that the right to counsel guaranteed by Louisiana</w:t>
      </w:r>
      <w:r>
        <w:t xml:space="preserve"> </w:t>
      </w:r>
      <w:r>
        <w:t xml:space="preserve">Constitution Article I, § 13 attaches no later than the first court appearance or judicial hearing, rather than at the time of indictment as previously understood);</w:t>
      </w:r>
    </w:p>
    <w:p>
      <w:pPr>
        <w:pStyle w:val="XdList1"/>
      </w:pPr>
      <w:r>
        <w:t xml:space="preserve">•</w:t>
      </w:r>
      <w:r>
        <w:tab/>
      </w:r>
      <w:r>
        <w:rPr>
          <w:i/>
          <w:iCs/>
        </w:rPr>
        <w:t xml:space="preserve">State</w:t>
      </w:r>
      <w:r>
        <w:rPr>
          <w:i/>
          <w:iCs/>
        </w:rPr>
        <w:t xml:space="preserve"> </w:t>
      </w:r>
      <w:r>
        <w:rPr>
          <w:i/>
          <w:iCs/>
        </w:rPr>
        <w:t xml:space="preserve">v. Ferreira</w:t>
      </w:r>
      <w:r>
        <w:t xml:space="preserve">, 2019</w:t>
      </w:r>
      <w:r>
        <w:noBreakHyphen/>
      </w:r>
      <w:r>
        <w:t xml:space="preserve">01929 (La. 10/14/20), 302 So. 3d 1096, 1097, (rejecting retroactivity of</w:t>
      </w:r>
      <w:r>
        <w:t xml:space="preserve"> </w:t>
      </w:r>
      <w:r>
        <w:rPr>
          <w:i/>
          <w:iCs/>
        </w:rPr>
        <w:t xml:space="preserve">Lee</w:t>
      </w:r>
      <w:r>
        <w:rPr>
          <w:i/>
          <w:iCs/>
        </w:rPr>
        <w:t xml:space="preserve"> </w:t>
      </w:r>
      <w:r>
        <w:rPr>
          <w:i/>
          <w:iCs/>
        </w:rPr>
        <w:t xml:space="preserve">v. United States</w:t>
      </w:r>
      <w:r>
        <w:t xml:space="preserve">, 137 S. Ct. 1958 (2017), which held that it is ineffective assistance of counsel to fail to inform a defendant of the immigration consequences of pleading guilty).</w:t>
      </w:r>
    </w:p>
    <w:p>
      <w:pPr>
        <w:pStyle w:val="BodyText"/>
      </w:pPr>
      <w:r>
        <w:t xml:space="preserve">In sum, for 30 years, despite considering the issue on several occasions, this Court has never once identified any new procedural rule capable of satisfying</w:t>
      </w:r>
      <w:r>
        <w:t xml:space="preserve"> </w:t>
      </w:r>
      <w:r>
        <w:rPr>
          <w:i/>
          <w:iCs/>
        </w:rPr>
        <w:t xml:space="preserve">Teague</w:t>
      </w:r>
      <w:r>
        <w:t xml:space="preserve">’s watershed exception.</w:t>
      </w:r>
    </w:p>
    <w:p>
      <w:pPr>
        <w:keepNext/>
        <w:keepLines/>
        <w:spacing w:before="336" w:after="216" w:line="276" w:lineRule="exact"/>
        <w:ind w:left="0" w:firstLine="0"/>
        <w:jc w:val="left"/>
      </w:pPr>
      <w:r>
        <w:rPr>
          <w:b/>
          <w:bCs/>
          <w:i/>
          <w:iCs/>
        </w:rPr>
        <w:t xml:space="preserve">C.</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Hold</w:t>
      </w:r>
      <w:r>
        <w:rPr>
          <w:b/>
          <w:bCs/>
          <w:i/>
          <w:iCs/>
        </w:rPr>
        <w:t xml:space="preserve"> </w:t>
      </w:r>
      <w:r>
        <w:rPr>
          <w:b/>
          <w:bCs/>
          <w:i/>
          <w:iCs/>
        </w:rPr>
        <w:t xml:space="preserve">the</w:t>
      </w:r>
      <w:r>
        <w:rPr>
          <w:b/>
          <w:bCs/>
          <w:i/>
          <w:iCs/>
        </w:rPr>
        <w:t xml:space="preserve"> </w:t>
      </w:r>
      <w:r>
        <w:rPr>
          <w:b/>
          <w:bCs/>
          <w:i/>
          <w:iCs/>
        </w:rPr>
        <w:t xml:space="preserve">Watershed</w:t>
      </w:r>
      <w:r>
        <w:rPr>
          <w:b/>
          <w:bCs/>
          <w:i/>
          <w:iCs/>
        </w:rPr>
        <w:t xml:space="preserve"> </w:t>
      </w:r>
      <w:r>
        <w:rPr>
          <w:b/>
          <w:bCs/>
          <w:i/>
          <w:iCs/>
        </w:rPr>
        <w:t xml:space="preserve">Exception</w:t>
      </w:r>
      <w:r>
        <w:rPr>
          <w:b/>
          <w:bCs/>
          <w:i/>
          <w:iCs/>
        </w:rPr>
        <w:t xml:space="preserve"> </w:t>
      </w:r>
      <w:r>
        <w:rPr>
          <w:b/>
          <w:bCs/>
          <w:i/>
          <w:iCs/>
        </w:rPr>
        <w:t xml:space="preserve">Is</w:t>
      </w:r>
      <w:r>
        <w:rPr>
          <w:b/>
          <w:bCs/>
          <w:i/>
          <w:iCs/>
        </w:rPr>
        <w:t xml:space="preserve"> </w:t>
      </w:r>
      <w:r>
        <w:rPr>
          <w:b/>
          <w:bCs/>
          <w:i/>
          <w:iCs/>
        </w:rPr>
        <w:t xml:space="preserve">“Moribund”</w:t>
      </w:r>
      <w:r>
        <w:rPr>
          <w:b/>
          <w:bCs/>
          <w:i/>
          <w:iCs/>
        </w:rPr>
        <w:t xml:space="preserve"> </w:t>
      </w:r>
      <w:r>
        <w:rPr>
          <w:b/>
          <w:bCs/>
          <w:i/>
          <w:iCs/>
        </w:rPr>
        <w:t xml:space="preserve">for</w:t>
      </w:r>
      <w:r>
        <w:rPr>
          <w:b/>
          <w:bCs/>
          <w:i/>
          <w:iCs/>
        </w:rPr>
        <w:t xml:space="preserve"> </w:t>
      </w:r>
      <w:r>
        <w:rPr>
          <w:b/>
          <w:bCs/>
          <w:i/>
          <w:iCs/>
        </w:rPr>
        <w:t xml:space="preserve">State</w:t>
      </w:r>
      <w:r>
        <w:rPr>
          <w:b/>
          <w:bCs/>
          <w:i/>
          <w:iCs/>
        </w:rPr>
        <w:t xml:space="preserve"> </w:t>
      </w:r>
      <w:r>
        <w:rPr>
          <w:b/>
          <w:bCs/>
          <w:i/>
          <w:iCs/>
        </w:rPr>
        <w:t xml:space="preserve">Collateral</w:t>
      </w:r>
      <w:r>
        <w:rPr>
          <w:b/>
          <w:bCs/>
          <w:i/>
          <w:iCs/>
        </w:rPr>
        <w:t xml:space="preserve"> </w:t>
      </w:r>
      <w:r>
        <w:rPr>
          <w:b/>
          <w:bCs/>
          <w:i/>
          <w:iCs/>
        </w:rPr>
        <w:t xml:space="preserve">Review</w:t>
      </w:r>
    </w:p>
    <w:p>
      <w:pPr>
        <w:pStyle w:val="BodyText"/>
      </w:pPr>
      <w:r>
        <w:t xml:space="preserve">The State respectfully urges the Court to follow the United States Supreme Court’s example in</w:t>
      </w:r>
      <w:r>
        <w:t xml:space="preserve"> </w:t>
      </w:r>
      <w:r>
        <w:rPr>
          <w:i/>
          <w:iCs/>
        </w:rPr>
        <w:t xml:space="preserve">Edwards</w:t>
      </w:r>
      <w:r>
        <w:t xml:space="preserve"> </w:t>
      </w:r>
      <w:r>
        <w:t xml:space="preserve">and—for the purposes of state collateral review—declare the watershed exception moribund. All of the negative consequences of maintaining the exception identified by</w:t>
      </w:r>
      <w:r>
        <w:t xml:space="preserve"> </w:t>
      </w:r>
      <w:r>
        <w:rPr>
          <w:i/>
          <w:iCs/>
        </w:rPr>
        <w:t xml:space="preserve">Edwards</w:t>
      </w:r>
      <w:r>
        <w:t xml:space="preserve"> </w:t>
      </w:r>
      <w:r>
        <w:t xml:space="preserve">also apply here. Retaining the watershed exception for the purposes of state collateral review “offers false hope to defendants, distorts the law, misleads judges, and wastes the resources of defense counsel, prosecutors, and courts.” 141</w:t>
      </w:r>
      <w:r>
        <w:t xml:space="preserve"> </w:t>
      </w:r>
      <w:r>
        <w:t xml:space="preserve">S. Ct. at 1560.</w:t>
      </w:r>
    </w:p>
    <w:p>
      <w:pPr>
        <w:pStyle w:val="BodyText"/>
      </w:pPr>
      <w:r>
        <w:t xml:space="preserve">The practical effect of adopting</w:t>
      </w:r>
      <w:r>
        <w:t xml:space="preserve"> </w:t>
      </w:r>
      <w:r>
        <w:rPr>
          <w:i/>
          <w:iCs/>
        </w:rPr>
        <w:t xml:space="preserve">Edwards</w:t>
      </w:r>
      <w:r>
        <w:t xml:space="preserve">’ view of</w:t>
      </w:r>
      <w:r>
        <w:t xml:space="preserve"> </w:t>
      </w:r>
      <w:r>
        <w:rPr>
          <w:i/>
          <w:iCs/>
        </w:rPr>
        <w:t xml:space="preserve">Teague</w:t>
      </w:r>
      <w:r>
        <w:t xml:space="preserve"> </w:t>
      </w:r>
      <w:r>
        <w:t xml:space="preserve">would be to draw a bright line between substantive and procedural rules on state collateral review. New substantive rules would always apply retroactively; new procedural rules would never apply retroactively. The profound difference between substantive and procedural rules militates in favor of drawing this sharp distinction. The reason substantive rules are always retroactive is “they necessarily carry a significant risk that a defendant stands convicted of an act that the law does not make criminal or faces a punishment that the law cannot impose upon him.”</w:t>
      </w:r>
      <w:r>
        <w:t xml:space="preserve"> </w:t>
      </w:r>
      <w:r>
        <w:rPr>
          <w:i/>
          <w:iCs/>
        </w:rPr>
        <w:t xml:space="preserve">Summerlin</w:t>
      </w:r>
      <w:r>
        <w:t xml:space="preserve">, 542 U.S. at 351–52. By contrast, procedural rules “do not produce a class of persons convicted of conduct the law does not make criminal, but merely raise the possibility that someone convicted with use of the invalidated procedure might have been acquitted otherwise.”</w:t>
      </w:r>
      <w:r>
        <w:t xml:space="preserve"> </w:t>
      </w:r>
      <w:r>
        <w:rPr>
          <w:i/>
          <w:iCs/>
        </w:rPr>
        <w:t xml:space="preserve">Id.</w:t>
      </w:r>
      <w:r>
        <w:t xml:space="preserve"> </w:t>
      </w:r>
      <w:r>
        <w:t xml:space="preserve">at 352 (emphasis added). “Even where procedural error has infected a trial, the resulting conviction or sentence may still be accurate; and, by extension, the defendant’s continued confinement may still be lawful.”</w:t>
      </w:r>
      <w:r>
        <w:t xml:space="preserve"> </w:t>
      </w:r>
      <w:r>
        <w:rPr>
          <w:i/>
          <w:iCs/>
        </w:rPr>
        <w:t xml:space="preserve">Montgomery</w:t>
      </w:r>
      <w:r>
        <w:t xml:space="preserve">, 136 S. Ct. at 730.</w:t>
      </w:r>
    </w:p>
    <w:p>
      <w:pPr>
        <w:pStyle w:val="BodyText"/>
      </w:pPr>
      <w:r>
        <w:t xml:space="preserve">In any event, declaring</w:t>
      </w:r>
      <w:r>
        <w:t xml:space="preserve"> </w:t>
      </w:r>
      <w:r>
        <w:rPr>
          <w:i/>
          <w:iCs/>
        </w:rPr>
        <w:t xml:space="preserve">Teague</w:t>
      </w:r>
      <w:r>
        <w:t xml:space="preserve">’s second exception moribund would simply acknowledge what has been “increasingly apparent to bench and bar.”</w:t>
      </w:r>
      <w:r>
        <w:t xml:space="preserve"> </w:t>
      </w:r>
      <w:r>
        <w:rPr>
          <w:i/>
          <w:iCs/>
        </w:rPr>
        <w:t xml:space="preserve">Edwards</w:t>
      </w:r>
      <w:r>
        <w:t xml:space="preserve">, 141 S. Ct. at 1560. The Supreme Court has identified only one procedural rule that “might fall within this exception”—the rule of</w:t>
      </w:r>
      <w:r>
        <w:t xml:space="preserve"> </w:t>
      </w:r>
      <w:r>
        <w:rPr>
          <w:i/>
          <w:iCs/>
        </w:rPr>
        <w:t xml:space="preserve">Gideon</w:t>
      </w:r>
      <w:r>
        <w:rPr>
          <w:i/>
          <w:iCs/>
        </w:rPr>
        <w:t xml:space="preserve"> </w:t>
      </w:r>
      <w:r>
        <w:rPr>
          <w:i/>
          <w:iCs/>
        </w:rPr>
        <w:t xml:space="preserve">v. Wainwright</w:t>
      </w:r>
      <w:r>
        <w:t xml:space="preserve">, 372 U.S. 335 (1963).</w:t>
      </w:r>
      <w:r>
        <w:t xml:space="preserve"> </w:t>
      </w:r>
      <w:r>
        <w:rPr>
          <w:i/>
          <w:iCs/>
        </w:rPr>
        <w:t xml:space="preserve">Beard</w:t>
      </w:r>
      <w:r>
        <w:t xml:space="preserve">, 542 U.S. at 417. That “sweeping rule ⁠. ⁠. ⁠. established an affirmative right to counsel in all felony cases.”</w:t>
      </w:r>
      <w:r>
        <w:t xml:space="preserve"> </w:t>
      </w:r>
      <w:r>
        <w:rPr>
          <w:i/>
          <w:iCs/>
        </w:rPr>
        <w:t xml:space="preserve">O’Dell</w:t>
      </w:r>
      <w:r>
        <w:t xml:space="preserve">, 521 U.S. at 167. The Supreme Court “has flatly stated that it is unlikely that [any rules like</w:t>
      </w:r>
      <w:r>
        <w:t xml:space="preserve"> </w:t>
      </w:r>
      <w:r>
        <w:rPr>
          <w:i/>
          <w:iCs/>
        </w:rPr>
        <w:t xml:space="preserve">Gideon</w:t>
      </w:r>
      <w:r>
        <w:t xml:space="preserve">] have yet to emerge.”</w:t>
      </w:r>
      <w:r>
        <w:t xml:space="preserve"> </w:t>
      </w:r>
      <w:r>
        <w:rPr>
          <w:i/>
          <w:iCs/>
        </w:rPr>
        <w:t xml:space="preserve">Ramos</w:t>
      </w:r>
      <w:r>
        <w:t xml:space="preserve">, 140 S. Ct. at 1419 (Kavanaugh, J., concurring) (internal quotations omitted). Thus, concluding the watershed exception retains “no vitality” is unlikely to negatively impact state prisoners because no watershed rules are likely to emerge.</w:t>
      </w:r>
      <w:r>
        <w:t xml:space="preserve"> </w:t>
      </w:r>
      <w:r>
        <w:rPr>
          <w:i/>
          <w:iCs/>
        </w:rPr>
        <w:t xml:space="preserve">Edwards</w:t>
      </w:r>
      <w:r>
        <w:t xml:space="preserve">, 141 S. Ct. at 1560.</w:t>
      </w:r>
    </w:p>
    <w:p>
      <w:pPr>
        <w:pStyle w:val="BodyText"/>
      </w:pPr>
      <w:r>
        <w:t xml:space="preserve">The</w:t>
      </w:r>
      <w:r>
        <w:t xml:space="preserve"> </w:t>
      </w:r>
      <w:r>
        <w:rPr>
          <w:i/>
          <w:iCs/>
        </w:rPr>
        <w:t xml:space="preserve">Ramos</w:t>
      </w:r>
      <w:r>
        <w:t xml:space="preserve"> </w:t>
      </w:r>
      <w:r>
        <w:t xml:space="preserve">plurality opinion explained that “</w:t>
      </w:r>
      <w:r>
        <w:rPr>
          <w:i/>
          <w:iCs/>
        </w:rPr>
        <w:t xml:space="preserve">Teague</w:t>
      </w:r>
      <w:r>
        <w:t xml:space="preserve"> </w:t>
      </w:r>
      <w:r>
        <w:t xml:space="preserve">frees [the Court] to say what [it] know[s] to be true about the rights of the accused under our Constitution today, while leaving questions about the reliance interest States possess in their final judgments for later proceedings crafted to account for them.”</w:t>
      </w:r>
      <w:r>
        <w:t xml:space="preserve"> </w:t>
      </w:r>
      <w:r>
        <w:rPr>
          <w:i/>
          <w:iCs/>
        </w:rPr>
        <w:t xml:space="preserve">Ramos</w:t>
      </w:r>
      <w:r>
        <w:t xml:space="preserve">, 140 S. Ct. at 1407 (plurality op.). Doing away with</w:t>
      </w:r>
      <w:r>
        <w:t xml:space="preserve"> </w:t>
      </w:r>
      <w:r>
        <w:rPr>
          <w:i/>
          <w:iCs/>
        </w:rPr>
        <w:t xml:space="preserve">Teague</w:t>
      </w:r>
      <w:r>
        <w:t xml:space="preserve">’s second exception will make it even easier for the Court to say what it knows to be true about the rights of the accused under our Constitution today: The Court will be assured that any new procedural rules it identifies will not have devastating impacts on the State’s judicial system.</w:t>
      </w:r>
    </w:p>
    <w:p>
      <w:pPr>
        <w:pStyle w:val="BodyText"/>
      </w:pPr>
      <w:r>
        <w:t xml:space="preserve">At bottom, in Louisiana, the watershed exception has amounted to an “empty promise.”</w:t>
      </w:r>
      <w:r>
        <w:t xml:space="preserve"> </w:t>
      </w:r>
      <w:r>
        <w:rPr>
          <w:i/>
          <w:iCs/>
        </w:rPr>
        <w:t xml:space="preserve">Edwards</w:t>
      </w:r>
      <w:r>
        <w:t xml:space="preserve">, 141 S. Ct. at 1560. Declaring it moribund will provide the State, this Court, and even defendants with the benefits of finality—as explained by Justice Harlan in</w:t>
      </w:r>
      <w:r>
        <w:t xml:space="preserve"> </w:t>
      </w:r>
      <w:r>
        <w:rPr>
          <w:i/>
          <w:iCs/>
        </w:rPr>
        <w:t xml:space="preserve">Mackey</w:t>
      </w:r>
      <w:r>
        <w:t xml:space="preserve"> </w:t>
      </w:r>
      <w:r>
        <w:t xml:space="preserve">and the Supreme Court in</w:t>
      </w:r>
      <w:r>
        <w:t xml:space="preserve"> </w:t>
      </w:r>
      <w:r>
        <w:rPr>
          <w:i/>
          <w:iCs/>
        </w:rPr>
        <w:t xml:space="preserve">Edwards</w:t>
      </w:r>
      <w:r>
        <w:t xml:space="preserve">.</w:t>
      </w:r>
      <w:r>
        <w:t xml:space="preserve"> </w:t>
      </w:r>
      <w:r>
        <w:rPr>
          <w:i/>
          <w:iCs/>
        </w:rPr>
        <w:t xml:space="preserve">See</w:t>
      </w:r>
      <w:r>
        <w:t xml:space="preserve"> </w:t>
      </w:r>
      <w:r>
        <w:rPr>
          <w:i/>
          <w:iCs/>
        </w:rPr>
        <w:t xml:space="preserve">Whitley</w:t>
      </w:r>
      <w:r>
        <w:t xml:space="preserve">, 606 So. 2d at 1297;</w:t>
      </w:r>
      <w:r>
        <w:t xml:space="preserve"> </w:t>
      </w:r>
      <w:r>
        <w:rPr>
          <w:i/>
          <w:iCs/>
        </w:rPr>
        <w:t xml:space="preserve">Edwards</w:t>
      </w:r>
      <w:r>
        <w:t xml:space="preserve">, 141 S. Ct. at 1560. If new procedural rules do not apply retroactively on state collateral review, then there will be no need to decide whether</w:t>
      </w:r>
      <w:r>
        <w:t xml:space="preserve"> </w:t>
      </w:r>
      <w:r>
        <w:rPr>
          <w:i/>
          <w:iCs/>
        </w:rPr>
        <w:t xml:space="preserve">Ramos</w:t>
      </w:r>
      <w:r>
        <w:t xml:space="preserve"> </w:t>
      </w:r>
      <w:r>
        <w:t xml:space="preserve">announced a watershed rule of criminal procedure. The Court can—and should—reverse the lower court on this ground alone.</w:t>
      </w:r>
    </w:p>
    <w:p>
      <w:pPr>
        <w:keepNext/>
        <w:keepLines/>
        <w:spacing w:before="288" w:after="192" w:line="276" w:lineRule="exact"/>
        <w:ind w:left="0" w:firstLine="0"/>
        <w:jc w:val="left"/>
      </w:pPr>
      <w:r>
        <w:rPr>
          <w:b/>
          <w:bCs/>
        </w:rPr>
        <w:t xml:space="preserve">II.</w:t>
      </w:r>
      <w:r>
        <w:rPr>
          <w:b/>
          <w:bCs/>
        </w:rPr>
        <w:t xml:space="preserve"> </w:t>
      </w:r>
      <w:r>
        <w:rPr>
          <w:b/>
          <w:bCs/>
        </w:rPr>
        <w:t xml:space="preserve">RAMOS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ANNOUNCE</w:t>
      </w:r>
      <w:r>
        <w:rPr>
          <w:b/>
          <w:bCs/>
        </w:rPr>
        <w:t xml:space="preserve"> </w:t>
      </w:r>
      <w:r>
        <w:rPr>
          <w:b/>
          <w:bCs/>
        </w:rPr>
        <w:t xml:space="preserve">A</w:t>
      </w:r>
      <w:r>
        <w:rPr>
          <w:b/>
          <w:bCs/>
        </w:rPr>
        <w:t xml:space="preserve"> </w:t>
      </w:r>
      <w:r>
        <w:rPr>
          <w:b/>
          <w:bCs/>
        </w:rPr>
        <w:t xml:space="preserve">WATERSHED</w:t>
      </w:r>
      <w:r>
        <w:rPr>
          <w:b/>
          <w:bCs/>
        </w:rPr>
        <w:t xml:space="preserve"> </w:t>
      </w:r>
      <w:r>
        <w:rPr>
          <w:b/>
          <w:bCs/>
        </w:rPr>
        <w:t xml:space="preserve">PROCEDURAL</w:t>
      </w:r>
      <w:r>
        <w:rPr>
          <w:b/>
          <w:bCs/>
        </w:rPr>
        <w:t xml:space="preserve"> </w:t>
      </w:r>
      <w:r>
        <w:rPr>
          <w:b/>
          <w:bCs/>
        </w:rPr>
        <w:t xml:space="preserve">RULE</w:t>
      </w:r>
    </w:p>
    <w:p>
      <w:pPr>
        <w:pStyle w:val="BodyText"/>
      </w:pPr>
      <w:r>
        <w:t xml:space="preserve">Even if</w:t>
      </w:r>
      <w:r>
        <w:t xml:space="preserve"> </w:t>
      </w:r>
      <w:r>
        <w:rPr>
          <w:i/>
          <w:iCs/>
        </w:rPr>
        <w:t xml:space="preserve">Teague</w:t>
      </w:r>
      <w:r>
        <w:t xml:space="preserve">’s second exception survives for the purposes of state collateral review,</w:t>
      </w:r>
      <w:r>
        <w:t xml:space="preserve"> </w:t>
      </w:r>
      <w:r>
        <w:rPr>
          <w:i/>
          <w:iCs/>
        </w:rPr>
        <w:t xml:space="preserve">Ramos</w:t>
      </w:r>
      <w:r>
        <w:t xml:space="preserve"> </w:t>
      </w:r>
      <w:r>
        <w:t xml:space="preserve">did not announce a watershed rule of criminal procedure.</w:t>
      </w:r>
      <w:r>
        <w:t xml:space="preserve"> </w:t>
      </w:r>
      <w:r>
        <w:rPr>
          <w:i/>
          <w:iCs/>
        </w:rPr>
        <w:t xml:space="preserve">Edwards</w:t>
      </w:r>
      <w:r>
        <w:t xml:space="preserve"> </w:t>
      </w:r>
      <w:r>
        <w:t xml:space="preserve">considered this issue directly and properly concluded</w:t>
      </w:r>
      <w:r>
        <w:t xml:space="preserve"> </w:t>
      </w:r>
      <w:r>
        <w:rPr>
          <w:i/>
          <w:iCs/>
        </w:rPr>
        <w:t xml:space="preserve">Ramos</w:t>
      </w:r>
      <w:r>
        <w:t xml:space="preserve"> </w:t>
      </w:r>
      <w:r>
        <w:t xml:space="preserve">could not satisfy</w:t>
      </w:r>
      <w:r>
        <w:t xml:space="preserve"> </w:t>
      </w:r>
      <w:r>
        <w:rPr>
          <w:i/>
          <w:iCs/>
        </w:rPr>
        <w:t xml:space="preserve">Teague</w:t>
      </w:r>
      <w:r>
        <w:t xml:space="preserve">’s second exception in light of the Court’s precedent rejecting the retroactivity of other significant procedural rules. 141</w:t>
      </w:r>
      <w:r>
        <w:t xml:space="preserve"> </w:t>
      </w:r>
      <w:r>
        <w:t xml:space="preserve">S. Ct. at 1556–59.</w:t>
      </w:r>
    </w:p>
    <w:p>
      <w:pPr>
        <w:pStyle w:val="BodyText"/>
      </w:pPr>
      <w:r>
        <w:t xml:space="preserve">In any event, under the traditional</w:t>
      </w:r>
      <w:r>
        <w:t xml:space="preserve"> </w:t>
      </w:r>
      <w:r>
        <w:rPr>
          <w:i/>
          <w:iCs/>
        </w:rPr>
        <w:t xml:space="preserve">Teague</w:t>
      </w:r>
      <w:r>
        <w:t xml:space="preserve"> </w:t>
      </w:r>
      <w:r>
        <w:t xml:space="preserve">analysis,</w:t>
      </w:r>
      <w:r>
        <w:t xml:space="preserve"> </w:t>
      </w:r>
      <w:r>
        <w:rPr>
          <w:i/>
          <w:iCs/>
        </w:rPr>
        <w:t xml:space="preserve">Ramos</w:t>
      </w:r>
      <w:r>
        <w:t xml:space="preserve"> </w:t>
      </w:r>
      <w:r>
        <w:t xml:space="preserve">is not watershed. Unanimity is not necessary to prevent an “impermissibly large risk of an inaccurate conviction.”</w:t>
      </w:r>
      <w:r>
        <w:t xml:space="preserve"> </w:t>
      </w:r>
      <w:r>
        <w:rPr>
          <w:i/>
          <w:iCs/>
        </w:rPr>
        <w:t xml:space="preserve">Whorton</w:t>
      </w:r>
      <w:r>
        <w:t xml:space="preserve">, 549 U.S. at 418. Nor did</w:t>
      </w:r>
      <w:r>
        <w:t xml:space="preserve"> </w:t>
      </w:r>
      <w:r>
        <w:rPr>
          <w:i/>
          <w:iCs/>
        </w:rPr>
        <w:t xml:space="preserve">Ramos</w:t>
      </w:r>
      <w:r>
        <w:t xml:space="preserve"> </w:t>
      </w:r>
      <w:r>
        <w:t xml:space="preserve">alter our understanding of the “bedrock procedural elements essential to the fairness of a proceeding.”</w:t>
      </w:r>
      <w:r>
        <w:t xml:space="preserve"> </w:t>
      </w:r>
      <w:r>
        <w:rPr>
          <w:i/>
          <w:iCs/>
        </w:rPr>
        <w:t xml:space="preserve">Id.</w:t>
      </w:r>
      <w:r>
        <w:t xml:space="preserve"> </w:t>
      </w:r>
      <w:r>
        <w:t xml:space="preserve">The lower court erred by concluding</w:t>
      </w:r>
      <w:r>
        <w:t xml:space="preserve"> </w:t>
      </w:r>
      <w:r>
        <w:rPr>
          <w:i/>
          <w:iCs/>
        </w:rPr>
        <w:t xml:space="preserve">Ramos</w:t>
      </w:r>
      <w:r>
        <w:t xml:space="preserve"> </w:t>
      </w:r>
      <w:r>
        <w:t xml:space="preserve">was a watershed rule.</w:t>
      </w:r>
    </w:p>
    <w:p>
      <w:pPr>
        <w:keepNext/>
        <w:keepLines/>
        <w:spacing w:before="336" w:after="216" w:line="276" w:lineRule="exact"/>
        <w:ind w:left="0" w:firstLine="0"/>
        <w:jc w:val="left"/>
      </w:pPr>
      <w:r>
        <w:rPr>
          <w:b/>
          <w:bCs/>
          <w:i/>
          <w:iCs/>
        </w:rPr>
        <w:t xml:space="preserve">A.</w:t>
      </w:r>
      <w:r>
        <w:rPr>
          <w:b/>
          <w:bCs/>
          <w:i/>
          <w:iCs/>
        </w:rPr>
        <w:t xml:space="preserve"> </w:t>
      </w:r>
      <w:r>
        <w:rPr>
          <w:b/>
          <w:bCs/>
          <w:i/>
          <w:iCs/>
        </w:rPr>
        <w:t xml:space="preserve">Edwards</w:t>
      </w:r>
      <w:r>
        <w:rPr>
          <w:b/>
          <w:bCs/>
          <w:i/>
          <w:iCs/>
        </w:rPr>
        <w:t xml:space="preserve"> </w:t>
      </w:r>
      <w:r>
        <w:rPr>
          <w:b/>
          <w:bCs/>
          <w:i/>
          <w:iCs/>
        </w:rPr>
        <w:t xml:space="preserve">Correctly</w:t>
      </w:r>
      <w:r>
        <w:rPr>
          <w:b/>
          <w:bCs/>
          <w:i/>
          <w:iCs/>
        </w:rPr>
        <w:t xml:space="preserve"> </w:t>
      </w:r>
      <w:r>
        <w:rPr>
          <w:b/>
          <w:bCs/>
          <w:i/>
          <w:iCs/>
        </w:rPr>
        <w:t xml:space="preserve">Concluded</w:t>
      </w:r>
      <w:r>
        <w:rPr>
          <w:b/>
          <w:bCs/>
          <w:i/>
          <w:iCs/>
        </w:rPr>
        <w:t xml:space="preserve"> </w:t>
      </w:r>
      <w:r>
        <w:rPr>
          <w:b/>
          <w:bCs/>
          <w:i/>
          <w:iCs/>
        </w:rPr>
        <w:t xml:space="preserve">Ramos</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Watershed</w:t>
      </w:r>
      <w:r>
        <w:rPr>
          <w:b/>
          <w:bCs/>
          <w:i/>
          <w:iCs/>
        </w:rPr>
        <w:t xml:space="preserve"> </w:t>
      </w:r>
      <w:r>
        <w:rPr>
          <w:b/>
          <w:bCs/>
          <w:i/>
          <w:iCs/>
        </w:rPr>
        <w:t xml:space="preserve">Rule</w:t>
      </w:r>
    </w:p>
    <w:p>
      <w:pPr>
        <w:pStyle w:val="BodyText"/>
      </w:pPr>
      <w:r>
        <w:t xml:space="preserve">Despite its observation that</w:t>
      </w:r>
      <w:r>
        <w:t xml:space="preserve"> </w:t>
      </w:r>
      <w:r>
        <w:rPr>
          <w:i/>
          <w:iCs/>
        </w:rPr>
        <w:t xml:space="preserve">Ramos</w:t>
      </w:r>
      <w:r>
        <w:t xml:space="preserve"> </w:t>
      </w:r>
      <w:r>
        <w:t xml:space="preserve">was a “momentous and consequential” decision, the</w:t>
      </w:r>
      <w:r>
        <w:t xml:space="preserve"> </w:t>
      </w:r>
      <w:r>
        <w:rPr>
          <w:i/>
          <w:iCs/>
        </w:rPr>
        <w:t xml:space="preserve">Edwards</w:t>
      </w:r>
      <w:r>
        <w:t xml:space="preserve"> </w:t>
      </w:r>
      <w:r>
        <w:t xml:space="preserve">Court concluded</w:t>
      </w:r>
      <w:r>
        <w:t xml:space="preserve"> </w:t>
      </w:r>
      <w:r>
        <w:rPr>
          <w:i/>
          <w:iCs/>
        </w:rPr>
        <w:t xml:space="preserve">Ramos</w:t>
      </w:r>
      <w:r>
        <w:t xml:space="preserve"> </w:t>
      </w:r>
      <w:r>
        <w:t xml:space="preserve">did not announce a watershed rule.</w:t>
      </w:r>
      <w:r>
        <w:t xml:space="preserve"> </w:t>
      </w:r>
      <w:r>
        <w:rPr>
          <w:i/>
          <w:iCs/>
        </w:rPr>
        <w:t xml:space="preserve">Edwards</w:t>
      </w:r>
      <w:r>
        <w:t xml:space="preserve">, 141 S. Ct. at 1559. The Court reasoned that it had identified exceptionally consequential procedural rules in other cases, touching upon issues of jury-trial rights and racial discrimination in the jury selection process. These “decisions fundamentally reshaped criminal procedure throughout the United States and significantly expanded the constitutional rights of criminal defendants.”</w:t>
      </w:r>
      <w:r>
        <w:t xml:space="preserve"> </w:t>
      </w:r>
      <w:r>
        <w:rPr>
          <w:i/>
          <w:iCs/>
        </w:rPr>
        <w:t xml:space="preserve">Id.</w:t>
      </w:r>
      <w:r>
        <w:t xml:space="preserve"> </w:t>
      </w:r>
      <w:r>
        <w:t xml:space="preserve">But none of those new rules applied retroactively.</w:t>
      </w:r>
    </w:p>
    <w:p>
      <w:pPr>
        <w:pStyle w:val="BodyText"/>
      </w:pPr>
      <w:r>
        <w:t xml:space="preserve">For example, in</w:t>
      </w:r>
      <w:r>
        <w:t xml:space="preserve"> </w:t>
      </w:r>
      <w:r>
        <w:rPr>
          <w:i/>
          <w:iCs/>
        </w:rPr>
        <w:t xml:space="preserve">Batson v. Kentucky</w:t>
      </w:r>
      <w:r>
        <w:t xml:space="preserve">, “the Court overruled precedent and revolutionized day-to-day jury selection by holding that state prosecutors may not discriminate on the basis of race when exercising individual peremptory challenges.”</w:t>
      </w:r>
      <w:r>
        <w:t xml:space="preserve"> </w:t>
      </w:r>
      <w:r>
        <w:rPr>
          <w:i/>
          <w:iCs/>
        </w:rPr>
        <w:t xml:space="preserve">Id.</w:t>
      </w:r>
      <w:r>
        <w:t xml:space="preserve"> </w:t>
      </w:r>
      <w:r>
        <w:t xml:space="preserve">(discussing</w:t>
      </w:r>
      <w:r>
        <w:t xml:space="preserve"> </w:t>
      </w:r>
      <w:r>
        <w:rPr>
          <w:i/>
          <w:iCs/>
        </w:rPr>
        <w:t xml:space="preserve">Batson</w:t>
      </w:r>
      <w:r>
        <w:rPr>
          <w:i/>
          <w:iCs/>
        </w:rPr>
        <w:t xml:space="preserve"> </w:t>
      </w:r>
      <w:r>
        <w:rPr>
          <w:i/>
          <w:iCs/>
        </w:rPr>
        <w:t xml:space="preserve">v. Kentucky</w:t>
      </w:r>
      <w:r>
        <w:t xml:space="preserve">, 476 U.S. 79 (1986)). And yet, despite the importance of</w:t>
      </w:r>
      <w:r>
        <w:t xml:space="preserve"> </w:t>
      </w:r>
      <w:r>
        <w:rPr>
          <w:i/>
          <w:iCs/>
        </w:rPr>
        <w:t xml:space="preserve">Batson</w:t>
      </w:r>
      <w:r>
        <w:t xml:space="preserve">—and its profound impact on the justice system by remedying race-based inequities connected with the jury-trial right—the Court declined to make</w:t>
      </w:r>
      <w:r>
        <w:t xml:space="preserve"> </w:t>
      </w:r>
      <w:r>
        <w:rPr>
          <w:i/>
          <w:iCs/>
        </w:rPr>
        <w:t xml:space="preserve">Batson</w:t>
      </w:r>
      <w:r>
        <w:t xml:space="preserve"> </w:t>
      </w:r>
      <w:r>
        <w:t xml:space="preserve">retroactive in</w:t>
      </w:r>
      <w:r>
        <w:t xml:space="preserve"> </w:t>
      </w:r>
      <w:r>
        <w:rPr>
          <w:i/>
          <w:iCs/>
        </w:rPr>
        <w:t xml:space="preserve">Allen</w:t>
      </w:r>
      <w:r>
        <w:rPr>
          <w:i/>
          <w:iCs/>
        </w:rPr>
        <w:t xml:space="preserve"> </w:t>
      </w:r>
      <w:r>
        <w:rPr>
          <w:i/>
          <w:iCs/>
        </w:rPr>
        <w:t xml:space="preserve">v. Hardy</w:t>
      </w:r>
      <w:r>
        <w:t xml:space="preserve">, 478 U.S. 255 (1986) (per curiam).</w:t>
      </w:r>
    </w:p>
    <w:p>
      <w:pPr>
        <w:pStyle w:val="BodyText"/>
      </w:pPr>
      <w:r>
        <w:t xml:space="preserve">In</w:t>
      </w:r>
      <w:r>
        <w:t xml:space="preserve"> </w:t>
      </w:r>
      <w:r>
        <w:rPr>
          <w:i/>
          <w:iCs/>
        </w:rPr>
        <w:t xml:space="preserve">Duncan v. Louisiana</w:t>
      </w:r>
      <w:r>
        <w:t xml:space="preserve">, the Court “repudiated several precedents and ruled that a defendant has a constitutional right to a jury trial in a state criminal case.”</w:t>
      </w:r>
      <w:r>
        <w:t xml:space="preserve"> </w:t>
      </w:r>
      <w:r>
        <w:rPr>
          <w:i/>
          <w:iCs/>
        </w:rPr>
        <w:t xml:space="preserve">Id.</w:t>
      </w:r>
      <w:r>
        <w:t xml:space="preserve"> </w:t>
      </w:r>
      <w:r>
        <w:t xml:space="preserve">at 1558 (emphasis added) (discussing</w:t>
      </w:r>
      <w:r>
        <w:t xml:space="preserve"> </w:t>
      </w:r>
      <w:r>
        <w:rPr>
          <w:i/>
          <w:iCs/>
        </w:rPr>
        <w:t xml:space="preserve">Duncan</w:t>
      </w:r>
      <w:r>
        <w:rPr>
          <w:i/>
          <w:iCs/>
        </w:rPr>
        <w:t xml:space="preserve"> </w:t>
      </w:r>
      <w:r>
        <w:rPr>
          <w:i/>
          <w:iCs/>
        </w:rPr>
        <w:t xml:space="preserve">v. Louisiana</w:t>
      </w:r>
      <w:r>
        <w:t xml:space="preserve">, 391 U.S. 145 (1968)). Despite the fact that</w:t>
      </w:r>
      <w:r>
        <w:t xml:space="preserve"> </w:t>
      </w:r>
      <w:r>
        <w:rPr>
          <w:i/>
          <w:iCs/>
        </w:rPr>
        <w:t xml:space="preserve">Duncan</w:t>
      </w:r>
      <w:r>
        <w:t xml:space="preserve"> </w:t>
      </w:r>
      <w:r>
        <w:t xml:space="preserve">guaranteed the right to a jury trial, “the Court in</w:t>
      </w:r>
      <w:r>
        <w:t xml:space="preserve"> </w:t>
      </w:r>
      <w:r>
        <w:rPr>
          <w:i/>
          <w:iCs/>
        </w:rPr>
        <w:t xml:space="preserve">DeStefano</w:t>
      </w:r>
      <w:r>
        <w:t xml:space="preserve"> </w:t>
      </w:r>
      <w:r>
        <w:t xml:space="preserve">declined to retroactively apply the jury right.”</w:t>
      </w:r>
      <w:r>
        <w:t xml:space="preserve"> </w:t>
      </w:r>
      <w:r>
        <w:rPr>
          <w:i/>
          <w:iCs/>
        </w:rPr>
        <w:t xml:space="preserve">Id.</w:t>
      </w:r>
      <w:r>
        <w:t xml:space="preserve"> </w:t>
      </w:r>
      <w:r>
        <w:t xml:space="preserve">(citing</w:t>
      </w:r>
      <w:r>
        <w:t xml:space="preserve"> </w:t>
      </w:r>
      <w:r>
        <w:rPr>
          <w:i/>
          <w:iCs/>
        </w:rPr>
        <w:t xml:space="preserve">DeStefano</w:t>
      </w:r>
      <w:r>
        <w:rPr>
          <w:i/>
          <w:iCs/>
        </w:rPr>
        <w:t xml:space="preserve"> </w:t>
      </w:r>
      <w:r>
        <w:rPr>
          <w:i/>
          <w:iCs/>
        </w:rPr>
        <w:t xml:space="preserve">v. Woods</w:t>
      </w:r>
      <w:r>
        <w:t xml:space="preserve">, 392 U.S. 631 (1968) (per curiam)).</w:t>
      </w:r>
    </w:p>
    <w:p>
      <w:pPr>
        <w:pStyle w:val="BodyText"/>
      </w:pPr>
      <w:r>
        <w:t xml:space="preserve">And, finally, in</w:t>
      </w:r>
      <w:r>
        <w:t xml:space="preserve"> </w:t>
      </w:r>
      <w:r>
        <w:rPr>
          <w:i/>
          <w:iCs/>
        </w:rPr>
        <w:t xml:space="preserve">Crawford v. Washington</w:t>
      </w:r>
      <w:r>
        <w:t xml:space="preserve">, the Court “relied on the original meaning of the Sixth Amendment’s Confrontation Clause to overrule precedent and restrict the use of hearsay evidence against criminal defendants.”</w:t>
      </w:r>
      <w:r>
        <w:t xml:space="preserve"> </w:t>
      </w:r>
      <w:r>
        <w:rPr>
          <w:i/>
          <w:iCs/>
        </w:rPr>
        <w:t xml:space="preserve">Id.</w:t>
      </w:r>
      <w:r>
        <w:t xml:space="preserve"> </w:t>
      </w:r>
      <w:r>
        <w:t xml:space="preserve">(discussing</w:t>
      </w:r>
      <w:r>
        <w:t xml:space="preserve"> </w:t>
      </w:r>
      <w:r>
        <w:rPr>
          <w:i/>
          <w:iCs/>
        </w:rPr>
        <w:t xml:space="preserve">Crawford</w:t>
      </w:r>
      <w:r>
        <w:rPr>
          <w:i/>
          <w:iCs/>
        </w:rPr>
        <w:t xml:space="preserve"> </w:t>
      </w:r>
      <w:r>
        <w:rPr>
          <w:i/>
          <w:iCs/>
        </w:rPr>
        <w:t xml:space="preserve">v. Washington</w:t>
      </w:r>
      <w:r>
        <w:t xml:space="preserve">, 541 U.S. 36 (2004)).</w:t>
      </w:r>
      <w:r>
        <w:t xml:space="preserve"> </w:t>
      </w:r>
      <w:r>
        <w:rPr>
          <w:i/>
          <w:iCs/>
        </w:rPr>
        <w:t xml:space="preserve">Ramos</w:t>
      </w:r>
      <w:r>
        <w:t xml:space="preserve"> </w:t>
      </w:r>
      <w:r>
        <w:t xml:space="preserve">also “relied on the original meaning of the Sixth Amendment” when overturning</w:t>
      </w:r>
      <w:r>
        <w:t xml:space="preserve"> </w:t>
      </w:r>
      <w:r>
        <w:rPr>
          <w:i/>
          <w:iCs/>
        </w:rPr>
        <w:t xml:space="preserve">Apodaca</w:t>
      </w:r>
      <w:r>
        <w:rPr>
          <w:i/>
          <w:iCs/>
        </w:rPr>
        <w:t xml:space="preserve"> </w:t>
      </w:r>
      <w:r>
        <w:rPr>
          <w:i/>
          <w:iCs/>
        </w:rPr>
        <w:t xml:space="preserve">v. Oregon</w:t>
      </w:r>
      <w:r>
        <w:t xml:space="preserve">, 406 U.S. 404 (1972). But, in</w:t>
      </w:r>
      <w:r>
        <w:t xml:space="preserve"> </w:t>
      </w:r>
      <w:r>
        <w:rPr>
          <w:i/>
          <w:iCs/>
        </w:rPr>
        <w:t xml:space="preserve">Whorton</w:t>
      </w:r>
      <w:r>
        <w:t xml:space="preserve">, the Court declined to retroactively apply</w:t>
      </w:r>
      <w:r>
        <w:t xml:space="preserve"> </w:t>
      </w:r>
      <w:r>
        <w:rPr>
          <w:i/>
          <w:iCs/>
        </w:rPr>
        <w:t xml:space="preserve">Crawford</w:t>
      </w:r>
      <w:r>
        <w:t xml:space="preserve">. 549</w:t>
      </w:r>
      <w:r>
        <w:t xml:space="preserve"> </w:t>
      </w:r>
      <w:r>
        <w:t xml:space="preserve">U.S. at 421.</w:t>
      </w:r>
    </w:p>
    <w:p>
      <w:pPr>
        <w:pStyle w:val="BodyText"/>
      </w:pPr>
      <w:r>
        <w:t xml:space="preserve">According to</w:t>
      </w:r>
      <w:r>
        <w:t xml:space="preserve"> </w:t>
      </w:r>
      <w:r>
        <w:rPr>
          <w:i/>
          <w:iCs/>
        </w:rPr>
        <w:t xml:space="preserve">Edwards</w:t>
      </w:r>
      <w:r>
        <w:t xml:space="preserve">, because</w:t>
      </w:r>
      <w:r>
        <w:t xml:space="preserve"> </w:t>
      </w:r>
      <w:r>
        <w:rPr>
          <w:i/>
          <w:iCs/>
        </w:rPr>
        <w:t xml:space="preserve">Batson</w:t>
      </w:r>
      <w:r>
        <w:t xml:space="preserve">,</w:t>
      </w:r>
      <w:r>
        <w:t xml:space="preserve"> </w:t>
      </w:r>
      <w:r>
        <w:rPr>
          <w:i/>
          <w:iCs/>
        </w:rPr>
        <w:t xml:space="preserve">Duncan</w:t>
      </w:r>
      <w:r>
        <w:t xml:space="preserve">, and</w:t>
      </w:r>
      <w:r>
        <w:t xml:space="preserve"> </w:t>
      </w:r>
      <w:r>
        <w:rPr>
          <w:i/>
          <w:iCs/>
        </w:rPr>
        <w:t xml:space="preserve">Crawford</w:t>
      </w:r>
      <w:r>
        <w:t xml:space="preserve"> </w:t>
      </w:r>
      <w:r>
        <w:t xml:space="preserve">were not watershed rules,</w:t>
      </w:r>
      <w:r>
        <w:t xml:space="preserve"> </w:t>
      </w:r>
      <w:r>
        <w:rPr>
          <w:i/>
          <w:iCs/>
        </w:rPr>
        <w:t xml:space="preserve">Ramos</w:t>
      </w:r>
      <w:r>
        <w:t xml:space="preserve"> </w:t>
      </w:r>
      <w:r>
        <w:t xml:space="preserve">necessarily fell short. This is plainly correct. Each of these decisions is more impactful and fundamental than</w:t>
      </w:r>
      <w:r>
        <w:t xml:space="preserve"> </w:t>
      </w:r>
      <w:r>
        <w:rPr>
          <w:i/>
          <w:iCs/>
        </w:rPr>
        <w:t xml:space="preserve">Ramos</w:t>
      </w:r>
      <w:r>
        <w:t xml:space="preserve">. If</w:t>
      </w:r>
      <w:r>
        <w:t xml:space="preserve"> </w:t>
      </w:r>
      <w:r>
        <w:rPr>
          <w:i/>
          <w:iCs/>
        </w:rPr>
        <w:t xml:space="preserve">Duncan</w:t>
      </w:r>
      <w:r>
        <w:t xml:space="preserve">’s right to a jury trial itself was not watershed, how could</w:t>
      </w:r>
      <w:r>
        <w:t xml:space="preserve"> </w:t>
      </w:r>
      <w:r>
        <w:rPr>
          <w:i/>
          <w:iCs/>
        </w:rPr>
        <w:t xml:space="preserve">Ramos</w:t>
      </w:r>
      <w:r>
        <w:t xml:space="preserve">’ subsidiary right to a unanimous jury verdict be watershed?</w:t>
      </w:r>
      <w:r>
        <w:t xml:space="preserve"> </w:t>
      </w:r>
      <w:r>
        <w:rPr>
          <w:i/>
          <w:iCs/>
        </w:rPr>
        <w:t xml:space="preserve">Batson</w:t>
      </w:r>
      <w:r>
        <w:t xml:space="preserve"> </w:t>
      </w:r>
      <w:r>
        <w:t xml:space="preserve">remedied intentional racial discrimination in the jury selection process. By contrast,</w:t>
      </w:r>
      <w:r>
        <w:t xml:space="preserve"> </w:t>
      </w:r>
      <w:r>
        <w:rPr>
          <w:i/>
          <w:iCs/>
        </w:rPr>
        <w:t xml:space="preserve">Ramos</w:t>
      </w:r>
      <w:r>
        <w:t xml:space="preserve">’ unanimity rule remedied (at most) disparate impacts on racial minorities.</w:t>
      </w:r>
    </w:p>
    <w:p>
      <w:pPr>
        <w:pStyle w:val="BodyTextNote"/>
      </w:pPr>
      <w:r>
        <w:t xml:space="preserve">For the purposes of state collateral review, this Court never made</w:t>
      </w:r>
      <w:r>
        <w:t xml:space="preserve"> </w:t>
      </w:r>
      <w:r>
        <w:rPr>
          <w:i/>
          <w:iCs/>
        </w:rPr>
        <w:t xml:space="preserve">Batson</w:t>
      </w:r>
      <w:r>
        <w:t xml:space="preserve">,</w:t>
      </w:r>
      <w:r>
        <w:t xml:space="preserve"> </w:t>
      </w:r>
      <w:r>
        <w:rPr>
          <w:i/>
          <w:iCs/>
        </w:rPr>
        <w:t xml:space="preserve">Duncan</w:t>
      </w:r>
      <w:r>
        <w:t xml:space="preserve">, or</w:t>
      </w:r>
      <w:r>
        <w:t xml:space="preserve"> </w:t>
      </w:r>
      <w:r>
        <w:rPr>
          <w:i/>
          <w:iCs/>
        </w:rPr>
        <w:t xml:space="preserve">Crawford</w:t>
      </w:r>
      <w:r>
        <w:t xml:space="preserve"> </w:t>
      </w:r>
      <w:r>
        <w:t xml:space="preserve">retroactive.</w:t>
      </w:r>
      <w:r>
        <w:rPr>
          <w:rStyle w:val="FootnoteReference"/>
        </w:rPr>
        <w:footnoteReference w:id="12"/>
      </w:r>
      <w:r>
        <w:t xml:space="preserve"> </w:t>
      </w:r>
      <w:r>
        <w:rPr>
          <w:i/>
          <w:iCs/>
        </w:rPr>
        <w:t xml:space="preserve">See, e.g.</w:t>
      </w:r>
      <w:r>
        <w:t xml:space="preserve">,</w:t>
      </w:r>
      <w:r>
        <w:t xml:space="preserve"> </w:t>
      </w:r>
      <w:r>
        <w:rPr>
          <w:i/>
          <w:iCs/>
        </w:rPr>
        <w:t xml:space="preserve">State</w:t>
      </w:r>
      <w:r>
        <w:rPr>
          <w:i/>
          <w:iCs/>
        </w:rPr>
        <w:t xml:space="preserve"> </w:t>
      </w:r>
      <w:r>
        <w:rPr>
          <w:i/>
          <w:iCs/>
        </w:rPr>
        <w:t xml:space="preserve">v. George</w:t>
      </w:r>
      <w:r>
        <w:t xml:space="preserve">, 255 La. 104, 107, 229 So. 2d 715, 716 (1969) (declining to apply</w:t>
      </w:r>
      <w:r>
        <w:t xml:space="preserve"> </w:t>
      </w:r>
      <w:r>
        <w:rPr>
          <w:i/>
          <w:iCs/>
        </w:rPr>
        <w:t xml:space="preserve">Duncan</w:t>
      </w:r>
      <w:r>
        <w:t xml:space="preserve"> </w:t>
      </w:r>
      <w:r>
        <w:t xml:space="preserve">retroactively);</w:t>
      </w:r>
      <w:r>
        <w:t xml:space="preserve"> </w:t>
      </w:r>
      <w:r>
        <w:rPr>
          <w:i/>
          <w:iCs/>
        </w:rPr>
        <w:t xml:space="preserve">State</w:t>
      </w:r>
      <w:r>
        <w:rPr>
          <w:i/>
          <w:iCs/>
        </w:rPr>
        <w:t xml:space="preserve"> </w:t>
      </w:r>
      <w:r>
        <w:rPr>
          <w:i/>
          <w:iCs/>
        </w:rPr>
        <w:t xml:space="preserve">v. Rockeymore</w:t>
      </w:r>
      <w:r>
        <w:t xml:space="preserve">, 253 La. 101, 102, 216 So. 2d 828, 829 n.2 (1968) (same). Because those cases were not retroactive on state collateral review—under the reasoning of</w:t>
      </w:r>
      <w:r>
        <w:t xml:space="preserve"> </w:t>
      </w:r>
      <w:r>
        <w:rPr>
          <w:i/>
          <w:iCs/>
        </w:rPr>
        <w:t xml:space="preserve">Edwards</w:t>
      </w:r>
      <w:r>
        <w:t xml:space="preserve">—</w:t>
      </w:r>
      <w:r>
        <w:rPr>
          <w:i/>
          <w:iCs/>
        </w:rPr>
        <w:t xml:space="preserve">Ramos</w:t>
      </w:r>
      <w:r>
        <w:t xml:space="preserve"> </w:t>
      </w:r>
      <w:r>
        <w:t xml:space="preserve">should not apply retroactively either.</w:t>
      </w:r>
    </w:p>
    <w:p>
      <w:pPr>
        <w:keepNext/>
        <w:keepLines/>
        <w:spacing w:before="336" w:after="216" w:line="276" w:lineRule="exact"/>
        <w:ind w:left="0" w:firstLine="0"/>
        <w:jc w:val="left"/>
      </w:pPr>
      <w:r>
        <w:rPr>
          <w:b/>
          <w:bCs/>
          <w:i/>
          <w:iCs/>
        </w:rPr>
        <w:t xml:space="preserve">B.</w:t>
      </w:r>
      <w:r>
        <w:rPr>
          <w:b/>
          <w:bCs/>
          <w:i/>
          <w:iCs/>
        </w:rPr>
        <w:t xml:space="preserve"> </w:t>
      </w:r>
      <w:r>
        <w:rPr>
          <w:b/>
          <w:bCs/>
          <w:i/>
          <w:iCs/>
        </w:rPr>
        <w:t xml:space="preserve">Non-unanimity</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“Seriously</w:t>
      </w:r>
      <w:r>
        <w:rPr>
          <w:b/>
          <w:bCs/>
          <w:i/>
          <w:iCs/>
        </w:rPr>
        <w:t xml:space="preserve"> </w:t>
      </w:r>
      <w:r>
        <w:rPr>
          <w:b/>
          <w:bCs/>
          <w:i/>
          <w:iCs/>
        </w:rPr>
        <w:t xml:space="preserve">Diminish”</w:t>
      </w:r>
      <w:r>
        <w:rPr>
          <w:b/>
          <w:bCs/>
          <w:i/>
          <w:iCs/>
        </w:rPr>
        <w:t xml:space="preserve"> </w:t>
      </w:r>
      <w:r>
        <w:rPr>
          <w:b/>
          <w:bCs/>
          <w:i/>
          <w:iCs/>
        </w:rPr>
        <w:t xml:space="preserve">Accuracy</w:t>
      </w:r>
    </w:p>
    <w:p>
      <w:pPr>
        <w:pStyle w:val="BodyText"/>
      </w:pPr>
      <w:r>
        <w:t xml:space="preserve">To qualify as “watershed,” a new rule must be “necessary to prevent an impermissibly large risk of an inaccurate conviction.”</w:t>
      </w:r>
      <w:r>
        <w:t xml:space="preserve"> </w:t>
      </w:r>
      <w:r>
        <w:rPr>
          <w:i/>
          <w:iCs/>
        </w:rPr>
        <w:t xml:space="preserve">Whorton</w:t>
      </w:r>
      <w:r>
        <w:t xml:space="preserve">, 549 U.S. at 418 (cleaned up). It is not enough to say that the rule is “aimed at improving the accuracy of trial” or that the rule “is directed toward the enhancement of reliability and accuracy in some sense.”</w:t>
      </w:r>
      <w:r>
        <w:t xml:space="preserve"> </w:t>
      </w:r>
      <w:r>
        <w:rPr>
          <w:i/>
          <w:iCs/>
        </w:rPr>
        <w:t xml:space="preserve">Sawyer</w:t>
      </w:r>
      <w:r>
        <w:t xml:space="preserve">, 497 U.S. at 242–43. Rather, “the rule must be one without which the likelihood of an accurate conviction is seriously diminished.”</w:t>
      </w:r>
      <w:r>
        <w:t xml:space="preserve"> </w:t>
      </w:r>
      <w:r>
        <w:rPr>
          <w:i/>
          <w:iCs/>
        </w:rPr>
        <w:t xml:space="preserve">Summerlin</w:t>
      </w:r>
      <w:r>
        <w:t xml:space="preserve">, 542 U.S. at 352 (emphasis added). Thus, the relevant question is not whether</w:t>
      </w:r>
      <w:r>
        <w:t xml:space="preserve"> </w:t>
      </w:r>
      <w:r>
        <w:rPr>
          <w:i/>
          <w:iCs/>
        </w:rPr>
        <w:t xml:space="preserve">Ramos</w:t>
      </w:r>
      <w:r>
        <w:t xml:space="preserve"> </w:t>
      </w:r>
      <w:r>
        <w:t xml:space="preserve">“resulted in some net improvement in the accuracy of factfinding in criminal cases,” but instead whether the absence of the unanimity rule “seriously” diminishes the likelihood of an accurate conviction.</w:t>
      </w:r>
      <w:r>
        <w:t xml:space="preserve"> </w:t>
      </w:r>
      <w:r>
        <w:rPr>
          <w:i/>
          <w:iCs/>
        </w:rPr>
        <w:t xml:space="preserve">Whorton</w:t>
      </w:r>
      <w:r>
        <w:t xml:space="preserve">, 549 U.S. at 420.</w:t>
      </w:r>
    </w:p>
    <w:p>
      <w:pPr>
        <w:pStyle w:val="BodyText"/>
      </w:pPr>
      <w:r>
        <w:t xml:space="preserve">There is no reason to believe that non-unanimous verdicts lead to an “impermissibly large risk of an inaccurate conviction.”</w:t>
      </w:r>
      <w:r>
        <w:t xml:space="preserve"> </w:t>
      </w:r>
      <w:r>
        <w:rPr>
          <w:i/>
          <w:iCs/>
        </w:rPr>
        <w:t xml:space="preserve">Id.</w:t>
      </w:r>
      <w:r>
        <w:t xml:space="preserve"> </w:t>
      </w:r>
      <w:r>
        <w:t xml:space="preserve">at 418. Even leaving</w:t>
      </w:r>
      <w:r>
        <w:t xml:space="preserve"> </w:t>
      </w:r>
      <w:r>
        <w:rPr>
          <w:i/>
          <w:iCs/>
        </w:rPr>
        <w:t xml:space="preserve">Edwards</w:t>
      </w:r>
      <w:r>
        <w:t xml:space="preserve"> </w:t>
      </w:r>
      <w:r>
        <w:t xml:space="preserve">aside, the United States Supreme Court’s precedent confirms that accuracy is not seriously diminished without</w:t>
      </w:r>
      <w:r>
        <w:t xml:space="preserve"> </w:t>
      </w:r>
      <w:r>
        <w:rPr>
          <w:i/>
          <w:iCs/>
        </w:rPr>
        <w:t xml:space="preserve">Ramos</w:t>
      </w:r>
      <w:r>
        <w:t xml:space="preserve">’ unanimity rule. And, as a factual matter, non-unanimous verdicts are not a significant causal factor of wrongful convictions. Finally, there is nothing fundamentally inaccurate about non-unanimous convictions—which have been championed by leading scholars and are currently accepted by this Country’s closest allies.</w:t>
      </w:r>
    </w:p>
    <w:p>
      <w:pPr>
        <w:pStyle w:val="BodyText"/>
      </w:pPr>
      <w:r>
        <w:t xml:space="preserve">1. The United States Supreme Court has handed down decisions rejecting the retroactivity of new rules protecting fundamental jury trial rights. These decisions show why accuracy is not seriously diminished absent</w:t>
      </w:r>
      <w:r>
        <w:t xml:space="preserve"> </w:t>
      </w:r>
      <w:r>
        <w:rPr>
          <w:i/>
          <w:iCs/>
        </w:rPr>
        <w:t xml:space="preserve">Ramos</w:t>
      </w:r>
      <w:r>
        <w:t xml:space="preserve">’ unanimity rule.</w:t>
      </w:r>
    </w:p>
    <w:p>
      <w:pPr>
        <w:pStyle w:val="BodyText"/>
      </w:pPr>
      <w:r>
        <w:t xml:space="preserve">For example, in</w:t>
      </w:r>
      <w:r>
        <w:t xml:space="preserve"> </w:t>
      </w:r>
      <w:r>
        <w:rPr>
          <w:i/>
          <w:iCs/>
        </w:rPr>
        <w:t xml:space="preserve">Schriro v. Summerlin</w:t>
      </w:r>
      <w:r>
        <w:t xml:space="preserve">, the Court was asked to decide whether the new rule it announced in</w:t>
      </w:r>
      <w:r>
        <w:t xml:space="preserve"> </w:t>
      </w:r>
      <w:r>
        <w:rPr>
          <w:i/>
          <w:iCs/>
        </w:rPr>
        <w:t xml:space="preserve">Ring v. Arizona</w:t>
      </w:r>
      <w:r>
        <w:t xml:space="preserve"> </w:t>
      </w:r>
      <w:r>
        <w:t xml:space="preserve">was a watershed rule of criminal procedure. In</w:t>
      </w:r>
      <w:r>
        <w:t xml:space="preserve"> </w:t>
      </w:r>
      <w:r>
        <w:rPr>
          <w:i/>
          <w:iCs/>
        </w:rPr>
        <w:t xml:space="preserve">Ring</w:t>
      </w:r>
      <w:r>
        <w:t xml:space="preserve">, the Court “held that a sentencing judge, sitting without a jury, may not find an aggravating circumstance necessary for imposition of the death penalty.”</w:t>
      </w:r>
      <w:r>
        <w:t xml:space="preserve"> </w:t>
      </w:r>
      <w:r>
        <w:rPr>
          <w:i/>
          <w:iCs/>
        </w:rPr>
        <w:t xml:space="preserve">Summerlin</w:t>
      </w:r>
      <w:r>
        <w:t xml:space="preserve">, 542 U.S. at 353 (cleaned up). When considering whether judicial factfinding seriously diminished the accuracy of the proceeding in</w:t>
      </w:r>
      <w:r>
        <w:t xml:space="preserve"> </w:t>
      </w:r>
      <w:r>
        <w:rPr>
          <w:i/>
          <w:iCs/>
        </w:rPr>
        <w:t xml:space="preserve">Summerlin</w:t>
      </w:r>
      <w:r>
        <w:t xml:space="preserve">, the Court looked to its decision in</w:t>
      </w:r>
      <w:r>
        <w:t xml:space="preserve"> </w:t>
      </w:r>
      <w:r>
        <w:rPr>
          <w:i/>
          <w:iCs/>
        </w:rPr>
        <w:t xml:space="preserve">DeStefano</w:t>
      </w:r>
      <w:r>
        <w:t xml:space="preserve">, 392</w:t>
      </w:r>
      <w:r>
        <w:t xml:space="preserve"> </w:t>
      </w:r>
      <w:r>
        <w:t xml:space="preserve">U.S. at 631, where the Court “refused to give retroactive effect to</w:t>
      </w:r>
      <w:r>
        <w:t xml:space="preserve"> </w:t>
      </w:r>
      <w:r>
        <w:rPr>
          <w:i/>
          <w:iCs/>
        </w:rPr>
        <w:t xml:space="preserve">Duncan</w:t>
      </w:r>
      <w:r>
        <w:t xml:space="preserve">.”</w:t>
      </w:r>
      <w:r>
        <w:t xml:space="preserve"> </w:t>
      </w:r>
      <w:r>
        <w:rPr>
          <w:i/>
          <w:iCs/>
        </w:rPr>
        <w:t xml:space="preserve">Id.</w:t>
      </w:r>
      <w:r>
        <w:t xml:space="preserve"> </w:t>
      </w:r>
      <w:r>
        <w:t xml:space="preserve">at 356. As discussed above, “</w:t>
      </w:r>
      <w:r>
        <w:rPr>
          <w:i/>
          <w:iCs/>
        </w:rPr>
        <w:t xml:space="preserve">Duncan</w:t>
      </w:r>
      <w:r>
        <w:t xml:space="preserve"> </w:t>
      </w:r>
      <w:r>
        <w:t xml:space="preserve">applied the Sixth Amendment’s jury-trial guarantee to the States.”</w:t>
      </w:r>
      <w:r>
        <w:t xml:space="preserve"> </w:t>
      </w:r>
      <w:r>
        <w:rPr>
          <w:i/>
          <w:iCs/>
        </w:rPr>
        <w:t xml:space="preserve">Id.</w:t>
      </w:r>
      <w:r>
        <w:t xml:space="preserve"> </w:t>
      </w:r>
      <w:r>
        <w:t xml:space="preserve">Although the Court decided</w:t>
      </w:r>
      <w:r>
        <w:t xml:space="preserve"> </w:t>
      </w:r>
      <w:r>
        <w:rPr>
          <w:i/>
          <w:iCs/>
        </w:rPr>
        <w:t xml:space="preserve">DeStefano</w:t>
      </w:r>
      <w:r>
        <w:t xml:space="preserve"> </w:t>
      </w:r>
      <w:r>
        <w:t xml:space="preserve">under the pre-</w:t>
      </w:r>
      <w:r>
        <w:rPr>
          <w:i/>
          <w:iCs/>
        </w:rPr>
        <w:t xml:space="preserve">Teague</w:t>
      </w:r>
      <w:r>
        <w:t xml:space="preserve"> </w:t>
      </w:r>
      <w:r>
        <w:t xml:space="preserve">retroactivity framework,</w:t>
      </w:r>
      <w:r>
        <w:t xml:space="preserve"> </w:t>
      </w:r>
      <w:r>
        <w:rPr>
          <w:i/>
          <w:iCs/>
        </w:rPr>
        <w:t xml:space="preserve">Summerlin</w:t>
      </w:r>
      <w:r>
        <w:t xml:space="preserve"> </w:t>
      </w:r>
      <w:r>
        <w:t xml:space="preserve">emphasized that</w:t>
      </w:r>
      <w:r>
        <w:t xml:space="preserve"> </w:t>
      </w:r>
      <w:r>
        <w:rPr>
          <w:i/>
          <w:iCs/>
        </w:rPr>
        <w:t xml:space="preserve">DeStefano</w:t>
      </w:r>
      <w:r>
        <w:t xml:space="preserve">’s “reasoning is germane” to the question of</w:t>
      </w:r>
      <w:r>
        <w:t xml:space="preserve"> </w:t>
      </w:r>
      <w:r>
        <w:rPr>
          <w:i/>
          <w:iCs/>
        </w:rPr>
        <w:t xml:space="preserve">Ring</w:t>
      </w:r>
      <w:r>
        <w:t xml:space="preserve">’s retroactivity.</w:t>
      </w:r>
      <w:r>
        <w:t xml:space="preserve"> </w:t>
      </w:r>
      <w:r>
        <w:rPr>
          <w:i/>
          <w:iCs/>
        </w:rPr>
        <w:t xml:space="preserve">Id.</w:t>
      </w:r>
      <w:r>
        <w:t xml:space="preserve"> </w:t>
      </w:r>
      <w:r>
        <w:rPr>
          <w:i/>
          <w:iCs/>
        </w:rPr>
        <w:t xml:space="preserve">Summerlin</w:t>
      </w:r>
      <w:r>
        <w:t xml:space="preserve"> </w:t>
      </w:r>
      <w:r>
        <w:t xml:space="preserve">observed that if “a trial held entirely without a jury was not impermissibly inaccurate, it is hard to see how a trial in which a judge finds only aggravating factors could be.”</w:t>
      </w:r>
      <w:r>
        <w:t xml:space="preserve"> </w:t>
      </w:r>
      <w:r>
        <w:rPr>
          <w:i/>
          <w:iCs/>
        </w:rPr>
        <w:t xml:space="preserve">Id.</w:t>
      </w:r>
      <w:r>
        <w:t xml:space="preserve"> </w:t>
      </w:r>
      <w:r>
        <w:t xml:space="preserve">at 356–57. That reasoning applies</w:t>
      </w:r>
      <w:r>
        <w:t xml:space="preserve"> </w:t>
      </w:r>
      <w:r>
        <w:rPr>
          <w:i/>
          <w:iCs/>
        </w:rPr>
        <w:t xml:space="preserve">a fortiori</w:t>
      </w:r>
      <w:r>
        <w:t xml:space="preserve"> </w:t>
      </w:r>
      <w:r>
        <w:t xml:space="preserve">here. If a trial held entirely without a jury was not impermissibly inaccurate, it is hard to see how a trial where at least 10 of 12 jurors must agree to convict a defendant could be.</w:t>
      </w:r>
    </w:p>
    <w:p>
      <w:pPr>
        <w:pStyle w:val="BodyText"/>
      </w:pPr>
      <w:r>
        <w:t xml:space="preserve">Similarly, in</w:t>
      </w:r>
      <w:r>
        <w:t xml:space="preserve"> </w:t>
      </w:r>
      <w:r>
        <w:rPr>
          <w:i/>
          <w:iCs/>
        </w:rPr>
        <w:t xml:space="preserve">Allen</w:t>
      </w:r>
      <w:r>
        <w:t xml:space="preserve">, 478 U.S. at 255, the Supreme Court held in a per curiam decision that its landmark decision in</w:t>
      </w:r>
      <w:r>
        <w:t xml:space="preserve"> </w:t>
      </w:r>
      <w:r>
        <w:rPr>
          <w:i/>
          <w:iCs/>
        </w:rPr>
        <w:t xml:space="preserve">Batson</w:t>
      </w:r>
      <w:r>
        <w:t xml:space="preserve"> </w:t>
      </w:r>
      <w:r>
        <w:t xml:space="preserve">would not apply retroactively.</w:t>
      </w:r>
      <w:r>
        <w:t xml:space="preserve"> </w:t>
      </w:r>
      <w:r>
        <w:rPr>
          <w:i/>
          <w:iCs/>
        </w:rPr>
        <w:t xml:space="preserve">Allen</w:t>
      </w:r>
      <w:r>
        <w:t xml:space="preserve">’s reasoning—though it predates</w:t>
      </w:r>
      <w:r>
        <w:t xml:space="preserve"> </w:t>
      </w:r>
      <w:r>
        <w:rPr>
          <w:i/>
          <w:iCs/>
        </w:rPr>
        <w:t xml:space="preserve">Teague</w:t>
      </w:r>
      <w:r>
        <w:t xml:space="preserve">—is also “germane” to the present case because it directly addressed whether the</w:t>
      </w:r>
      <w:r>
        <w:t xml:space="preserve"> </w:t>
      </w:r>
      <w:r>
        <w:rPr>
          <w:i/>
          <w:iCs/>
        </w:rPr>
        <w:t xml:space="preserve">Batson</w:t>
      </w:r>
      <w:r>
        <w:t xml:space="preserve"> </w:t>
      </w:r>
      <w:r>
        <w:t xml:space="preserve">rule sufficiently enhanced the accuracy of criminal trials.</w:t>
      </w:r>
      <w:r>
        <w:t xml:space="preserve"> </w:t>
      </w:r>
      <w:r>
        <w:rPr>
          <w:i/>
          <w:iCs/>
        </w:rPr>
        <w:t xml:space="preserve">Summerlin</w:t>
      </w:r>
      <w:r>
        <w:t xml:space="preserve">, 542 U.S. at 357. In</w:t>
      </w:r>
      <w:r>
        <w:t xml:space="preserve"> </w:t>
      </w:r>
      <w:r>
        <w:rPr>
          <w:i/>
          <w:iCs/>
        </w:rPr>
        <w:t xml:space="preserve">Allen</w:t>
      </w:r>
      <w:r>
        <w:t xml:space="preserve">, the Court observed that a new rule is more likely to deserve retroactive application when it “goes to the heart of the truthfinding function.” 478</w:t>
      </w:r>
      <w:r>
        <w:t xml:space="preserve"> </w:t>
      </w:r>
      <w:r>
        <w:t xml:space="preserve">U.S. at 259. The</w:t>
      </w:r>
      <w:r>
        <w:t xml:space="preserve"> </w:t>
      </w:r>
      <w:r>
        <w:rPr>
          <w:i/>
          <w:iCs/>
        </w:rPr>
        <w:t xml:space="preserve">Batson</w:t>
      </w:r>
      <w:r>
        <w:t xml:space="preserve"> </w:t>
      </w:r>
      <w:r>
        <w:t xml:space="preserve">rule may have had “some bearing on the truthfinding function of a criminal trial.”</w:t>
      </w:r>
      <w:r>
        <w:t xml:space="preserve"> </w:t>
      </w:r>
      <w:r>
        <w:rPr>
          <w:i/>
          <w:iCs/>
        </w:rPr>
        <w:t xml:space="preserve">Id.</w:t>
      </w:r>
      <w:r>
        <w:t xml:space="preserve"> </w:t>
      </w:r>
      <w:r>
        <w:t xml:space="preserve">But that rule also “serves other values as well,” such as preventing discrimination against jurors and strengthening “public confidence” in the justice system.</w:t>
      </w:r>
      <w:r>
        <w:t xml:space="preserve"> </w:t>
      </w:r>
      <w:r>
        <w:rPr>
          <w:i/>
          <w:iCs/>
        </w:rPr>
        <w:t xml:space="preserve">Id.</w:t>
      </w:r>
      <w:r>
        <w:t xml:space="preserve"> </w:t>
      </w:r>
      <w:r>
        <w:t xml:space="preserve">Moreover, the Court noted that retroactive application of</w:t>
      </w:r>
      <w:r>
        <w:t xml:space="preserve"> </w:t>
      </w:r>
      <w:r>
        <w:rPr>
          <w:i/>
          <w:iCs/>
        </w:rPr>
        <w:t xml:space="preserve">Batson</w:t>
      </w:r>
      <w:r>
        <w:t xml:space="preserve"> </w:t>
      </w:r>
      <w:r>
        <w:t xml:space="preserve">to cases pending on collateral review would “seriously disrupt the administration of justice” because “prosecutors, trial judges, and appellate courts” had relied on the cases that</w:t>
      </w:r>
      <w:r>
        <w:t xml:space="preserve"> </w:t>
      </w:r>
      <w:r>
        <w:rPr>
          <w:i/>
          <w:iCs/>
        </w:rPr>
        <w:t xml:space="preserve">Batson</w:t>
      </w:r>
      <w:r>
        <w:t xml:space="preserve"> </w:t>
      </w:r>
      <w:r>
        <w:t xml:space="preserve">overruled, and retroactive application would result in countless vacated convictions and retrials.</w:t>
      </w:r>
      <w:r>
        <w:t xml:space="preserve"> </w:t>
      </w:r>
      <w:r>
        <w:rPr>
          <w:i/>
          <w:iCs/>
        </w:rPr>
        <w:t xml:space="preserve">Id.</w:t>
      </w:r>
      <w:r>
        <w:t xml:space="preserve"> </w:t>
      </w:r>
      <w:r>
        <w:t xml:space="preserve">at 260.</w:t>
      </w:r>
    </w:p>
    <w:p>
      <w:pPr>
        <w:pStyle w:val="BodyText"/>
      </w:pPr>
      <w:r>
        <w:t xml:space="preserve">If</w:t>
      </w:r>
      <w:r>
        <w:t xml:space="preserve"> </w:t>
      </w:r>
      <w:r>
        <w:rPr>
          <w:i/>
          <w:iCs/>
        </w:rPr>
        <w:t xml:space="preserve">Batson</w:t>
      </w:r>
      <w:r>
        <w:t xml:space="preserve"> </w:t>
      </w:r>
      <w:r>
        <w:t xml:space="preserve">and</w:t>
      </w:r>
      <w:r>
        <w:t xml:space="preserve"> </w:t>
      </w:r>
      <w:r>
        <w:rPr>
          <w:i/>
          <w:iCs/>
        </w:rPr>
        <w:t xml:space="preserve">Ring</w:t>
      </w:r>
      <w:r>
        <w:t xml:space="preserve"> </w:t>
      </w:r>
      <w:r>
        <w:t xml:space="preserve">did not sufficiently improve accuracy to warrant watershed status,</w:t>
      </w:r>
      <w:r>
        <w:t xml:space="preserve"> </w:t>
      </w:r>
      <w:r>
        <w:rPr>
          <w:i/>
          <w:iCs/>
        </w:rPr>
        <w:t xml:space="preserve">Ramos</w:t>
      </w:r>
      <w:r>
        <w:t xml:space="preserve"> </w:t>
      </w:r>
      <w:r>
        <w:t xml:space="preserve">also falls short. A non-unanimous verdict does not seriously impair accuracy if no jury at all does not seriously impair accuracy.</w:t>
      </w:r>
      <w:r>
        <w:t xml:space="preserve"> </w:t>
      </w:r>
      <w:r>
        <w:rPr>
          <w:i/>
          <w:iCs/>
        </w:rPr>
        <w:t xml:space="preserve">See</w:t>
      </w:r>
      <w:r>
        <w:t xml:space="preserve"> </w:t>
      </w:r>
      <w:r>
        <w:rPr>
          <w:i/>
          <w:iCs/>
        </w:rPr>
        <w:t xml:space="preserve">Summerlin</w:t>
      </w:r>
      <w:r>
        <w:t xml:space="preserve">, 542 U.S. at 353 (discussing</w:t>
      </w:r>
      <w:r>
        <w:t xml:space="preserve"> </w:t>
      </w:r>
      <w:r>
        <w:rPr>
          <w:i/>
          <w:iCs/>
        </w:rPr>
        <w:t xml:space="preserve">Stefano</w:t>
      </w:r>
      <w:r>
        <w:t xml:space="preserve">, 392</w:t>
      </w:r>
      <w:r>
        <w:t xml:space="preserve"> </w:t>
      </w:r>
      <w:r>
        <w:t xml:space="preserve">U.S. at 631). Notably, the Supreme Court has repeatedly declined to make important procedural rules retroactive even in capital cases, where the consequences of an inaccurate verdict or sentence are particularly acute.</w:t>
      </w:r>
    </w:p>
    <w:p>
      <w:pPr>
        <w:pStyle w:val="BodyText"/>
      </w:pPr>
      <w:r>
        <w:t xml:space="preserve">2. In any event, non-unanimity did not seriously diminish the accuracy or reliability of jury verdicts. An “inaccurate” conviction means the conviction of someone who is factually innocent.</w:t>
      </w:r>
      <w:r>
        <w:t xml:space="preserve"> </w:t>
      </w:r>
      <w:r>
        <w:rPr>
          <w:i/>
          <w:iCs/>
        </w:rPr>
        <w:t xml:space="preserve">See</w:t>
      </w:r>
      <w:r>
        <w:t xml:space="preserve"> </w:t>
      </w:r>
      <w:r>
        <w:rPr>
          <w:i/>
          <w:iCs/>
        </w:rPr>
        <w:t xml:space="preserve">Bousley</w:t>
      </w:r>
      <w:r>
        <w:rPr>
          <w:i/>
          <w:iCs/>
        </w:rPr>
        <w:t xml:space="preserve"> </w:t>
      </w:r>
      <w:r>
        <w:rPr>
          <w:i/>
          <w:iCs/>
        </w:rPr>
        <w:t xml:space="preserve">v. United States</w:t>
      </w:r>
      <w:r>
        <w:t xml:space="preserve">, 523 U.S. 614, 620 (1998) (quoting</w:t>
      </w:r>
      <w:r>
        <w:t xml:space="preserve"> </w:t>
      </w:r>
      <w:r>
        <w:rPr>
          <w:i/>
          <w:iCs/>
        </w:rPr>
        <w:t xml:space="preserve">Teague</w:t>
      </w:r>
      <w:r>
        <w:t xml:space="preserve">, 489 U.S. at 312). But non-unanimous juries do not appear to be a significant causal factor of wrongful convictions. This can be seen by comparing the number of wrongful convictions in Oregon and Louisiana to those States that have always required unanimity.</w:t>
      </w:r>
    </w:p>
    <w:p>
      <w:pPr>
        <w:pStyle w:val="BodyTextNote"/>
      </w:pPr>
      <w:r>
        <w:t xml:space="preserve">Oregon has had 23 exonerations (approximately 0.5 per 100,000 residents) and Louisiana has had 75 exonerations (1.6 per 100,000). Louisiana’s rate of exonerations per capita is comparable to that of New York (331 exonerations; 1.6 per 100,000) and Texas (400 exonerations; 1.3 per 100,000), and considerably lower than that of Illinois (425 exonerations; 3.3 per 100,000 residents), even though the latter three States have mandated unanimity all along.</w:t>
      </w:r>
      <w:r>
        <w:rPr>
          <w:rStyle w:val="FootnoteReference"/>
        </w:rPr>
        <w:footnoteReference w:id="13"/>
      </w:r>
      <w:r>
        <w:t xml:space="preserve"> </w:t>
      </w:r>
      <w:r>
        <w:t xml:space="preserve">And, if anything, these figures overstate the impact of non-unanimous verdicts in Louisiana and Oregon, since not all exonerations in those States involved non-unanimous convictions. Before the Supreme Court, Thedrick Edwards’ amici conceded that only around 25% of the exonerations in Louisiana involved non-unanimous verdicts.</w:t>
      </w:r>
      <w:r>
        <w:t xml:space="preserve"> </w:t>
      </w:r>
      <w:r>
        <w:rPr>
          <w:i/>
          <w:iCs/>
        </w:rPr>
        <w:t xml:space="preserve">See</w:t>
      </w:r>
      <w:r>
        <w:t xml:space="preserve"> </w:t>
      </w:r>
      <w:r>
        <w:t xml:space="preserve">Innocence Project Br. 6–7.</w:t>
      </w:r>
      <w:r>
        <w:rPr>
          <w:rStyle w:val="FootnoteReference"/>
        </w:rPr>
        <w:footnoteReference w:id="14"/>
      </w:r>
    </w:p>
    <w:p>
      <w:pPr>
        <w:pStyle w:val="BodyText"/>
      </w:pPr>
      <w:r>
        <w:t xml:space="preserve">3. Reddick is wrong to suggest that non-unanimous convictions are necessarily inaccurate or unfair. ROA.522. Although there may be some instances in which unanimity helps promote accuracy through better deliberations, that will surely not always be the case. In other circumstances, unanimity will diminish the accuracy of a verdict and merely promote delay, frustration, and gridlock.</w:t>
      </w:r>
      <w:r>
        <w:t xml:space="preserve"> </w:t>
      </w:r>
      <w:r>
        <w:rPr>
          <w:i/>
          <w:iCs/>
        </w:rPr>
        <w:t xml:space="preserve">See</w:t>
      </w:r>
      <w:r>
        <w:t xml:space="preserve"> </w:t>
      </w:r>
      <w:r>
        <w:rPr>
          <w:i/>
          <w:iCs/>
        </w:rPr>
        <w:t xml:space="preserve">Whorton</w:t>
      </w:r>
      <w:r>
        <w:t xml:space="preserve">, 549 U.S. at 419–20 (similarly noting that the</w:t>
      </w:r>
      <w:r>
        <w:t xml:space="preserve"> </w:t>
      </w:r>
      <w:r>
        <w:rPr>
          <w:i/>
          <w:iCs/>
        </w:rPr>
        <w:t xml:space="preserve">Crawford</w:t>
      </w:r>
      <w:r>
        <w:t xml:space="preserve"> </w:t>
      </w:r>
      <w:r>
        <w:t xml:space="preserve">rule could increase or decrease the accuracy of trial proceedings depending on the circumstances).</w:t>
      </w:r>
    </w:p>
    <w:p>
      <w:pPr>
        <w:pStyle w:val="BodyText"/>
      </w:pPr>
      <w:r>
        <w:t xml:space="preserve">For example, under a unanimity rule, a holdout juror might “continue[] to insist upon acquittal without having persuasive reasons in support of [his] position.”</w:t>
      </w:r>
      <w:r>
        <w:t xml:space="preserve"> </w:t>
      </w:r>
      <w:r>
        <w:rPr>
          <w:i/>
          <w:iCs/>
        </w:rPr>
        <w:t xml:space="preserve">Johnson</w:t>
      </w:r>
      <w:r>
        <w:rPr>
          <w:i/>
          <w:iCs/>
        </w:rPr>
        <w:t xml:space="preserve"> </w:t>
      </w:r>
      <w:r>
        <w:rPr>
          <w:i/>
          <w:iCs/>
        </w:rPr>
        <w:t xml:space="preserve">v. Louisiana</w:t>
      </w:r>
      <w:r>
        <w:t xml:space="preserve">, 406 U.S. 356, 361 (1972). As Professor Akhil Amar explained, an “eccentric holdout” juror might “refuse[] to listen to, or even try to persuade, others.” Akhil</w:t>
      </w:r>
      <w:r>
        <w:t xml:space="preserve"> </w:t>
      </w:r>
      <w:r>
        <w:t xml:space="preserve">Reed Amar,</w:t>
      </w:r>
      <w:r>
        <w:t xml:space="preserve"> </w:t>
      </w:r>
      <w:r>
        <w:rPr>
          <w:i/>
          <w:iCs/>
        </w:rPr>
        <w:t xml:space="preserve">Reinventing Juries: Ten Suggested Reforms</w:t>
      </w:r>
      <w:r>
        <w:t xml:space="preserve">, 28 U.C. Davis L. Rev. 1169, 1191 (1995). It hardly advances the accuracy of the jury’s deliberations if a holdout juror, empowered by a unanimity rule, can block a verdict based on an irrational interpretation of the evidence, an improper bias in favor of the defendant, or a desire to nullify the charges notwithstanding compelling evidence of guilt.</w:t>
      </w:r>
      <w:r>
        <w:t xml:space="preserve"> </w:t>
      </w:r>
      <w:r>
        <w:rPr>
          <w:i/>
          <w:iCs/>
        </w:rPr>
        <w:t xml:space="preserve">Cf.</w:t>
      </w:r>
      <w:r>
        <w:t xml:space="preserve"> </w:t>
      </w:r>
      <w:r>
        <w:rPr>
          <w:i/>
          <w:iCs/>
        </w:rPr>
        <w:t xml:space="preserve">Saffle</w:t>
      </w:r>
      <w:r>
        <w:t xml:space="preserve">, 494 U.S. at 495 (“The objectives of fairness and accuracy are more likely to be threatened rather than promoted by a rule allowing the sentence to turn on whether the defendant ⁠. ⁠. ⁠. can strike an emotional chord in a juror.”).</w:t>
      </w:r>
    </w:p>
    <w:p>
      <w:pPr>
        <w:pStyle w:val="BodyText"/>
      </w:pPr>
      <w:r>
        <w:t xml:space="preserve">Because unanimity may or may not improve the accuracy of convictions,</w:t>
      </w:r>
      <w:r>
        <w:t xml:space="preserve"> </w:t>
      </w:r>
      <w:r>
        <w:rPr>
          <w:i/>
          <w:iCs/>
        </w:rPr>
        <w:t xml:space="preserve">Ramos</w:t>
      </w:r>
      <w:r>
        <w:t xml:space="preserve"> </w:t>
      </w:r>
      <w:r>
        <w:t xml:space="preserve">is more analogous to</w:t>
      </w:r>
      <w:r>
        <w:t xml:space="preserve"> </w:t>
      </w:r>
      <w:r>
        <w:rPr>
          <w:i/>
          <w:iCs/>
        </w:rPr>
        <w:t xml:space="preserve">Crawford</w:t>
      </w:r>
      <w:r>
        <w:t xml:space="preserve"> </w:t>
      </w:r>
      <w:r>
        <w:t xml:space="preserve">than</w:t>
      </w:r>
      <w:r>
        <w:t xml:space="preserve"> </w:t>
      </w:r>
      <w:r>
        <w:rPr>
          <w:i/>
          <w:iCs/>
        </w:rPr>
        <w:t xml:space="preserve">Gideon</w:t>
      </w:r>
      <w:r>
        <w:t xml:space="preserve">. As discussed above, in</w:t>
      </w:r>
      <w:r>
        <w:t xml:space="preserve"> </w:t>
      </w:r>
      <w:r>
        <w:rPr>
          <w:i/>
          <w:iCs/>
        </w:rPr>
        <w:t xml:space="preserve">Crawford</w:t>
      </w:r>
      <w:r>
        <w:t xml:space="preserve">, the Court overturned</w:t>
      </w:r>
      <w:r>
        <w:t xml:space="preserve"> </w:t>
      </w:r>
      <w:r>
        <w:rPr>
          <w:i/>
          <w:iCs/>
        </w:rPr>
        <w:t xml:space="preserve">Ohio</w:t>
      </w:r>
      <w:r>
        <w:rPr>
          <w:i/>
          <w:iCs/>
        </w:rPr>
        <w:t xml:space="preserve"> </w:t>
      </w:r>
      <w:r>
        <w:rPr>
          <w:i/>
          <w:iCs/>
        </w:rPr>
        <w:t xml:space="preserve">v. Roberts</w:t>
      </w:r>
      <w:r>
        <w:t xml:space="preserve">, 448 U.S. 56 (1980) in favor of a new interpretation of the Confrontation Clause. In</w:t>
      </w:r>
      <w:r>
        <w:t xml:space="preserve"> </w:t>
      </w:r>
      <w:r>
        <w:rPr>
          <w:i/>
          <w:iCs/>
        </w:rPr>
        <w:t xml:space="preserve">Whorton</w:t>
      </w:r>
      <w:r>
        <w:t xml:space="preserve">, the Court unanimously declined to retroactively apply</w:t>
      </w:r>
      <w:r>
        <w:t xml:space="preserve"> </w:t>
      </w:r>
      <w:r>
        <w:rPr>
          <w:i/>
          <w:iCs/>
        </w:rPr>
        <w:t xml:space="preserve">Crawford</w:t>
      </w:r>
      <w:r>
        <w:t xml:space="preserve">’s new rule. The Court reasoned that “</w:t>
      </w:r>
      <w:r>
        <w:rPr>
          <w:i/>
          <w:iCs/>
        </w:rPr>
        <w:t xml:space="preserve">Crawford</w:t>
      </w:r>
      <w:r>
        <w:t xml:space="preserve"> </w:t>
      </w:r>
      <w:r>
        <w:t xml:space="preserve">overruled</w:t>
      </w:r>
      <w:r>
        <w:t xml:space="preserve"> </w:t>
      </w:r>
      <w:r>
        <w:rPr>
          <w:i/>
          <w:iCs/>
        </w:rPr>
        <w:t xml:space="preserve">Roberts</w:t>
      </w:r>
      <w:r>
        <w:t xml:space="preserve"> </w:t>
      </w:r>
      <w:r>
        <w:t xml:space="preserve">because</w:t>
      </w:r>
      <w:r>
        <w:t xml:space="preserve"> </w:t>
      </w:r>
      <w:r>
        <w:rPr>
          <w:i/>
          <w:iCs/>
        </w:rPr>
        <w:t xml:space="preserve">Roberts</w:t>
      </w:r>
      <w:r>
        <w:t xml:space="preserve"> </w:t>
      </w:r>
      <w:r>
        <w:t xml:space="preserve">was inconsistent with the original understanding of the meaning of the Confrontation Clause, not because the Court reached the conclusion that the overall effect of the</w:t>
      </w:r>
      <w:r>
        <w:t xml:space="preserve"> </w:t>
      </w:r>
      <w:r>
        <w:rPr>
          <w:i/>
          <w:iCs/>
        </w:rPr>
        <w:t xml:space="preserve">Crawford</w:t>
      </w:r>
      <w:r>
        <w:t xml:space="preserve"> </w:t>
      </w:r>
      <w:r>
        <w:t xml:space="preserve">rule would be to improve the accuracy of factfinding in criminal trials.”</w:t>
      </w:r>
      <w:r>
        <w:t xml:space="preserve"> </w:t>
      </w:r>
      <w:r>
        <w:rPr>
          <w:i/>
          <w:iCs/>
        </w:rPr>
        <w:t xml:space="preserve">Whorton</w:t>
      </w:r>
      <w:r>
        <w:t xml:space="preserve">, 549 U.S. at 419. Similarly, in</w:t>
      </w:r>
      <w:r>
        <w:t xml:space="preserve"> </w:t>
      </w:r>
      <w:r>
        <w:rPr>
          <w:i/>
          <w:iCs/>
        </w:rPr>
        <w:t xml:space="preserve">Ramos</w:t>
      </w:r>
      <w:r>
        <w:t xml:space="preserve"> </w:t>
      </w:r>
      <w:r>
        <w:t xml:space="preserve">the Court explained that “a jurisdiction adopting a nonunanimous jury rule even for benign reasons would still violate the Sixth Amendment.” 140</w:t>
      </w:r>
      <w:r>
        <w:t xml:space="preserve"> </w:t>
      </w:r>
      <w:r>
        <w:t xml:space="preserve">S. Ct. at 1401 n.44 (emphasis added). Unanimity may be an “ancient guarantee,”</w:t>
      </w:r>
      <w:r>
        <w:t xml:space="preserve"> </w:t>
      </w:r>
      <w:r>
        <w:rPr>
          <w:i/>
          <w:iCs/>
        </w:rPr>
        <w:t xml:space="preserve">id.</w:t>
      </w:r>
      <w:r>
        <w:t xml:space="preserve"> </w:t>
      </w:r>
      <w:r>
        <w:t xml:space="preserve">at 1390, but it is by no means the only way for a jury to fairly and accurately determine the guilt or innocence of the defendant.</w:t>
      </w:r>
    </w:p>
    <w:p>
      <w:pPr>
        <w:pStyle w:val="BodyText"/>
      </w:pPr>
      <w:r>
        <w:t xml:space="preserve">Numerous other countries that employ a jury system allow juries to return non-unanimous verdicts. In fact, “among the class of countries that embraces the jury, the unanimous decision rule for guilt and acquittal generally enforced by the American system is very much an anomaly.” Ethan</w:t>
      </w:r>
      <w:r>
        <w:t xml:space="preserve"> </w:t>
      </w:r>
      <w:r>
        <w:t xml:space="preserve">J. Lieb,</w:t>
      </w:r>
      <w:r>
        <w:t xml:space="preserve"> </w:t>
      </w:r>
      <w:r>
        <w:rPr>
          <w:i/>
          <w:iCs/>
        </w:rPr>
        <w:t xml:space="preserve">A Comparison of Criminal Jury Decision Rules in Democratic Countries</w:t>
      </w:r>
      <w:r>
        <w:t xml:space="preserve">, 5 Ohio St. J. Crim. L. 629, 642 (2008). “Although Canada and some jurisdictions in Australia maintain unanimity as a requirement (for conviction and acquittal),” this is far from the majority rule; instead, “more relaxed majoritarian and supermajoritarian rules clearly dominate the global jury system landscape.”</w:t>
      </w:r>
      <w:r>
        <w:t xml:space="preserve"> </w:t>
      </w:r>
      <w:r>
        <w:rPr>
          <w:i/>
          <w:iCs/>
        </w:rPr>
        <w:t xml:space="preserve">Id.</w:t>
      </w:r>
      <w:r>
        <w:t xml:space="preserve"> </w:t>
      </w:r>
      <w:r>
        <w:t xml:space="preserve">at 642.</w:t>
      </w:r>
    </w:p>
    <w:p>
      <w:pPr>
        <w:pStyle w:val="BodyText"/>
      </w:pPr>
      <w:r>
        <w:t xml:space="preserve">Notably, England no longer requires juries to render verdicts unanimously. “In England ⁠. ⁠. ⁠. the requirement of a unanimous verdict was dropped in 1967 by the Criminal Justice Act, which permitted verdicts of ten to two.” Sally</w:t>
      </w:r>
      <w:r>
        <w:t xml:space="preserve"> </w:t>
      </w:r>
      <w:r>
        <w:t xml:space="preserve">Lloyd-Bostock &amp; Cheryl Thomas,</w:t>
      </w:r>
      <w:r>
        <w:t xml:space="preserve"> </w:t>
      </w:r>
      <w:r>
        <w:rPr>
          <w:i/>
          <w:iCs/>
        </w:rPr>
        <w:t xml:space="preserve">Decline of the “Little Parliament”: Juries and Jury Reform in England and Wales</w:t>
      </w:r>
      <w:r>
        <w:t xml:space="preserve">, 62-SPG Law &amp; Contemp. Probs. 7, 36 (1999). The Supreme Court of Ireland has similarly explained that a “requirement of unanimity” is not needed to ensure that jurors can “bring their experience and commonsense to bear on resolving the issue of the guilt or innocence of the accused.”</w:t>
      </w:r>
      <w:r>
        <w:t xml:space="preserve"> </w:t>
      </w:r>
      <w:r>
        <w:rPr>
          <w:i/>
          <w:iCs/>
        </w:rPr>
        <w:t xml:space="preserve">O’Callaghan</w:t>
      </w:r>
      <w:r>
        <w:rPr>
          <w:i/>
          <w:iCs/>
        </w:rPr>
        <w:t xml:space="preserve"> </w:t>
      </w:r>
      <w:r>
        <w:rPr>
          <w:i/>
          <w:iCs/>
        </w:rPr>
        <w:t xml:space="preserve">v. Attorney General</w:t>
      </w:r>
      <w:r>
        <w:t xml:space="preserve">, [1993] 2 I.R. 17, 26. It would be odd for this Court to hold that the same rule used by several countries is so fundamentally unfair that it significantly diminishes the likelihood of an accurate verdict.</w:t>
      </w:r>
    </w:p>
    <w:p>
      <w:pPr>
        <w:keepNext/>
        <w:keepLines/>
        <w:spacing w:before="336" w:after="216" w:line="276" w:lineRule="exact"/>
        <w:ind w:left="0" w:firstLine="0"/>
        <w:jc w:val="left"/>
      </w:pPr>
      <w:r>
        <w:rPr>
          <w:b/>
          <w:bCs/>
          <w:i/>
          <w:iCs/>
        </w:rPr>
        <w:t xml:space="preserve">C.</w:t>
      </w:r>
      <w:r>
        <w:rPr>
          <w:b/>
          <w:bCs/>
          <w:i/>
          <w:iCs/>
        </w:rPr>
        <w:t xml:space="preserve"> </w:t>
      </w:r>
      <w:r>
        <w:rPr>
          <w:b/>
          <w:bCs/>
          <w:i/>
          <w:iCs/>
        </w:rPr>
        <w:t xml:space="preserve">Unanimity</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Previously</w:t>
      </w:r>
      <w:r>
        <w:rPr>
          <w:b/>
          <w:bCs/>
          <w:i/>
          <w:iCs/>
        </w:rPr>
        <w:t xml:space="preserve"> </w:t>
      </w:r>
      <w:r>
        <w:rPr>
          <w:b/>
          <w:bCs/>
          <w:i/>
          <w:iCs/>
        </w:rPr>
        <w:t xml:space="preserve">Unrecognized</w:t>
      </w:r>
      <w:r>
        <w:rPr>
          <w:b/>
          <w:bCs/>
          <w:i/>
          <w:iCs/>
        </w:rPr>
        <w:t xml:space="preserve"> </w:t>
      </w:r>
      <w:r>
        <w:rPr>
          <w:b/>
          <w:bCs/>
          <w:i/>
          <w:iCs/>
        </w:rPr>
        <w:t xml:space="preserve">Bedrock</w:t>
      </w:r>
      <w:r>
        <w:rPr>
          <w:b/>
          <w:bCs/>
          <w:i/>
          <w:iCs/>
        </w:rPr>
        <w:t xml:space="preserve"> </w:t>
      </w:r>
      <w:r>
        <w:rPr>
          <w:b/>
          <w:bCs/>
          <w:i/>
          <w:iCs/>
        </w:rPr>
        <w:t xml:space="preserve">Rule</w:t>
      </w:r>
    </w:p>
    <w:p>
      <w:pPr>
        <w:pStyle w:val="BodyText"/>
      </w:pPr>
      <w:r>
        <w:t xml:space="preserve">A new rule also may not be deemed watershed unless it “alter[s] our understanding of the bedrock procedural elements essential to the fairness of a proceeding.”</w:t>
      </w:r>
      <w:r>
        <w:t xml:space="preserve"> </w:t>
      </w:r>
      <w:r>
        <w:rPr>
          <w:i/>
          <w:iCs/>
        </w:rPr>
        <w:t xml:space="preserve">Whorton</w:t>
      </w:r>
      <w:r>
        <w:t xml:space="preserve">, 549 U.S. at 418. This second requirement “cannot be met simply by showing that a new procedural rule is based on a ‘bedrock’ right.”</w:t>
      </w:r>
      <w:r>
        <w:t xml:space="preserve"> </w:t>
      </w:r>
      <w:r>
        <w:rPr>
          <w:i/>
          <w:iCs/>
        </w:rPr>
        <w:t xml:space="preserve">Id.</w:t>
      </w:r>
      <w:r>
        <w:t xml:space="preserve"> </w:t>
      </w:r>
      <w:r>
        <w:t xml:space="preserve">at 420–21. Rather, the new rule “must itself constitute a previously unrecognized bedrock procedural element that is essential to the fairness of a proceeding.”</w:t>
      </w:r>
      <w:r>
        <w:t xml:space="preserve"> </w:t>
      </w:r>
      <w:r>
        <w:rPr>
          <w:i/>
          <w:iCs/>
        </w:rPr>
        <w:t xml:space="preserve">Id.</w:t>
      </w:r>
      <w:r>
        <w:t xml:space="preserve"> </w:t>
      </w:r>
      <w:r>
        <w:t xml:space="preserve">at 421 (citations omitted). Reddick cannot make that showing here.</w:t>
      </w:r>
    </w:p>
    <w:p>
      <w:pPr>
        <w:pStyle w:val="BodyText"/>
      </w:pPr>
      <w:r>
        <w:t xml:space="preserve">The Supreme Court laid the groundwork for</w:t>
      </w:r>
      <w:r>
        <w:t xml:space="preserve"> </w:t>
      </w:r>
      <w:r>
        <w:rPr>
          <w:i/>
          <w:iCs/>
        </w:rPr>
        <w:t xml:space="preserve">Ramos</w:t>
      </w:r>
      <w:r>
        <w:t xml:space="preserve"> </w:t>
      </w:r>
      <w:r>
        <w:t xml:space="preserve">by recognizing other bedrock rights in previous cases—such as the right to a jury trial in</w:t>
      </w:r>
      <w:r>
        <w:t xml:space="preserve"> </w:t>
      </w:r>
      <w:r>
        <w:rPr>
          <w:i/>
          <w:iCs/>
        </w:rPr>
        <w:t xml:space="preserve">Duncan</w:t>
      </w:r>
      <w:r>
        <w:t xml:space="preserve">.</w:t>
      </w:r>
      <w:r>
        <w:t xml:space="preserve"> </w:t>
      </w:r>
      <w:r>
        <w:rPr>
          <w:i/>
          <w:iCs/>
        </w:rPr>
        <w:t xml:space="preserve">See</w:t>
      </w:r>
      <w:r>
        <w:t xml:space="preserve"> </w:t>
      </w:r>
      <w:r>
        <w:rPr>
          <w:i/>
          <w:iCs/>
        </w:rPr>
        <w:t xml:space="preserve">Edwards</w:t>
      </w:r>
      <w:r>
        <w:t xml:space="preserve">, 141 S. Ct. at 1558 (discussing</w:t>
      </w:r>
      <w:r>
        <w:t xml:space="preserve"> </w:t>
      </w:r>
      <w:r>
        <w:rPr>
          <w:i/>
          <w:iCs/>
        </w:rPr>
        <w:t xml:space="preserve">Duncan</w:t>
      </w:r>
      <w:r>
        <w:t xml:space="preserve">, 391 U.S. at 145). Given that nonunanimity had never “become part of our national culture,”</w:t>
      </w:r>
      <w:r>
        <w:t xml:space="preserve"> </w:t>
      </w:r>
      <w:r>
        <w:rPr>
          <w:i/>
          <w:iCs/>
        </w:rPr>
        <w:t xml:space="preserve">Ramos</w:t>
      </w:r>
      <w:r>
        <w:t xml:space="preserve">, 140 S. Ct. at 1406, it is highly implausible that</w:t>
      </w:r>
      <w:r>
        <w:t xml:space="preserve"> </w:t>
      </w:r>
      <w:r>
        <w:rPr>
          <w:i/>
          <w:iCs/>
        </w:rPr>
        <w:t xml:space="preserve">Ramos</w:t>
      </w:r>
      <w:r>
        <w:t xml:space="preserve"> </w:t>
      </w:r>
      <w:r>
        <w:t xml:space="preserve">involved a “previously unrecognized” “bedrock” right.</w:t>
      </w:r>
    </w:p>
    <w:p>
      <w:pPr>
        <w:keepNext/>
        <w:keepLines/>
        <w:spacing w:before="288" w:after="192" w:line="276"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FINALITY</w:t>
      </w:r>
      <w:r>
        <w:rPr>
          <w:b/>
          <w:bCs/>
        </w:rPr>
        <w:t xml:space="preserve"> </w:t>
      </w:r>
      <w:r>
        <w:rPr>
          <w:b/>
          <w:bCs/>
        </w:rPr>
        <w:t xml:space="preserve">INTERESTS</w:t>
      </w:r>
      <w:r>
        <w:rPr>
          <w:b/>
          <w:bCs/>
        </w:rPr>
        <w:t xml:space="preserve"> </w:t>
      </w:r>
      <w:r>
        <w:rPr>
          <w:b/>
          <w:bCs/>
        </w:rPr>
        <w:t xml:space="preserve">ARE</w:t>
      </w:r>
      <w:r>
        <w:rPr>
          <w:b/>
          <w:bCs/>
        </w:rPr>
        <w:t xml:space="preserve"> </w:t>
      </w:r>
      <w:r>
        <w:rPr>
          <w:b/>
          <w:bCs/>
        </w:rPr>
        <w:t xml:space="preserve">OVERWHELMING</w:t>
      </w:r>
    </w:p>
    <w:p>
      <w:pPr>
        <w:pStyle w:val="BodyText"/>
      </w:pPr>
      <w:r>
        <w:rPr>
          <w:i/>
          <w:iCs/>
        </w:rPr>
        <w:t xml:space="preserve">Teague</w:t>
      </w:r>
      <w:r>
        <w:t xml:space="preserve">’s demanding test is “expressly calibrated” to account for the State’s legitimate reliance interests in the finality of its convictions.</w:t>
      </w:r>
      <w:r>
        <w:t xml:space="preserve"> </w:t>
      </w:r>
      <w:r>
        <w:rPr>
          <w:i/>
          <w:iCs/>
        </w:rPr>
        <w:t xml:space="preserve">Ramos</w:t>
      </w:r>
      <w:r>
        <w:t xml:space="preserve">, 140 S. Ct. at 1407 (plurality op.) (citing</w:t>
      </w:r>
      <w:r>
        <w:t xml:space="preserve"> </w:t>
      </w:r>
      <w:r>
        <w:rPr>
          <w:i/>
          <w:iCs/>
        </w:rPr>
        <w:t xml:space="preserve">Stringer</w:t>
      </w:r>
      <w:r>
        <w:rPr>
          <w:i/>
          <w:iCs/>
        </w:rPr>
        <w:t xml:space="preserve"> </w:t>
      </w:r>
      <w:r>
        <w:rPr>
          <w:i/>
          <w:iCs/>
        </w:rPr>
        <w:t xml:space="preserve">v. Black</w:t>
      </w:r>
      <w:r>
        <w:t xml:space="preserve">, 503 U.S. 222, 228 (1992);</w:t>
      </w:r>
      <w:r>
        <w:t xml:space="preserve"> </w:t>
      </w:r>
      <w:r>
        <w:rPr>
          <w:i/>
          <w:iCs/>
        </w:rPr>
        <w:t xml:space="preserve">see also</w:t>
      </w:r>
      <w:r>
        <w:t xml:space="preserve"> </w:t>
      </w:r>
      <w:r>
        <w:rPr>
          <w:i/>
          <w:iCs/>
        </w:rPr>
        <w:t xml:space="preserve">Montgomery</w:t>
      </w:r>
      <w:r>
        <w:t xml:space="preserve">, 136 S. Ct. at 735 (noting importance of “avoid[ing] intruding more than necessary upon the States’ sovereign administration of their criminal justice systems”)). It is difficult to overstate the State’s interest in the finality of its non-unanimous jury verdicts. The State has been accepting such jury verdicts for decades. Redoing those trials decades later would be impractical—if not impossible—and could overwhelm the criminal justice system.</w:t>
      </w:r>
    </w:p>
    <w:p>
      <w:pPr>
        <w:pStyle w:val="BodyText"/>
      </w:pPr>
      <w:r>
        <w:t xml:space="preserve">And, contrary to Reddick’s assertions, the State’s finality interests are untainted by racial discrimination.</w:t>
      </w:r>
    </w:p>
    <w:p>
      <w:pPr>
        <w:keepNext/>
        <w:keepLines/>
        <w:spacing w:before="336" w:after="216" w:line="276" w:lineRule="exact"/>
        <w:ind w:left="0" w:firstLine="0"/>
        <w:jc w:val="left"/>
      </w:pPr>
      <w:r>
        <w:rPr>
          <w:b/>
          <w:bCs/>
          <w:i/>
          <w:iCs/>
        </w:rPr>
        <w:t xml:space="preserve">A.</w:t>
      </w:r>
      <w:r>
        <w:rPr>
          <w:b/>
          <w:bCs/>
          <w:i/>
          <w:iCs/>
        </w:rPr>
        <w:t xml:space="preserve"> </w:t>
      </w:r>
      <w:r>
        <w:rPr>
          <w:b/>
          <w:bCs/>
          <w:i/>
          <w:iCs/>
        </w:rPr>
        <w:t xml:space="preserve">Applying</w:t>
      </w:r>
      <w:r>
        <w:rPr>
          <w:b/>
          <w:bCs/>
          <w:i/>
          <w:iCs/>
        </w:rPr>
        <w:t xml:space="preserve"> </w:t>
      </w:r>
      <w:r>
        <w:rPr>
          <w:b/>
          <w:bCs/>
          <w:i/>
          <w:iCs/>
        </w:rPr>
        <w:t xml:space="preserve">Ramos</w:t>
      </w:r>
      <w:r>
        <w:rPr>
          <w:b/>
          <w:bCs/>
          <w:i/>
          <w:iCs/>
        </w:rPr>
        <w:t xml:space="preserve"> </w:t>
      </w:r>
      <w:r>
        <w:rPr>
          <w:b/>
          <w:bCs/>
          <w:i/>
          <w:iCs/>
        </w:rPr>
        <w:t xml:space="preserve">Retroactively</w:t>
      </w:r>
      <w:r>
        <w:rPr>
          <w:b/>
          <w:bCs/>
          <w:i/>
          <w:iCs/>
        </w:rPr>
        <w:t xml:space="preserve"> </w:t>
      </w:r>
      <w:r>
        <w:rPr>
          <w:b/>
          <w:bCs/>
          <w:i/>
          <w:iCs/>
        </w:rPr>
        <w:t xml:space="preserve">Could</w:t>
      </w:r>
      <w:r>
        <w:rPr>
          <w:b/>
          <w:bCs/>
          <w:i/>
          <w:iCs/>
        </w:rPr>
        <w:t xml:space="preserve"> </w:t>
      </w:r>
      <w:r>
        <w:rPr>
          <w:b/>
          <w:bCs/>
          <w:i/>
          <w:iCs/>
        </w:rPr>
        <w:t xml:space="preserve">Overwhelm</w:t>
      </w:r>
      <w:r>
        <w:rPr>
          <w:b/>
          <w:bCs/>
          <w:i/>
          <w:iCs/>
        </w:rPr>
        <w:t xml:space="preserve"> </w:t>
      </w:r>
      <w:r>
        <w:rPr>
          <w:b/>
          <w:bCs/>
          <w:i/>
          <w:iCs/>
        </w:rPr>
        <w:t xml:space="preserve">the</w:t>
      </w:r>
      <w:r>
        <w:rPr>
          <w:b/>
          <w:bCs/>
          <w:i/>
          <w:iCs/>
        </w:rPr>
        <w:t xml:space="preserve"> </w:t>
      </w:r>
      <w:r>
        <w:rPr>
          <w:b/>
          <w:bCs/>
          <w:i/>
          <w:iCs/>
        </w:rPr>
        <w:t xml:space="preserve">Justice</w:t>
      </w:r>
      <w:r>
        <w:rPr>
          <w:b/>
          <w:bCs/>
          <w:i/>
          <w:iCs/>
        </w:rPr>
        <w:t xml:space="preserve"> </w:t>
      </w:r>
      <w:r>
        <w:rPr>
          <w:b/>
          <w:bCs/>
          <w:i/>
          <w:iCs/>
        </w:rPr>
        <w:t xml:space="preserve">System</w:t>
      </w:r>
    </w:p>
    <w:p>
      <w:pPr>
        <w:pStyle w:val="BodyTextNote"/>
      </w:pPr>
      <w:r>
        <w:t xml:space="preserve">If the Court grants relief to Reddick, the State could potentially be forced to retry hundreds of defendants—many of whom were convicted years or decades ago.</w:t>
      </w:r>
      <w:r>
        <w:t xml:space="preserve"> </w:t>
      </w:r>
      <w:r>
        <w:rPr>
          <w:i/>
          <w:iCs/>
        </w:rPr>
        <w:t xml:space="preserve">See</w:t>
      </w:r>
      <w:r>
        <w:t xml:space="preserve"> </w:t>
      </w:r>
      <w:r>
        <w:rPr>
          <w:i/>
          <w:iCs/>
        </w:rPr>
        <w:t xml:space="preserve">Allen</w:t>
      </w:r>
      <w:r>
        <w:t xml:space="preserve">, 478 U.S. at 260 (discussing same concerns in rejecting retroactivity of</w:t>
      </w:r>
      <w:r>
        <w:t xml:space="preserve"> </w:t>
      </w:r>
      <w:r>
        <w:rPr>
          <w:i/>
          <w:iCs/>
        </w:rPr>
        <w:t xml:space="preserve">Batson</w:t>
      </w:r>
      <w:r>
        <w:t xml:space="preserve"> </w:t>
      </w:r>
      <w:r>
        <w:t xml:space="preserve">rule). In the Supreme Court, one of Thedrick Edwards’ amici estimated that more than 1,600 cases in Louisiana alone could be affected in some way by a holding that</w:t>
      </w:r>
      <w:r>
        <w:t xml:space="preserve"> </w:t>
      </w:r>
      <w:r>
        <w:rPr>
          <w:i/>
          <w:iCs/>
        </w:rPr>
        <w:t xml:space="preserve">Ramos</w:t>
      </w:r>
      <w:r>
        <w:t xml:space="preserve"> </w:t>
      </w:r>
      <w:r>
        <w:t xml:space="preserve">applies retroactively (with 1,300 of those defendants requiring “new proceedings”).</w:t>
      </w:r>
      <w:r>
        <w:t xml:space="preserve"> </w:t>
      </w:r>
      <w:r>
        <w:rPr>
          <w:i/>
          <w:iCs/>
        </w:rPr>
        <w:t xml:space="preserve">See</w:t>
      </w:r>
      <w:r>
        <w:t xml:space="preserve"> </w:t>
      </w:r>
      <w:r>
        <w:t xml:space="preserve">Promise of Justice Institute Br. 9–20.</w:t>
      </w:r>
      <w:r>
        <w:rPr>
          <w:rStyle w:val="FootnoteReference"/>
        </w:rPr>
        <w:footnoteReference w:id="15"/>
      </w:r>
      <w:r>
        <w:t xml:space="preserve"> </w:t>
      </w:r>
      <w:r>
        <w:t xml:space="preserve">This Court has already denied writ applications in dozens of cases with</w:t>
      </w:r>
      <w:r>
        <w:t xml:space="preserve"> </w:t>
      </w:r>
      <w:r>
        <w:rPr>
          <w:i/>
          <w:iCs/>
        </w:rPr>
        <w:t xml:space="preserve">Ramos</w:t>
      </w:r>
      <w:r>
        <w:t xml:space="preserve"> </w:t>
      </w:r>
      <w:r>
        <w:t xml:space="preserve">retroactivity claims.</w:t>
      </w:r>
      <w:r>
        <w:rPr>
          <w:rStyle w:val="FootnoteReference"/>
        </w:rPr>
        <w:footnoteReference w:id="16"/>
      </w:r>
    </w:p>
    <w:p>
      <w:pPr>
        <w:pStyle w:val="BodyText"/>
      </w:pPr>
      <w:r>
        <w:t xml:space="preserve">It would be impossible to retry many of those defendants. Beyond the incredible financial burden that flooding the criminal system with retrials would impose, important practical problems would impede the State’s efforts to obtain justice for victims. Over the decades, witnesses die or become unavailable and their memories fade.</w:t>
      </w:r>
      <w:r>
        <w:t xml:space="preserve"> </w:t>
      </w:r>
      <w:r>
        <w:rPr>
          <w:i/>
          <w:iCs/>
        </w:rPr>
        <w:t xml:space="preserve">See</w:t>
      </w:r>
      <w:r>
        <w:t xml:space="preserve"> </w:t>
      </w:r>
      <w:r>
        <w:rPr>
          <w:i/>
          <w:iCs/>
        </w:rPr>
        <w:t xml:space="preserve">Edwards</w:t>
      </w:r>
      <w:r>
        <w:t xml:space="preserve">, 141 S. Ct. at 1554 (“[A] State may not be able to retry some defendants at all because of “lost evidence, faulty memory, and missing witnesses.” (quoting</w:t>
      </w:r>
      <w:r>
        <w:t xml:space="preserve"> </w:t>
      </w:r>
      <w:r>
        <w:rPr>
          <w:i/>
          <w:iCs/>
        </w:rPr>
        <w:t xml:space="preserve">Allen</w:t>
      </w:r>
      <w:r>
        <w:t xml:space="preserve">, 478 U.S. at 260–61)). Evidence decays or is destroyed in storms like Hurricane Katrina. “Even when the evidence can be reassembled, conducting retrials years later inflicts substantial pain on crime victims who must testify again and endure new trials.”</w:t>
      </w:r>
      <w:r>
        <w:t xml:space="preserve"> </w:t>
      </w:r>
      <w:r>
        <w:rPr>
          <w:i/>
          <w:iCs/>
        </w:rPr>
        <w:t xml:space="preserve">Id.</w:t>
      </w:r>
      <w:r>
        <w:t xml:space="preserve"> </w:t>
      </w:r>
      <w:r>
        <w:t xml:space="preserve">at 1554–55. “Put simply, the ‘costs imposed upon the States by retroactive application of new rules of constitutional law on habeas corpus thus generally far outweigh the benefits of this application.’”</w:t>
      </w:r>
      <w:r>
        <w:t xml:space="preserve"> </w:t>
      </w:r>
      <w:r>
        <w:rPr>
          <w:i/>
          <w:iCs/>
        </w:rPr>
        <w:t xml:space="preserve">Id.</w:t>
      </w:r>
      <w:r>
        <w:t xml:space="preserve"> </w:t>
      </w:r>
      <w:r>
        <w:t xml:space="preserve">at 1555 (quoting</w:t>
      </w:r>
      <w:r>
        <w:t xml:space="preserve"> </w:t>
      </w:r>
      <w:r>
        <w:rPr>
          <w:i/>
          <w:iCs/>
        </w:rPr>
        <w:t xml:space="preserve">Sawyer</w:t>
      </w:r>
      <w:r>
        <w:t xml:space="preserve">, 497 U.S. at 242).</w:t>
      </w:r>
    </w:p>
    <w:p>
      <w:pPr>
        <w:pStyle w:val="BodyText"/>
      </w:pPr>
      <w:r>
        <w:t xml:space="preserve">Reddick murdered Moliere nearly thirty years ago. It would be difficult, if not impossible, to reassemble the witnesses and evidence to retry him all these decades later. As the Supreme Court observed in</w:t>
      </w:r>
      <w:r>
        <w:t xml:space="preserve"> </w:t>
      </w:r>
      <w:r>
        <w:rPr>
          <w:i/>
          <w:iCs/>
        </w:rPr>
        <w:t xml:space="preserve">Edwards</w:t>
      </w:r>
      <w:r>
        <w:t xml:space="preserve">, “[w]hen previously convicted perpetrators of violent crimes go free merely because the evidence needed to conduct a retrial has become stale or is no longer available, the public suffers, as do the victims.”</w:t>
      </w:r>
      <w:r>
        <w:t xml:space="preserve"> </w:t>
      </w:r>
      <w:r>
        <w:rPr>
          <w:i/>
          <w:iCs/>
        </w:rPr>
        <w:t xml:space="preserve">Id.</w:t>
      </w:r>
      <w:r>
        <w:t xml:space="preserve"> </w:t>
      </w:r>
      <w:r>
        <w:t xml:space="preserve">at 1554.</w:t>
      </w:r>
    </w:p>
    <w:p>
      <w:pPr>
        <w:keepNext/>
        <w:keepLines/>
        <w:spacing w:before="336" w:after="216"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Interests</w:t>
      </w:r>
      <w:r>
        <w:rPr>
          <w:b/>
          <w:bCs/>
          <w:i/>
          <w:iCs/>
        </w:rPr>
        <w:t xml:space="preserve"> </w:t>
      </w:r>
      <w:r>
        <w:rPr>
          <w:b/>
          <w:bCs/>
          <w:i/>
          <w:iCs/>
        </w:rPr>
        <w:t xml:space="preserve">Are</w:t>
      </w:r>
      <w:r>
        <w:rPr>
          <w:b/>
          <w:bCs/>
          <w:i/>
          <w:iCs/>
        </w:rPr>
        <w:t xml:space="preserve"> </w:t>
      </w:r>
      <w:r>
        <w:rPr>
          <w:b/>
          <w:bCs/>
          <w:i/>
          <w:iCs/>
        </w:rPr>
        <w:t xml:space="preserve">Untainted</w:t>
      </w:r>
      <w:r>
        <w:rPr>
          <w:b/>
          <w:bCs/>
          <w:i/>
          <w:iCs/>
        </w:rPr>
        <w:t xml:space="preserve"> </w:t>
      </w:r>
      <w:r>
        <w:rPr>
          <w:b/>
          <w:bCs/>
          <w:i/>
          <w:iCs/>
        </w:rPr>
        <w:t xml:space="preserve">by</w:t>
      </w:r>
      <w:r>
        <w:rPr>
          <w:b/>
          <w:bCs/>
          <w:i/>
          <w:iCs/>
        </w:rPr>
        <w:t xml:space="preserve"> </w:t>
      </w:r>
      <w:r>
        <w:rPr>
          <w:b/>
          <w:bCs/>
          <w:i/>
          <w:iCs/>
        </w:rPr>
        <w:t xml:space="preserve">Race</w:t>
      </w:r>
      <w:r>
        <w:rPr>
          <w:b/>
          <w:bCs/>
          <w:i/>
          <w:iCs/>
        </w:rPr>
        <w:t xml:space="preserve"> </w:t>
      </w:r>
      <w:r>
        <w:rPr>
          <w:b/>
          <w:bCs/>
          <w:i/>
          <w:iCs/>
        </w:rPr>
        <w:t xml:space="preserve">Discrimination</w:t>
      </w:r>
    </w:p>
    <w:p>
      <w:pPr>
        <w:pStyle w:val="BodyText"/>
      </w:pPr>
      <w:r>
        <w:t xml:space="preserve">Reddick’s conviction and sentence became final in 1998—more than twenty years after Louisiana passed sweeping reforms in the Louisiana Constitutional Convention of 1973 guaranteeing “every person shall be free from discrimination based on race.” La.</w:t>
      </w:r>
      <w:r>
        <w:t xml:space="preserve"> </w:t>
      </w:r>
      <w:r>
        <w:t xml:space="preserve">Const. art. I, § 12;</w:t>
      </w:r>
      <w:r>
        <w:t xml:space="preserve"> </w:t>
      </w:r>
      <w:r>
        <w:rPr>
          <w:i/>
          <w:iCs/>
        </w:rPr>
        <w:t xml:space="preserve">see</w:t>
      </w:r>
      <w:r>
        <w:t xml:space="preserve"> </w:t>
      </w:r>
      <w:r>
        <w:rPr>
          <w:i/>
          <w:iCs/>
        </w:rPr>
        <w:t xml:space="preserve">id.</w:t>
      </w:r>
      <w:r>
        <w:t xml:space="preserve"> </w:t>
      </w:r>
      <w:r>
        <w:t xml:space="preserve">§ 3 (“No law shall discriminate against a person because of race ⁠. ⁠. ⁠. ⁠.”).</w:t>
      </w:r>
    </w:p>
    <w:p>
      <w:pPr>
        <w:pStyle w:val="BodyText"/>
      </w:pPr>
      <w:r>
        <w:t xml:space="preserve">Although Louisiana initially adopted its nonunanimous jury laws during its infamous 1898 constitutional convention, the Louisiana Legislature in 1973 “adopted a new, narrower [non-unanimity] rule, and its stated purpose [for doing so] was ‘judicial efficiency.’”</w:t>
      </w:r>
      <w:r>
        <w:t xml:space="preserve"> </w:t>
      </w:r>
      <w:r>
        <w:rPr>
          <w:i/>
          <w:iCs/>
        </w:rPr>
        <w:t xml:space="preserve">Ramos</w:t>
      </w:r>
      <w:r>
        <w:t xml:space="preserve">, 140 S. Ct. at 1426 (Alito, J., dissenting) (quoting</w:t>
      </w:r>
      <w:r>
        <w:t xml:space="preserve"> </w:t>
      </w:r>
      <w:r>
        <w:rPr>
          <w:i/>
          <w:iCs/>
        </w:rPr>
        <w:t xml:space="preserve">State</w:t>
      </w:r>
      <w:r>
        <w:rPr>
          <w:i/>
          <w:iCs/>
        </w:rPr>
        <w:t xml:space="preserve"> </w:t>
      </w:r>
      <w:r>
        <w:rPr>
          <w:i/>
          <w:iCs/>
        </w:rPr>
        <w:t xml:space="preserve">v. Hankton</w:t>
      </w:r>
      <w:r>
        <w:t xml:space="preserve">, 2012</w:t>
      </w:r>
      <w:r>
        <w:noBreakHyphen/>
      </w:r>
      <w:r>
        <w:t xml:space="preserve">0375 (La. App. 4 Cir. 8/2/13), 122 So. 3d 1028, 1038,</w:t>
      </w:r>
      <w:r>
        <w:t xml:space="preserve"> </w:t>
      </w:r>
      <w:r>
        <w:rPr>
          <w:i/>
          <w:iCs/>
        </w:rPr>
        <w:t xml:space="preserve">writ denied</w:t>
      </w:r>
      <w:r>
        <w:t xml:space="preserve">, 2013</w:t>
      </w:r>
      <w:r>
        <w:noBreakHyphen/>
      </w:r>
      <w:r>
        <w:t xml:space="preserve">2109 (La. 3/14/14), 134 So. 3d 1193);</w:t>
      </w:r>
      <w:r>
        <w:t xml:space="preserve"> </w:t>
      </w:r>
      <w:r>
        <w:rPr>
          <w:i/>
          <w:iCs/>
        </w:rPr>
        <w:t xml:space="preserve">accord</w:t>
      </w:r>
      <w:r>
        <w:t xml:space="preserve"> </w:t>
      </w:r>
      <w:r>
        <w:t xml:space="preserve">7 Records</w:t>
      </w:r>
      <w:r>
        <w:t xml:space="preserve"> </w:t>
      </w:r>
      <w:r>
        <w:t xml:space="preserve">of the Louisiana Constitutional Convention of 1973: Convention Transcripts 1184–89 (La. Constitutional Convention Records Comm’n 1977). Not even Reddick disagrees with this. In the court below, he acknowledged that the 1973 Constitutional Convention “justified allowing the non-unanimous jury verdict system to continue based on a perception that it would promote judicial efficiency.” ROA.470 (emphasis added).</w:t>
      </w:r>
    </w:p>
    <w:p>
      <w:pPr>
        <w:pStyle w:val="BodyText"/>
      </w:pPr>
      <w:r>
        <w:t xml:space="preserve">Moreover, when adopting the 10</w:t>
      </w:r>
      <w:r>
        <w:noBreakHyphen/>
      </w:r>
      <w:r>
        <w:t xml:space="preserve">2 non-unanimity rule in 1973, the legislature expressly relied on the Supreme Court’s decision in</w:t>
      </w:r>
      <w:r>
        <w:t xml:space="preserve"> </w:t>
      </w:r>
      <w:r>
        <w:rPr>
          <w:i/>
          <w:iCs/>
        </w:rPr>
        <w:t xml:space="preserve">Apodaca</w:t>
      </w:r>
      <w:r>
        <w:t xml:space="preserve">—decided in 1972—which held that such verdicts were constitutional.</w:t>
      </w:r>
      <w:r>
        <w:t xml:space="preserve"> </w:t>
      </w:r>
      <w:r>
        <w:rPr>
          <w:i/>
          <w:iCs/>
        </w:rPr>
        <w:t xml:space="preserve">See</w:t>
      </w:r>
      <w:r>
        <w:t xml:space="preserve"> </w:t>
      </w:r>
      <w:r>
        <w:t xml:space="preserve">7</w:t>
      </w:r>
      <w:r>
        <w:t xml:space="preserve"> </w:t>
      </w:r>
      <w:r>
        <w:t xml:space="preserve">Records of the Louisiana Constitutional Convention of 1973: Convention Transcripts 1184–89 (La. Constitutional Convention Records Comm’n 1977). And “reliance upon a square, unabandoned holding of the Supreme Court is always justifiable reliance[.]”</w:t>
      </w:r>
      <w:r>
        <w:t xml:space="preserve"> </w:t>
      </w:r>
      <w:r>
        <w:rPr>
          <w:i/>
          <w:iCs/>
        </w:rPr>
        <w:t xml:space="preserve">Quill</w:t>
      </w:r>
      <w:r>
        <w:rPr>
          <w:i/>
          <w:iCs/>
        </w:rPr>
        <w:t xml:space="preserve"> </w:t>
      </w:r>
      <w:r>
        <w:rPr>
          <w:i/>
          <w:iCs/>
        </w:rPr>
        <w:t xml:space="preserve">Corp. v. North Dakota</w:t>
      </w:r>
      <w:r>
        <w:t xml:space="preserve">, 504 U.S. 298, 320 (1992) (Scalia, J., concurring),</w:t>
      </w:r>
      <w:r>
        <w:t xml:space="preserve"> </w:t>
      </w:r>
      <w:r>
        <w:rPr>
          <w:i/>
          <w:iCs/>
        </w:rPr>
        <w:t xml:space="preserve">overruled by</w:t>
      </w:r>
      <w:r>
        <w:t xml:space="preserve"> </w:t>
      </w:r>
      <w:r>
        <w:rPr>
          <w:i/>
          <w:iCs/>
        </w:rPr>
        <w:t xml:space="preserve">South</w:t>
      </w:r>
      <w:r>
        <w:rPr>
          <w:i/>
          <w:iCs/>
        </w:rPr>
        <w:t xml:space="preserve"> </w:t>
      </w:r>
      <w:r>
        <w:rPr>
          <w:i/>
          <w:iCs/>
        </w:rPr>
        <w:t xml:space="preserve">Dakota v. Wayfair, Inc.</w:t>
      </w:r>
      <w:r>
        <w:t xml:space="preserve">, 138 S. Ct. 2080 (2018). The Supreme Court in</w:t>
      </w:r>
      <w:r>
        <w:t xml:space="preserve"> </w:t>
      </w:r>
      <w:r>
        <w:rPr>
          <w:i/>
          <w:iCs/>
        </w:rPr>
        <w:t xml:space="preserve">Allen</w:t>
      </w:r>
      <w:r>
        <w:t xml:space="preserve"> </w:t>
      </w:r>
      <w:r>
        <w:t xml:space="preserve">found this to be a highly pertinent consideration in the retroactivity analysis: Because “prosecutors, trial judges, and appellate courts throughout our state and federal systems justifiably have relied on the standard of [previous precedent],” the Court found the “reliance interest of law enforcement officials” to be a “compelling” reason why the new</w:t>
      </w:r>
      <w:r>
        <w:t xml:space="preserve"> </w:t>
      </w:r>
      <w:r>
        <w:rPr>
          <w:i/>
          <w:iCs/>
        </w:rPr>
        <w:t xml:space="preserve">Batson</w:t>
      </w:r>
      <w:r>
        <w:t xml:space="preserve"> </w:t>
      </w:r>
      <w:r>
        <w:t xml:space="preserve">rule “should not be retroactive.” 478</w:t>
      </w:r>
      <w:r>
        <w:t xml:space="preserve"> </w:t>
      </w:r>
      <w:r>
        <w:t xml:space="preserve">U.S. at 260.</w:t>
      </w:r>
    </w:p>
    <w:p>
      <w:pPr>
        <w:pStyle w:val="BodyText"/>
      </w:pPr>
      <w:r>
        <w:t xml:space="preserve">The Supreme Court has reserved the question of whether a facially race-neutral provision, through legislative amendment or reenactment, can overcome any taint of racial animus associated with its original enactment.</w:t>
      </w:r>
      <w:r>
        <w:t xml:space="preserve"> </w:t>
      </w:r>
      <w:r>
        <w:rPr>
          <w:i/>
          <w:iCs/>
        </w:rPr>
        <w:t xml:space="preserve">Hunter</w:t>
      </w:r>
      <w:r>
        <w:rPr>
          <w:i/>
          <w:iCs/>
        </w:rPr>
        <w:t xml:space="preserve"> </w:t>
      </w:r>
      <w:r>
        <w:rPr>
          <w:i/>
          <w:iCs/>
        </w:rPr>
        <w:t xml:space="preserve">v. Underwood</w:t>
      </w:r>
      <w:r>
        <w:t xml:space="preserve">, 471 U.S. 222, 233 (1985). But every federal circuit court to address that question has held that impermissible motives associated with the enactment of a race-neutral provision are cleansed when a legislature, acting without racial animus, reenacts or amends the law.</w:t>
      </w:r>
      <w:r>
        <w:t xml:space="preserve"> </w:t>
      </w:r>
      <w:r>
        <w:rPr>
          <w:i/>
          <w:iCs/>
        </w:rPr>
        <w:t xml:space="preserve">See, e.g.</w:t>
      </w:r>
      <w:r>
        <w:t xml:space="preserve">,</w:t>
      </w:r>
      <w:r>
        <w:t xml:space="preserve"> </w:t>
      </w:r>
      <w:r>
        <w:rPr>
          <w:i/>
          <w:iCs/>
        </w:rPr>
        <w:t xml:space="preserve">Hayden</w:t>
      </w:r>
      <w:r>
        <w:rPr>
          <w:i/>
          <w:iCs/>
        </w:rPr>
        <w:t xml:space="preserve"> </w:t>
      </w:r>
      <w:r>
        <w:rPr>
          <w:i/>
          <w:iCs/>
        </w:rPr>
        <w:t xml:space="preserve">v. Paterson</w:t>
      </w:r>
      <w:r>
        <w:t xml:space="preserve">, 594 F.3d 150, 166–67 (2d Cir. 2010);</w:t>
      </w:r>
      <w:r>
        <w:t xml:space="preserve"> </w:t>
      </w:r>
      <w:r>
        <w:rPr>
          <w:i/>
          <w:iCs/>
        </w:rPr>
        <w:t xml:space="preserve">Johnson</w:t>
      </w:r>
      <w:r>
        <w:rPr>
          <w:i/>
          <w:iCs/>
        </w:rPr>
        <w:t xml:space="preserve"> </w:t>
      </w:r>
      <w:r>
        <w:rPr>
          <w:i/>
          <w:iCs/>
        </w:rPr>
        <w:t xml:space="preserve">v. Governor of State of Fla.</w:t>
      </w:r>
      <w:r>
        <w:t xml:space="preserve">, 405 F.3d 1214, 1224 (11th Cir. 2005) (“Florida’s 1968 re-enactment eliminated any taint from the allegedly discriminatory 1868 provision.”);</w:t>
      </w:r>
      <w:r>
        <w:t xml:space="preserve"> </w:t>
      </w:r>
      <w:r>
        <w:rPr>
          <w:i/>
          <w:iCs/>
        </w:rPr>
        <w:t xml:space="preserve">Chen</w:t>
      </w:r>
      <w:r>
        <w:rPr>
          <w:i/>
          <w:iCs/>
        </w:rPr>
        <w:t xml:space="preserve"> </w:t>
      </w:r>
      <w:r>
        <w:rPr>
          <w:i/>
          <w:iCs/>
        </w:rPr>
        <w:t xml:space="preserve">v. City of Hous.</w:t>
      </w:r>
      <w:r>
        <w:t xml:space="preserve">, 206 F.3d 502, 521 (5th Cir. 2000);</w:t>
      </w:r>
      <w:r>
        <w:t xml:space="preserve"> </w:t>
      </w:r>
      <w:r>
        <w:rPr>
          <w:i/>
          <w:iCs/>
        </w:rPr>
        <w:t xml:space="preserve">Cotton</w:t>
      </w:r>
      <w:r>
        <w:rPr>
          <w:i/>
          <w:iCs/>
        </w:rPr>
        <w:t xml:space="preserve"> </w:t>
      </w:r>
      <w:r>
        <w:rPr>
          <w:i/>
          <w:iCs/>
        </w:rPr>
        <w:t xml:space="preserve">v. Fordice</w:t>
      </w:r>
      <w:r>
        <w:t xml:space="preserve">, 157 F.3d 388, 392 (5th Cir. 1998);</w:t>
      </w:r>
      <w:r>
        <w:t xml:space="preserve"> </w:t>
      </w:r>
      <w:r>
        <w:rPr>
          <w:i/>
          <w:iCs/>
        </w:rPr>
        <w:t xml:space="preserve">United</w:t>
      </w:r>
      <w:r>
        <w:rPr>
          <w:i/>
          <w:iCs/>
        </w:rPr>
        <w:t xml:space="preserve"> </w:t>
      </w:r>
      <w:r>
        <w:rPr>
          <w:i/>
          <w:iCs/>
        </w:rPr>
        <w:t xml:space="preserve">States v. Johnson</w:t>
      </w:r>
      <w:r>
        <w:t xml:space="preserve">, 40 F.3d 436, 440 (D.C. Cir. 1994) (“In light of the changes in American society since 1914, changes in no small way effected by successive Congresses—including the impact of the Voting Rights Act on the nature of Congress itself—it would be anomalous to attempt to tar the present Congress with the racist brush of a pre-World War I debate.”).</w:t>
      </w:r>
    </w:p>
    <w:p>
      <w:pPr>
        <w:pStyle w:val="BodyText"/>
      </w:pPr>
      <w:r>
        <w:t xml:space="preserve">The Louisiana Legislature unquestionably cleansed its non-unanimous jury law of any purported racial animus when it re-adopted a narrower form of that policy through a constitutional convention that no one suggested was tainted by racial animus. Louisiana’s powerful and legitimate finality interests in Reddick’s conviction are unimpaired by any racial taint.</w:t>
      </w:r>
    </w:p>
    <w:p>
      <w:pPr>
        <w:pStyle w:val="BodyText"/>
      </w:pPr>
      <w:r>
        <w:t xml:space="preserve">Reddick contends that “the non-unanimous jury verdict rule functioned just as its white supremacist framers intended.” ROA.525. Presumably he means the rule has a disparate impact against Black Louisianians. Louisiana denies that the record establishes any such disparate impact exists. But, in any event, is it well established that disparate impacts alone do not rise to the level of constitutional violations.</w:t>
      </w:r>
      <w:r>
        <w:t xml:space="preserve"> </w:t>
      </w:r>
      <w:r>
        <w:rPr>
          <w:i/>
          <w:iCs/>
        </w:rPr>
        <w:t xml:space="preserve">See</w:t>
      </w:r>
      <w:r>
        <w:t xml:space="preserve"> </w:t>
      </w:r>
      <w:r>
        <w:rPr>
          <w:i/>
          <w:iCs/>
        </w:rPr>
        <w:t xml:space="preserve">Washington</w:t>
      </w:r>
      <w:r>
        <w:rPr>
          <w:i/>
          <w:iCs/>
        </w:rPr>
        <w:t xml:space="preserve"> </w:t>
      </w:r>
      <w:r>
        <w:rPr>
          <w:i/>
          <w:iCs/>
        </w:rPr>
        <w:t xml:space="preserve">v. Davis</w:t>
      </w:r>
      <w:r>
        <w:t xml:space="preserve">, 426 U.S. 229 (1976). Disparate racial impact is irrelevant to the retroactivity analysis; if it were, then surely the Supreme Court would have decided</w:t>
      </w:r>
      <w:r>
        <w:t xml:space="preserve"> </w:t>
      </w:r>
      <w:r>
        <w:rPr>
          <w:i/>
          <w:iCs/>
        </w:rPr>
        <w:t xml:space="preserve">Allen</w:t>
      </w:r>
      <w:r>
        <w:t xml:space="preserve"> </w:t>
      </w:r>
      <w:r>
        <w:t xml:space="preserve">the other way and applied</w:t>
      </w:r>
      <w:r>
        <w:t xml:space="preserve"> </w:t>
      </w:r>
      <w:r>
        <w:rPr>
          <w:i/>
          <w:iCs/>
        </w:rPr>
        <w:t xml:space="preserve">Batson</w:t>
      </w:r>
      <w:r>
        <w:t xml:space="preserve"> </w:t>
      </w:r>
      <w:r>
        <w:t xml:space="preserve">retroactively.</w:t>
      </w:r>
    </w:p>
    <w:p>
      <w:pPr>
        <w:pStyle w:val="BodyText"/>
      </w:pPr>
      <w:r>
        <w:t xml:space="preserve">In any event, concerns about the racial effects of the non-unanimity policy were front and center when that issue was put before Louisiana voters in 2018. And, based in part on those concerns, the People voted to amend the Louisiana Constitution to require unanimity—but to do so only on a prospective basis, without undoing existing convictions.</w:t>
      </w:r>
      <w:r>
        <w:t xml:space="preserve"> </w:t>
      </w:r>
      <w:r>
        <w:rPr>
          <w:i/>
          <w:iCs/>
        </w:rPr>
        <w:t xml:space="preserve">See</w:t>
      </w:r>
      <w:r>
        <w:t xml:space="preserve"> </w:t>
      </w:r>
      <w:r>
        <w:t xml:space="preserve">Senate Bill No. 243 (2018) (proposing amendment that would mandate unanimity for “offenses committed on and after January 1, 2019”). In short, the citizens of Louisiana engaged in a “prompt and considered legislative response” to concerns about the non-unanimity rule.</w:t>
      </w:r>
      <w:r>
        <w:t xml:space="preserve"> </w:t>
      </w:r>
      <w:r>
        <w:rPr>
          <w:i/>
          <w:iCs/>
        </w:rPr>
        <w:t xml:space="preserve">District</w:t>
      </w:r>
      <w:r>
        <w:rPr>
          <w:i/>
          <w:iCs/>
        </w:rPr>
        <w:t xml:space="preserve"> </w:t>
      </w:r>
      <w:r>
        <w:rPr>
          <w:i/>
          <w:iCs/>
        </w:rPr>
        <w:t xml:space="preserve">Attorney’s Office for Third Judicial Dist. v. Osborne</w:t>
      </w:r>
      <w:r>
        <w:t xml:space="preserve">, 557 U.S. 52, 72–73 (2009). This Court should not “short-circuit” the political process that led to a constitutional amendment abolishing non-unanimous verdicts on a prospective basis only.</w:t>
      </w:r>
    </w:p>
    <w:p>
      <w:pPr>
        <w:pStyle w:val="BodyText"/>
      </w:pPr>
      <w:r>
        <w:t xml:space="preserve">It is important to emphasize that there is nothing inherently invidious or fundamentally unfair about allowing convictions based on non-unanimous verdicts. Quite the opposite. As noted, many developed countries, including some of the country’s closest allies, have moved toward non-unanimous verdicts in recent years. Prominent scholars such as Akhil Amar have urged reconsideration of unanimity rules. And major professional organizations such as the American Bar Association and American Law Institute championed a movement away from unanimity in the years leading up to</w:t>
      </w:r>
      <w:r>
        <w:t xml:space="preserve"> </w:t>
      </w:r>
      <w:r>
        <w:rPr>
          <w:i/>
          <w:iCs/>
        </w:rPr>
        <w:t xml:space="preserve">Apodaca</w:t>
      </w:r>
      <w:r>
        <w:t xml:space="preserve">.</w:t>
      </w:r>
      <w:r>
        <w:t xml:space="preserve"> </w:t>
      </w:r>
      <w:r>
        <w:rPr>
          <w:i/>
          <w:iCs/>
        </w:rPr>
        <w:t xml:space="preserve">See</w:t>
      </w:r>
      <w:r>
        <w:t xml:space="preserve"> </w:t>
      </w:r>
      <w:r>
        <w:t xml:space="preserve">American</w:t>
      </w:r>
      <w:r>
        <w:t xml:space="preserve"> </w:t>
      </w:r>
      <w:r>
        <w:t xml:space="preserve">Bar Association,</w:t>
      </w:r>
      <w:r>
        <w:t xml:space="preserve"> </w:t>
      </w:r>
      <w:r>
        <w:rPr>
          <w:i/>
          <w:iCs/>
        </w:rPr>
        <w:t xml:space="preserve">Project on Standards for Criminal Justice</w:t>
      </w:r>
      <w:r>
        <w:t xml:space="preserve">, Trial By Jury § 1.1 (1968); ALI,</w:t>
      </w:r>
      <w:r>
        <w:t xml:space="preserve"> </w:t>
      </w:r>
      <w:r>
        <w:rPr>
          <w:i/>
          <w:iCs/>
        </w:rPr>
        <w:t xml:space="preserve">Code of Criminal Procedure</w:t>
      </w:r>
      <w:r>
        <w:t xml:space="preserve"> </w:t>
      </w:r>
      <w:r>
        <w:t xml:space="preserve">§355 (1930). As Justice Kavanaugh correctly observed in his concurring opinion in</w:t>
      </w:r>
      <w:r>
        <w:t xml:space="preserve"> </w:t>
      </w:r>
      <w:r>
        <w:rPr>
          <w:i/>
          <w:iCs/>
        </w:rPr>
        <w:t xml:space="preserve">Ramos</w:t>
      </w:r>
      <w:r>
        <w:t xml:space="preserve">: “[O]ne could advocate for and justify a non-unanimous jury rule by resort to neutral and legitimate principles.”</w:t>
      </w:r>
      <w:r>
        <w:t xml:space="preserve"> </w:t>
      </w:r>
      <w:r>
        <w:rPr>
          <w:i/>
          <w:iCs/>
        </w:rPr>
        <w:t xml:space="preserve">Ramos</w:t>
      </w:r>
      <w:r>
        <w:t xml:space="preserve">, 140 S. Ct. at 1418 (Kavanaugh, J., concurring);</w:t>
      </w:r>
      <w:r>
        <w:t xml:space="preserve"> </w:t>
      </w:r>
      <w:r>
        <w:rPr>
          <w:i/>
          <w:iCs/>
        </w:rPr>
        <w:t xml:space="preserve">see also id.</w:t>
      </w:r>
      <w:r>
        <w:t xml:space="preserve"> </w:t>
      </w:r>
      <w:r>
        <w:t xml:space="preserve">at 1427 (Alito, J., dissenting) (finding it “undeniably false” that “there were no legitimate reasons” to adopt a non-unanimity rule).</w:t>
      </w:r>
    </w:p>
    <w:p>
      <w:pPr>
        <w:pStyle w:val="BodyText"/>
      </w:pPr>
      <w:r>
        <w:t xml:space="preserve">In sum, Louisiana’s interests in its non-unanimous convictions are overwhelming and untainted by improper racial discrimination. The State took the Supreme Court at its word in</w:t>
      </w:r>
      <w:r>
        <w:t xml:space="preserve"> </w:t>
      </w:r>
      <w:r>
        <w:rPr>
          <w:i/>
          <w:iCs/>
        </w:rPr>
        <w:t xml:space="preserve">Apodaca</w:t>
      </w:r>
      <w:r>
        <w:t xml:space="preserve"> </w:t>
      </w:r>
      <w:r>
        <w:t xml:space="preserve">when it upheld the constitutionality of non-unanimous verdicts in state courts. In light of that decision, the State held a constitutional convention—in which it passed sweeping reforms guaranteeing racial equality—and employed the 10</w:t>
      </w:r>
      <w:r>
        <w:noBreakHyphen/>
      </w:r>
      <w:r>
        <w:t xml:space="preserve">2 rule for the purposes of enhancing judicial efficiency. The people of Louisiana—especially the victims of past crimes—will suffer greatly if the State must now redo decades worth of work that it conducted in good faith.</w:t>
      </w:r>
    </w:p>
    <w:p>
      <w:pPr>
        <w:pStyle w:val="BodyText"/>
      </w:pPr>
      <w:r>
        <w:t xml:space="preserve">At bottom, what matters is that Reddick received “a full trial and one round of appeals in which the State faithfully applied the Constitution as [the Court] understood it at the time.”</w:t>
      </w:r>
      <w:r>
        <w:t xml:space="preserve"> </w:t>
      </w:r>
      <w:r>
        <w:rPr>
          <w:i/>
          <w:iCs/>
        </w:rPr>
        <w:t xml:space="preserve">Summerlin</w:t>
      </w:r>
      <w:r>
        <w:t xml:space="preserve">, 542 U.S. at 358. He should not be able to “continue to litigate his claims indefinitely in hopes that [this Court] will one day have a change of heart.”</w:t>
      </w:r>
      <w:r>
        <w:t xml:space="preserve"> </w:t>
      </w:r>
      <w:r>
        <w:rPr>
          <w:i/>
          <w:iCs/>
        </w:rPr>
        <w:t xml:space="preserve">Id.</w:t>
      </w:r>
    </w:p>
    <w:p>
      <w:pPr>
        <w:keepNext/>
        <w:keepLines/>
        <w:spacing w:before="288" w:after="240" w:line="276" w:lineRule="exact"/>
        <w:ind w:left="0" w:firstLine="0"/>
        <w:jc w:val="center"/>
      </w:pPr>
      <w:r>
        <w:rPr>
          <w:b/>
          <w:bCs/>
        </w:rPr>
        <w:t xml:space="preserve">CONCLUSION</w:t>
      </w:r>
    </w:p>
    <w:p>
      <w:pPr>
        <w:pStyle w:val="BodyText"/>
      </w:pPr>
      <w:r>
        <w:t xml:space="preserve">The State respectfully urges the Court to reverse the lower court’s decision and hold that new procedural rules never apply retroactively on state post-conviction review. Alternatively, the State asks the Court to reverse the lower court and hold that</w:t>
      </w:r>
      <w:r>
        <w:t xml:space="preserve"> </w:t>
      </w:r>
      <w:r>
        <w:rPr>
          <w:i/>
          <w:iCs/>
        </w:rPr>
        <w:t xml:space="preserve">Ramos</w:t>
      </w:r>
      <w:r>
        <w:t xml:space="preserve"> </w:t>
      </w:r>
      <w:r>
        <w:t xml:space="preserve">did not announce a new “watershed” rule of criminal procedure.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JEFF</w:t>
                  </w:r>
                  <w:r>
                    <w:t xml:space="preserve"> </w:t>
                  </w:r>
                  <w:r>
                    <w:t xml:space="preserve">LANDRY</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p>
                <w:p>
                  <w:pPr>
                    <w:spacing w:before="0" w:after="0" w:line="276" w:lineRule="exact"/>
                    <w:ind w:left="0" w:firstLine="0"/>
                    <w:jc w:val="left"/>
                  </w:pPr>
                  <w:r>
                    <w:t xml:space="preserve">/s/</w:t>
                  </w:r>
                  <w:r>
                    <w:t xml:space="preserve"> </w:t>
                  </w:r>
                  <w:r>
                    <w:t xml:space="preserve">Shae</w:t>
                  </w:r>
                  <w:r>
                    <w:t xml:space="preserve"> </w:t>
                  </w:r>
                  <w:r>
                    <w:t xml:space="preserve">McPhee</w:t>
                  </w:r>
                </w:p>
                <w:p>
                  <w:pPr>
                    <w:spacing w:before="0" w:after="0" w:line="276" w:lineRule="exact"/>
                    <w:ind w:left="0" w:firstLine="0"/>
                    <w:jc w:val="left"/>
                  </w:pPr>
                  <w:r>
                    <w:t xml:space="preserve">_______________________________</w:t>
                  </w:r>
                </w:p>
                <w:p>
                  <w:pPr>
                    <w:spacing w:before="0" w:after="0" w:line="276" w:lineRule="exact"/>
                    <w:ind w:left="0" w:firstLine="0"/>
                    <w:jc w:val="left"/>
                  </w:pPr>
                  <w:r>
                    <w:t xml:space="preserve">ELIZABETH</w:t>
                  </w:r>
                  <w:r>
                    <w:t xml:space="preserve"> </w:t>
                  </w:r>
                  <w:r>
                    <w:t xml:space="preserve">BAKER</w:t>
                  </w:r>
                  <w:r>
                    <w:t xml:space="preserve"> </w:t>
                  </w:r>
                  <w:r>
                    <w:t xml:space="preserve">MURRILL</w:t>
                  </w:r>
                  <w:r>
                    <w:t xml:space="preserve"> </w:t>
                  </w:r>
                  <w:r>
                    <w:t xml:space="preserve">(#20685)</w:t>
                  </w:r>
                </w:p>
                <w:p>
                  <w:pPr>
                    <w:spacing w:before="0" w:after="0" w:line="276" w:lineRule="exact"/>
                    <w:ind w:left="0" w:firstLine="0"/>
                    <w:jc w:val="left"/>
                  </w:pPr>
                  <w:r>
                    <w:t xml:space="preserve">Solicitor</w:t>
                  </w:r>
                  <w:r>
                    <w:t xml:space="preserve"> </w:t>
                  </w:r>
                  <w:r>
                    <w:t xml:space="preserve">General</w:t>
                  </w:r>
                </w:p>
                <w:p>
                  <w:pPr>
                    <w:spacing w:before="0" w:after="0" w:line="276" w:lineRule="exact"/>
                    <w:ind w:left="0" w:firstLine="0"/>
                    <w:jc w:val="left"/>
                  </w:pPr>
                  <w:r>
                    <w:t xml:space="preserve">SHAE</w:t>
                  </w:r>
                  <w:r>
                    <w:t xml:space="preserve"> </w:t>
                  </w:r>
                  <w:r>
                    <w:t xml:space="preserve">MCPHEE</w:t>
                  </w:r>
                  <w:r>
                    <w:t xml:space="preserve"> </w:t>
                  </w:r>
                  <w:r>
                    <w:t xml:space="preserve">(#38565)</w:t>
                  </w:r>
                </w:p>
                <w:p>
                  <w:pPr>
                    <w:spacing w:before="0" w:after="0" w:line="276" w:lineRule="exact"/>
                    <w:ind w:left="0" w:firstLine="0"/>
                    <w:jc w:val="left"/>
                  </w:pPr>
                  <w:r>
                    <w:t xml:space="preserve">Deputy</w:t>
                  </w:r>
                  <w:r>
                    <w:t xml:space="preserve"> </w:t>
                  </w:r>
                  <w:r>
                    <w:t xml:space="preserve">Solicitor</w:t>
                  </w:r>
                  <w:r>
                    <w:t xml:space="preserve"> </w:t>
                  </w:r>
                  <w:r>
                    <w:t xml:space="preserve">General</w:t>
                  </w:r>
                </w:p>
                <w:p>
                  <w:pPr>
                    <w:spacing w:before="0" w:after="0" w:line="276" w:lineRule="exact"/>
                    <w:ind w:left="0" w:firstLine="0"/>
                    <w:jc w:val="left"/>
                  </w:pPr>
                  <w:r>
                    <w:t xml:space="preserve">Lead</w:t>
                  </w:r>
                  <w:r>
                    <w:t xml:space="preserve"> </w:t>
                  </w:r>
                  <w:r>
                    <w:t xml:space="preserve">Counsel</w:t>
                  </w:r>
                </w:p>
                <w:p>
                  <w:pPr>
                    <w:spacing w:before="0" w:after="0" w:line="276" w:lineRule="exact"/>
                    <w:ind w:left="0" w:firstLine="0"/>
                    <w:jc w:val="left"/>
                  </w:pPr>
                  <w:r>
                    <w:t xml:space="preserve">J.</w:t>
                  </w:r>
                  <w:r>
                    <w:t xml:space="preserve"> </w:t>
                  </w:r>
                  <w:r>
                    <w:t xml:space="preserve">Taylor</w:t>
                  </w:r>
                  <w:r>
                    <w:t xml:space="preserve"> </w:t>
                  </w:r>
                  <w:r>
                    <w:t xml:space="preserve">Gray</w:t>
                  </w:r>
                  <w:r>
                    <w:t xml:space="preserve"> </w:t>
                  </w:r>
                  <w:r>
                    <w:t xml:space="preserve">(#33562)</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Louisiana</w:t>
                  </w:r>
                  <w:r>
                    <w:t xml:space="preserve"> </w:t>
                  </w:r>
                  <w:r>
                    <w:t xml:space="preserve">Department</w:t>
                  </w:r>
                  <w:r>
                    <w:t xml:space="preserve"> </w:t>
                  </w:r>
                  <w:r>
                    <w:t xml:space="preserve">of</w:t>
                  </w:r>
                  <w:r>
                    <w:t xml:space="preserve"> </w:t>
                  </w:r>
                  <w:r>
                    <w:t xml:space="preserve">Justice</w:t>
                  </w:r>
                </w:p>
                <w:p>
                  <w:pPr>
                    <w:spacing w:before="0" w:after="0" w:line="276" w:lineRule="exact"/>
                    <w:ind w:left="0" w:firstLine="0"/>
                    <w:jc w:val="left"/>
                  </w:pPr>
                  <w:r>
                    <w:t xml:space="preserve">909</w:t>
                  </w:r>
                  <w:r>
                    <w:t xml:space="preserve"> </w:t>
                  </w:r>
                  <w:r>
                    <w:t xml:space="preserve">Poydras</w:t>
                  </w:r>
                  <w:r>
                    <w:t xml:space="preserve"> </w:t>
                  </w:r>
                  <w:r>
                    <w:t xml:space="preserve">Street,</w:t>
                  </w:r>
                  <w:r>
                    <w:t xml:space="preserve"> </w:t>
                  </w:r>
                  <w:r>
                    <w:t xml:space="preserve">Suite</w:t>
                  </w:r>
                  <w:r>
                    <w:t xml:space="preserve"> </w:t>
                  </w:r>
                  <w:r>
                    <w:t xml:space="preserve">1850</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70112</w:t>
                  </w:r>
                </w:p>
                <w:p>
                  <w:pPr>
                    <w:spacing w:before="0" w:after="0" w:line="276" w:lineRule="exact"/>
                    <w:ind w:left="0" w:firstLine="0"/>
                    <w:jc w:val="left"/>
                  </w:pPr>
                  <w:r>
                    <w:t xml:space="preserve">Telephone:</w:t>
                  </w:r>
                  <w:r>
                    <w:t xml:space="preserve"> </w:t>
                  </w:r>
                  <w:r>
                    <w:t xml:space="preserve">(225)</w:t>
                  </w:r>
                  <w:r>
                    <w:t xml:space="preserve"> </w:t>
                  </w:r>
                  <w:r>
                    <w:t xml:space="preserve">938</w:t>
                    <w:noBreakHyphen/>
                    <w:t xml:space="preserve">0779</w:t>
                  </w:r>
                </w:p>
                <w:p>
                  <w:pPr>
                    <w:spacing w:before="0" w:after="0" w:line="276" w:lineRule="exact"/>
                    <w:ind w:left="0" w:firstLine="0"/>
                    <w:jc w:val="left"/>
                  </w:pPr>
                  <w:r>
                    <w:t xml:space="preserve">Facsimile:</w:t>
                  </w:r>
                  <w:r>
                    <w:t xml:space="preserve"> </w:t>
                  </w:r>
                  <w:r>
                    <w:t xml:space="preserve">(504)</w:t>
                  </w:r>
                  <w:r>
                    <w:t xml:space="preserve"> </w:t>
                  </w:r>
                  <w:r>
                    <w:t xml:space="preserve">556</w:t>
                    <w:noBreakHyphen/>
                    <w:t xml:space="preserve">9900</w:t>
                  </w:r>
                </w:p>
                <w:p>
                  <w:pPr>
                    <w:spacing w:before="0" w:after="0" w:line="276" w:lineRule="exact"/>
                    <w:ind w:left="0" w:firstLine="0"/>
                    <w:jc w:val="left"/>
                  </w:pPr>
                  <w:r>
                    <w:t xml:space="preserve">mcphees@ag.louisiana.gov</w:t>
                  </w:r>
                </w:p>
              </w:tc>
              <w:tc>
                <w:tcPr>
                  <w:tcW w:w="4896" w:type="dxa"/>
                  <w:tcMar>
                    <w:left w:w="432" w:type="dxa"/>
                  </w:tcMar>
                </w:tcPr>
                <w:p>
                  <w:pPr>
                    <w:spacing w:before="0" w:after="0" w:line="276" w:lineRule="exact"/>
                    <w:ind w:left="0" w:firstLine="0"/>
                    <w:jc w:val="left"/>
                  </w:pPr>
                  <w:r>
                    <w:t xml:space="preserve">CHARLES</w:t>
                  </w:r>
                  <w:r>
                    <w:t xml:space="preserve"> </w:t>
                  </w:r>
                  <w:r>
                    <w:t xml:space="preserve">J.</w:t>
                  </w:r>
                  <w:r>
                    <w:t xml:space="preserve"> </w:t>
                  </w:r>
                  <w:r>
                    <w:t xml:space="preserve">BALLAY</w:t>
                  </w:r>
                  <w:r>
                    <w:t xml:space="preserve"> </w:t>
                  </w:r>
                  <w:r>
                    <w:t xml:space="preserve">(#2719)</w:t>
                  </w:r>
                </w:p>
                <w:p>
                  <w:pPr>
                    <w:spacing w:before="0" w:after="0" w:line="276" w:lineRule="exact"/>
                    <w:ind w:left="0" w:firstLine="0"/>
                    <w:jc w:val="left"/>
                  </w:pPr>
                  <w:r>
                    <w:t xml:space="preserve">DISTRICT</w:t>
                  </w:r>
                  <w:r>
                    <w:t xml:space="preserve"> </w:t>
                  </w:r>
                  <w:r>
                    <w:t xml:space="preserve">ATTORNEY</w:t>
                  </w:r>
                </w:p>
                <w:p>
                  <w:pPr>
                    <w:spacing w:before="0" w:after="0" w:line="276" w:lineRule="exact"/>
                    <w:ind w:left="0" w:firstLine="0"/>
                    <w:jc w:val="left"/>
                  </w:pPr>
                  <w:r>
                    <w:t xml:space="preserve">25th</w:t>
                  </w:r>
                  <w:r>
                    <w:t xml:space="preserve"> </w:t>
                  </w:r>
                  <w:r>
                    <w:t xml:space="preserve">Judicial</w:t>
                  </w:r>
                  <w:r>
                    <w:t xml:space="preserve"> </w:t>
                  </w:r>
                  <w:r>
                    <w:t xml:space="preserve">District</w:t>
                  </w:r>
                </w:p>
                <w:p>
                  <w:pPr>
                    <w:spacing w:before="0" w:after="0" w:line="276" w:lineRule="exact"/>
                    <w:ind w:left="0" w:firstLine="0"/>
                    <w:jc w:val="left"/>
                  </w:pPr>
                  <w:r>
                    <w:t xml:space="preserve">333</w:t>
                  </w:r>
                  <w:r>
                    <w:t xml:space="preserve"> </w:t>
                  </w:r>
                  <w:r>
                    <w:t xml:space="preserve">F.</w:t>
                  </w:r>
                  <w:r>
                    <w:t xml:space="preserve"> </w:t>
                  </w:r>
                  <w:r>
                    <w:t xml:space="preserve">Edward</w:t>
                  </w:r>
                  <w:r>
                    <w:t xml:space="preserve"> </w:t>
                  </w:r>
                  <w:r>
                    <w:t xml:space="preserve">Hebert</w:t>
                  </w:r>
                  <w:r>
                    <w:t xml:space="preserve"> </w:t>
                  </w:r>
                  <w:r>
                    <w:t xml:space="preserve">Blvd.,</w:t>
                  </w:r>
                  <w:r>
                    <w:t xml:space="preserve"> </w:t>
                  </w:r>
                  <w:r>
                    <w:t xml:space="preserve">Bldg.</w:t>
                  </w:r>
                  <w:r>
                    <w:t xml:space="preserve"> </w:t>
                  </w:r>
                  <w:r>
                    <w:t xml:space="preserve">201</w:t>
                  </w:r>
                </w:p>
                <w:p>
                  <w:pPr>
                    <w:spacing w:before="0" w:after="0" w:line="276" w:lineRule="exact"/>
                    <w:ind w:left="0" w:firstLine="0"/>
                    <w:jc w:val="left"/>
                  </w:pPr>
                  <w:r>
                    <w:t xml:space="preserve">Belle</w:t>
                  </w:r>
                  <w:r>
                    <w:t xml:space="preserve"> </w:t>
                  </w:r>
                  <w:r>
                    <w:t xml:space="preserve">Chasse,</w:t>
                  </w:r>
                  <w:r>
                    <w:t xml:space="preserve"> </w:t>
                  </w:r>
                  <w:r>
                    <w:t xml:space="preserve">LA</w:t>
                  </w:r>
                  <w:r>
                    <w:t xml:space="preserve"> </w:t>
                  </w:r>
                  <w:r>
                    <w:t xml:space="preserve">70037</w:t>
                  </w:r>
                </w:p>
                <w:p>
                  <w:pPr>
                    <w:spacing w:before="0" w:after="0" w:line="276" w:lineRule="exact"/>
                    <w:ind w:left="0" w:firstLine="0"/>
                    <w:jc w:val="left"/>
                  </w:pPr>
                  <w:r>
                    <w:t xml:space="preserve">Telephone:</w:t>
                  </w:r>
                  <w:r>
                    <w:t xml:space="preserve"> </w:t>
                  </w:r>
                  <w:r>
                    <w:t xml:space="preserve">(504)</w:t>
                  </w:r>
                  <w:r>
                    <w:t xml:space="preserve"> </w:t>
                  </w:r>
                  <w:r>
                    <w:t xml:space="preserve">934</w:t>
                    <w:noBreakHyphen/>
                    <w:t xml:space="preserve">6630</w:t>
                  </w:r>
                </w:p>
                <w:p>
                  <w:pPr>
                    <w:spacing w:before="0" w:after="0" w:line="276" w:lineRule="exact"/>
                    <w:ind w:left="0" w:firstLine="0"/>
                    <w:jc w:val="left"/>
                  </w:pPr>
                  <w:r>
                    <w:t xml:space="preserve">charlesballay@25thda.org</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all</w:t>
      </w:r>
      <w:r>
        <w:t xml:space="preserve"> </w:t>
      </w:r>
      <w:r>
        <w:t xml:space="preserve">of</w:t>
      </w:r>
      <w:r>
        <w:t xml:space="preserve"> </w:t>
      </w:r>
      <w:r>
        <w:t xml:space="preserve">the</w:t>
      </w:r>
      <w:r>
        <w:t xml:space="preserve"> </w:t>
      </w:r>
      <w:r>
        <w:t xml:space="preserve">information</w:t>
      </w:r>
      <w:r>
        <w:t xml:space="preserve"> </w:t>
      </w:r>
      <w:r>
        <w:t xml:space="preserve">contained</w:t>
      </w:r>
      <w:r>
        <w:t xml:space="preserve"> </w:t>
      </w:r>
      <w:r>
        <w:t xml:space="preserve">in</w:t>
      </w:r>
      <w:r>
        <w:t xml:space="preserve"> </w:t>
      </w:r>
      <w:r>
        <w:t xml:space="preserve">Louisiana’s</w:t>
      </w:r>
      <w:r>
        <w:t xml:space="preserve"> </w:t>
      </w:r>
      <w:r>
        <w:t xml:space="preserve">Original</w:t>
      </w:r>
      <w:r>
        <w:t xml:space="preserve"> </w:t>
      </w:r>
      <w:r>
        <w:t xml:space="preserve">Brief,</w:t>
      </w:r>
      <w:r>
        <w:t xml:space="preserve"> </w:t>
      </w:r>
      <w:r>
        <w:t xml:space="preserve">by</w:t>
      </w:r>
      <w:r>
        <w:t xml:space="preserve"> </w:t>
      </w:r>
      <w:r>
        <w:t xml:space="preserve">the</w:t>
      </w:r>
      <w:r>
        <w:t xml:space="preserve"> </w:t>
      </w:r>
      <w:r>
        <w:t xml:space="preserve">State</w:t>
      </w:r>
      <w:r>
        <w:t xml:space="preserve"> </w:t>
      </w:r>
      <w:r>
        <w:t xml:space="preserve">of</w:t>
      </w:r>
      <w:r>
        <w:t xml:space="preserve"> </w:t>
      </w:r>
      <w:r>
        <w:t xml:space="preserve">Louisiana</w:t>
      </w:r>
      <w:r>
        <w:t xml:space="preserve"> </w:t>
      </w:r>
      <w:r>
        <w:t xml:space="preserve">through</w:t>
      </w:r>
      <w:r>
        <w:t xml:space="preserve"> </w:t>
      </w:r>
      <w:r>
        <w:t xml:space="preserve">the</w:t>
      </w:r>
      <w:r>
        <w:t xml:space="preserve"> </w:t>
      </w:r>
      <w:r>
        <w:t xml:space="preserve">Attorney</w:t>
      </w:r>
      <w:r>
        <w:t xml:space="preserve"> </w:t>
      </w:r>
      <w:r>
        <w:t xml:space="preserve">General,</w:t>
      </w:r>
      <w:r>
        <w:t xml:space="preserve"> </w:t>
      </w:r>
      <w:r>
        <w:t xml:space="preserve">is</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mailed,</w:t>
      </w:r>
      <w:r>
        <w:t xml:space="preserve"> </w:t>
      </w:r>
      <w:r>
        <w:t xml:space="preserve">by</w:t>
      </w:r>
      <w:r>
        <w:t xml:space="preserve"> </w:t>
      </w:r>
      <w:r>
        <w:t xml:space="preserve">United</w:t>
      </w:r>
      <w:r>
        <w:t xml:space="preserve"> </w:t>
      </w:r>
      <w:r>
        <w:t xml:space="preserve">States</w:t>
      </w:r>
      <w:r>
        <w:t xml:space="preserve"> </w:t>
      </w:r>
      <w:r>
        <w:t xml:space="preserve">Mail</w:t>
      </w:r>
      <w:r>
        <w:t xml:space="preserve"> </w:t>
      </w:r>
      <w:r>
        <w:t xml:space="preserve">or</w:t>
      </w:r>
      <w:r>
        <w:t xml:space="preserve"> </w:t>
      </w:r>
      <w:r>
        <w:t xml:space="preserve">Federal</w:t>
      </w:r>
      <w:r>
        <w:t xml:space="preserve"> </w:t>
      </w:r>
      <w:r>
        <w:t xml:space="preserve">Express,</w:t>
      </w:r>
      <w:r>
        <w:t xml:space="preserve"> </w:t>
      </w:r>
      <w:r>
        <w:t xml:space="preserve">postage</w:t>
      </w:r>
      <w:r>
        <w:t xml:space="preserve"> </w:t>
      </w:r>
      <w:r>
        <w:t xml:space="preserve">prepaid,</w:t>
      </w:r>
      <w:r>
        <w:t xml:space="preserve"> </w:t>
      </w:r>
      <w:r>
        <w:t xml:space="preserve">on</w:t>
      </w:r>
      <w:r>
        <w:t xml:space="preserve"> </w:t>
      </w:r>
      <w:r>
        <w:t xml:space="preserve">April</w:t>
      </w:r>
      <w:r>
        <w:t xml:space="preserve"> </w:t>
      </w:r>
      <w:r>
        <w:t xml:space="preserve">11,</w:t>
      </w:r>
      <w:r>
        <w:t xml:space="preserve"> </w:t>
      </w:r>
      <w:r>
        <w:t xml:space="preserve">2022,</w:t>
      </w:r>
      <w:r>
        <w:t xml:space="preserve"> </w:t>
      </w:r>
      <w:r>
        <w:t xml:space="preserve">to</w:t>
      </w:r>
      <w:r>
        <w:t xml:space="preserve"> </w:t>
      </w:r>
      <w:r>
        <w:t xml:space="preserve">all</w:t>
      </w:r>
      <w:r>
        <w:t xml:space="preserve"> </w:t>
      </w:r>
      <w:r>
        <w:t xml:space="preserve">known</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the</w:t>
      </w:r>
      <w:r>
        <w:t xml:space="preserve"> </w:t>
      </w:r>
      <w:r>
        <w:t xml:space="preserve">district</w:t>
      </w:r>
      <w:r>
        <w:t xml:space="preserve"> </w:t>
      </w:r>
      <w:r>
        <w:t xml:space="preserve">court</w:t>
      </w:r>
      <w:r>
        <w:t xml:space="preserve"> </w:t>
      </w:r>
      <w:r>
        <w:t xml:space="preserve">judge,</w:t>
      </w:r>
      <w:r>
        <w:t xml:space="preserve"> </w:t>
      </w:r>
      <w:r>
        <w:t xml:space="preserve">as</w:t>
      </w:r>
      <w:r>
        <w:t xml:space="preserve"> </w:t>
      </w:r>
      <w:r>
        <w:t xml:space="preserve">follows:</w:t>
      </w:r>
    </w:p>
    <w:p>
      <w:pPr>
        <w:spacing w:before="288" w:after="0" w:line="276" w:lineRule="exact"/>
        <w:ind w:left="0" w:firstLine="0"/>
        <w:jc w:val="left"/>
      </w:pPr>
      <w:r>
        <w:t xml:space="preserve">The</w:t>
      </w:r>
      <w:r>
        <w:t xml:space="preserve"> </w:t>
      </w:r>
      <w:r>
        <w:t xml:space="preserve">Honorable</w:t>
      </w:r>
      <w:r>
        <w:t xml:space="preserve"> </w:t>
      </w:r>
      <w:r>
        <w:t xml:space="preserve">Michael</w:t>
      </w:r>
      <w:r>
        <w:t xml:space="preserve"> </w:t>
      </w:r>
      <w:r>
        <w:t xml:space="preserve">D.</w:t>
      </w:r>
      <w:r>
        <w:t xml:space="preserve"> </w:t>
      </w:r>
      <w:r>
        <w:t xml:space="preserve">Clement</w:t>
      </w:r>
    </w:p>
    <w:p>
      <w:pPr>
        <w:spacing w:before="0" w:after="0" w:line="276" w:lineRule="exact"/>
        <w:ind w:left="0" w:firstLine="0"/>
        <w:jc w:val="left"/>
      </w:pPr>
      <w:r>
        <w:t xml:space="preserve">25th</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Plaquemines</w:t>
      </w:r>
    </w:p>
    <w:p>
      <w:pPr>
        <w:spacing w:before="0" w:after="0" w:line="276" w:lineRule="exact"/>
        <w:ind w:left="0" w:firstLine="0"/>
        <w:jc w:val="left"/>
      </w:pPr>
      <w:r>
        <w:t xml:space="preserve">Division</w:t>
      </w:r>
      <w:r>
        <w:t xml:space="preserve"> </w:t>
      </w:r>
      <w:r>
        <w:t xml:space="preserve">B</w:t>
      </w:r>
    </w:p>
    <w:p>
      <w:pPr>
        <w:spacing w:before="0" w:after="0" w:line="276" w:lineRule="exact"/>
        <w:ind w:left="0" w:firstLine="0"/>
        <w:jc w:val="left"/>
      </w:pPr>
      <w:r>
        <w:t xml:space="preserve">P.O.</w:t>
      </w:r>
      <w:r>
        <w:t xml:space="preserve"> </w:t>
      </w:r>
      <w:r>
        <w:t xml:space="preserve">Box</w:t>
      </w:r>
      <w:r>
        <w:t xml:space="preserve"> </w:t>
      </w:r>
      <w:r>
        <w:t xml:space="preserve">7126</w:t>
      </w:r>
    </w:p>
    <w:p>
      <w:pPr>
        <w:spacing w:before="0" w:after="0" w:line="276" w:lineRule="exact"/>
        <w:ind w:left="0" w:firstLine="0"/>
        <w:jc w:val="left"/>
      </w:pPr>
      <w:r>
        <w:t xml:space="preserve">Belle</w:t>
      </w:r>
      <w:r>
        <w:t xml:space="preserve"> </w:t>
      </w:r>
      <w:r>
        <w:t xml:space="preserve">Chasse,</w:t>
      </w:r>
      <w:r>
        <w:t xml:space="preserve"> </w:t>
      </w:r>
      <w:r>
        <w:t xml:space="preserve">Louisiana</w:t>
      </w:r>
      <w:r>
        <w:t xml:space="preserve"> </w:t>
      </w:r>
      <w:r>
        <w:t xml:space="preserve">70037</w:t>
      </w:r>
    </w:p>
    <w:p>
      <w:pPr>
        <w:spacing w:before="0" w:after="0" w:line="276" w:lineRule="exact"/>
        <w:ind w:left="0" w:firstLine="0"/>
        <w:jc w:val="left"/>
      </w:pPr>
      <w:r>
        <w:t xml:space="preserve">mclement@25thjdc.com</w:t>
      </w:r>
    </w:p>
    <w:p>
      <w:pPr>
        <w:spacing w:before="0" w:after="0" w:line="276" w:lineRule="exact"/>
        <w:ind w:left="0" w:firstLine="0"/>
        <w:jc w:val="left"/>
      </w:pPr>
      <w:r>
        <w:t xml:space="preserve">Hardell</w:t>
      </w:r>
      <w:r>
        <w:t xml:space="preserve"> </w:t>
      </w:r>
      <w:r>
        <w:t xml:space="preserve">Ward</w:t>
      </w:r>
    </w:p>
    <w:p>
      <w:pPr>
        <w:spacing w:before="0" w:after="0" w:line="276" w:lineRule="exact"/>
        <w:ind w:left="0" w:firstLine="0"/>
        <w:jc w:val="left"/>
      </w:pPr>
      <w:r>
        <w:t xml:space="preserve">The</w:t>
      </w:r>
      <w:r>
        <w:t xml:space="preserve"> </w:t>
      </w:r>
      <w:r>
        <w:t xml:space="preserve">Promise</w:t>
      </w:r>
      <w:r>
        <w:t xml:space="preserve"> </w:t>
      </w:r>
      <w:r>
        <w:t xml:space="preserve">of</w:t>
      </w:r>
      <w:r>
        <w:t xml:space="preserve"> </w:t>
      </w:r>
      <w:r>
        <w:t xml:space="preserve">Justice</w:t>
      </w:r>
      <w:r>
        <w:t xml:space="preserve"> </w:t>
      </w:r>
      <w:r>
        <w:t xml:space="preserve">Initiative</w:t>
      </w:r>
    </w:p>
    <w:p>
      <w:pPr>
        <w:spacing w:before="0" w:after="0" w:line="276" w:lineRule="exact"/>
        <w:ind w:left="0" w:firstLine="0"/>
        <w:jc w:val="left"/>
      </w:pPr>
      <w:r>
        <w:t xml:space="preserve">1024</w:t>
      </w:r>
      <w:r>
        <w:t xml:space="preserve"> </w:t>
      </w:r>
      <w:r>
        <w:t xml:space="preserve">Elysian</w:t>
      </w:r>
      <w:r>
        <w:t xml:space="preserve"> </w:t>
      </w:r>
      <w:r>
        <w:t xml:space="preserve">Fields</w:t>
      </w:r>
      <w:r>
        <w:t xml:space="preserve"> </w:t>
      </w:r>
      <w:r>
        <w:t xml:space="preserve">Avenue</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70117</w:t>
      </w:r>
    </w:p>
    <w:p>
      <w:pPr>
        <w:spacing w:before="0" w:after="0" w:line="276" w:lineRule="exact"/>
        <w:ind w:left="0" w:firstLine="0"/>
        <w:jc w:val="left"/>
      </w:pPr>
      <w:r>
        <w:t xml:space="preserve">hward@defendla.org</w:t>
      </w:r>
    </w:p>
    <w:p>
      <w:pPr>
        <w:spacing w:before="0" w:after="0" w:line="276" w:lineRule="exact"/>
        <w:ind w:left="0" w:firstLine="0"/>
        <w:jc w:val="left"/>
      </w:pPr>
      <w:r>
        <w:t xml:space="preserve">Counsel</w:t>
      </w:r>
      <w:r>
        <w:t xml:space="preserve"> </w:t>
      </w:r>
      <w:r>
        <w:t xml:space="preserve">for</w:t>
      </w:r>
      <w:r>
        <w:t xml:space="preserve"> </w:t>
      </w:r>
      <w:r>
        <w:t xml:space="preserve">Reginald</w:t>
      </w:r>
      <w:r>
        <w:t xml:space="preserve"> </w:t>
      </w:r>
      <w:r>
        <w:t xml:space="preserve">Reddick</w:t>
      </w:r>
    </w:p>
    <w:p>
      <w:pPr>
        <w:spacing w:before="0" w:after="0" w:line="276" w:lineRule="exact"/>
        <w:ind w:left="0" w:firstLine="0"/>
        <w:jc w:val="left"/>
      </w:pPr>
      <w:r>
        <w:t xml:space="preserve">Justin</w:t>
      </w:r>
      <w:r>
        <w:t xml:space="preserve"> </w:t>
      </w:r>
      <w:r>
        <w:t xml:space="preserve">I.</w:t>
      </w:r>
      <w:r>
        <w:t xml:space="preserve"> </w:t>
      </w:r>
      <w:r>
        <w:t xml:space="preserve">Woods</w:t>
      </w:r>
    </w:p>
    <w:p>
      <w:pPr>
        <w:spacing w:before="0" w:after="0" w:line="276" w:lineRule="exact"/>
        <w:ind w:left="0" w:firstLine="0"/>
        <w:jc w:val="left"/>
      </w:pPr>
      <w:r>
        <w:t xml:space="preserve">Clerk</w:t>
      </w:r>
      <w:r>
        <w:t xml:space="preserve"> </w:t>
      </w:r>
      <w:r>
        <w:t xml:space="preserve">of</w:t>
      </w:r>
      <w:r>
        <w:t xml:space="preserve"> </w:t>
      </w:r>
      <w:r>
        <w:t xml:space="preserve">Court</w:t>
      </w:r>
    </w:p>
    <w:p>
      <w:pPr>
        <w:spacing w:before="0" w:after="0" w:line="276" w:lineRule="exact"/>
        <w:ind w:left="0" w:firstLine="0"/>
        <w:jc w:val="left"/>
      </w:pPr>
      <w:r>
        <w:t xml:space="preserve">Louisiana</w:t>
      </w:r>
      <w:r>
        <w:t xml:space="preserve"> </w:t>
      </w:r>
      <w:r>
        <w:t xml:space="preserve">Fourth</w:t>
      </w:r>
      <w:r>
        <w:t xml:space="preserve"> </w:t>
      </w:r>
      <w:r>
        <w:t xml:space="preserve">Circuit</w:t>
      </w:r>
      <w:r>
        <w:t xml:space="preserve"> </w:t>
      </w:r>
      <w:r>
        <w:t xml:space="preserve">Court</w:t>
      </w:r>
      <w:r>
        <w:t xml:space="preserve"> </w:t>
      </w:r>
      <w:r>
        <w:t xml:space="preserve">of</w:t>
      </w:r>
      <w:r>
        <w:t xml:space="preserve"> </w:t>
      </w:r>
      <w:r>
        <w:t xml:space="preserve">Appeal</w:t>
      </w:r>
    </w:p>
    <w:p>
      <w:pPr>
        <w:spacing w:before="0" w:after="0" w:line="276" w:lineRule="exact"/>
        <w:ind w:left="0" w:firstLine="0"/>
        <w:jc w:val="left"/>
      </w:pPr>
      <w:r>
        <w:t xml:space="preserve">410</w:t>
      </w:r>
      <w:r>
        <w:t xml:space="preserve"> </w:t>
      </w:r>
      <w:r>
        <w:t xml:space="preserve">Royal</w:t>
      </w:r>
      <w:r>
        <w:t xml:space="preserve"> </w:t>
      </w:r>
      <w:r>
        <w:t xml:space="preserve">Street</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70130</w:t>
      </w:r>
    </w:p>
    <w:p>
      <w:pPr>
        <w:spacing w:before="0" w:after="0" w:line="276" w:lineRule="exact"/>
        <w:ind w:left="0" w:firstLine="0"/>
        <w:jc w:val="left"/>
      </w:pPr>
      <w:r>
        <w:t xml:space="preserve">coc@la4th.org</w:t>
      </w:r>
    </w:p>
    <w:p>
      <w:pPr>
        <w:spacing w:before="336" w:after="0" w:line="276" w:lineRule="exact"/>
        <w:ind w:left="4608" w:firstLine="0"/>
        <w:jc w:val="left"/>
      </w:pPr>
      <w:r>
        <w:t xml:space="preserve">/s/</w:t>
      </w:r>
      <w:r>
        <w:t xml:space="preserve"> </w:t>
      </w:r>
      <w:r>
        <w:t xml:space="preserve">Shae</w:t>
      </w:r>
      <w:r>
        <w:t xml:space="preserve"> </w:t>
      </w:r>
      <w:r>
        <w:t xml:space="preserve">McPhee</w:t>
      </w:r>
    </w:p>
    <w:p>
      <w:pPr>
        <w:spacing w:before="0" w:after="0" w:line="276" w:lineRule="exact"/>
        <w:ind w:left="4608" w:firstLine="0"/>
        <w:jc w:val="left"/>
      </w:pPr>
      <w:r>
        <w:t xml:space="preserve">Shae</w:t>
      </w:r>
      <w:r>
        <w:t xml:space="preserve"> </w:t>
      </w:r>
      <w:r>
        <w:t xml:space="preserve">McPhee</w:t>
      </w:r>
    </w:p>
    <w:p>
      <w:pPr>
        <w:spacing w:before="0" w:after="0" w:line="276" w:lineRule="exact"/>
        <w:ind w:left="4608" w:firstLine="0"/>
        <w:jc w:val="left"/>
      </w:pPr>
      <w:r>
        <w:t xml:space="preserve">Deputy</w:t>
      </w:r>
      <w:r>
        <w:t xml:space="preserve"> </w:t>
      </w:r>
      <w:r>
        <w:t xml:space="preserve">Solicitor</w:t>
      </w:r>
      <w:r>
        <w:t xml:space="preserve"> </w:t>
      </w:r>
      <w:r>
        <w:t xml:space="preserve">General</w:t>
      </w:r>
    </w:p>
    <w:p>
      <w:pPr>
        <w:spacing w:before="0" w:after="0" w:line="276" w:lineRule="exact"/>
        <w:ind w:left="4608" w:firstLine="0"/>
        <w:jc w:val="left"/>
      </w:pPr>
      <w:r>
        <w:t xml:space="preserve">Counsel</w:t>
      </w:r>
      <w:r>
        <w:t xml:space="preserve"> </w:t>
      </w:r>
      <w:r>
        <w:t xml:space="preserve">for</w:t>
      </w:r>
      <w:r>
        <w:t xml:space="preserve"> </w:t>
      </w:r>
      <w:r>
        <w:t xml:space="preserve">Applicant</w:t>
      </w:r>
    </w:p>
    <w:sectPr>
      <w:footerReference w:type="default" r:id="rIdXdPage"/>
      <w:pgSz w:w="12240" w:h="20160"/>
      <w:pgMar w:top="216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State initially charged Reddick with first-degree murder, and a jury unanimously found him guilty. The conviction was overturned on appeal, however.</w:t>
      </w:r>
      <w:r>
        <w:t xml:space="preserve"> </w:t>
      </w:r>
      <w:r>
        <w:rPr>
          <w:i/>
          <w:iCs/>
        </w:rPr>
        <w:t xml:space="preserve">State</w:t>
      </w:r>
      <w:r>
        <w:rPr>
          <w:i/>
          <w:iCs/>
        </w:rPr>
        <w:t xml:space="preserve"> </w:t>
      </w:r>
      <w:r>
        <w:rPr>
          <w:i/>
          <w:iCs/>
        </w:rPr>
        <w:t xml:space="preserve">v. Reddick</w:t>
      </w:r>
      <w:r>
        <w:t xml:space="preserve">, 94</w:t>
      </w:r>
      <w:r>
        <w:noBreakHyphen/>
      </w:r>
      <w:r>
        <w:t xml:space="preserve">2230 (La. App. 4 Cir. 2/29/96), 670 So. 2d 551, 553.</w:t>
      </w:r>
    </w:p>
  </w:footnote>
  <w:footnote w:id="10">
    <w:p>
      <w:pPr>
        <w:pStyle w:val="FootnoteText"/>
      </w:pPr>
      <w:r>
        <w:rPr>
          <w:rStyle w:val="FootnoteReference"/>
        </w:rPr>
        <w:footnoteRef/>
      </w:r>
      <w:r>
        <w:t xml:space="preserve"> </w:t>
      </w:r>
      <w:r>
        <w:t xml:space="preserve">Justice Alito described the watershed rule as a “Tasmanian Tiger” during oral argument in</w:t>
      </w:r>
      <w:r>
        <w:t xml:space="preserve"> </w:t>
      </w:r>
      <w:r>
        <w:rPr>
          <w:i/>
          <w:iCs/>
        </w:rPr>
        <w:t xml:space="preserve">Edwards</w:t>
      </w:r>
      <w:r>
        <w:t xml:space="preserve">.</w:t>
      </w:r>
      <w:r>
        <w:t xml:space="preserve"> </w:t>
      </w:r>
      <w:r>
        <w:rPr>
          <w:i/>
          <w:iCs/>
        </w:rPr>
        <w:t xml:space="preserve">See</w:t>
      </w:r>
      <w:r>
        <w:t xml:space="preserve"> </w:t>
      </w:r>
      <w:r>
        <w:t xml:space="preserve">Oyez,</w:t>
      </w:r>
      <w:r>
        <w:t xml:space="preserve"> </w:t>
      </w:r>
      <w:r>
        <w:rPr>
          <w:i/>
          <w:iCs/>
        </w:rPr>
        <w:t xml:space="preserve">Edwards v. Vannoy</w:t>
      </w:r>
      <w:r>
        <w:t xml:space="preserve">, https://​www.​oyez.​org/​cases/​2020/​19-⁠5807.</w:t>
      </w:r>
    </w:p>
  </w:footnote>
  <w:footnote w:id="11">
    <w:p>
      <w:pPr>
        <w:pStyle w:val="FootnoteText"/>
      </w:pPr>
      <w:r>
        <w:rPr>
          <w:rStyle w:val="FootnoteReference"/>
        </w:rPr>
        <w:footnoteRef/>
      </w:r>
      <w:r>
        <w:t xml:space="preserve"> </w:t>
      </w:r>
      <w:r>
        <w:rPr>
          <w:i/>
          <w:iCs/>
        </w:rPr>
        <w:t xml:space="preserve">Tate</w:t>
      </w:r>
      <w:r>
        <w:t xml:space="preserve"> </w:t>
      </w:r>
      <w:r>
        <w:t xml:space="preserve">was abrogated by</w:t>
      </w:r>
      <w:r>
        <w:t xml:space="preserve"> </w:t>
      </w:r>
      <w:r>
        <w:rPr>
          <w:i/>
          <w:iCs/>
        </w:rPr>
        <w:t xml:space="preserve">Montgomery</w:t>
      </w:r>
      <w:r>
        <w:rPr>
          <w:i/>
          <w:iCs/>
        </w:rPr>
        <w:t xml:space="preserve"> </w:t>
      </w:r>
      <w:r>
        <w:rPr>
          <w:i/>
          <w:iCs/>
        </w:rPr>
        <w:t xml:space="preserve">v. Louisiana</w:t>
      </w:r>
      <w:r>
        <w:t xml:space="preserve">, 577 U.S. 190 (2016), which concluded</w:t>
      </w:r>
      <w:r>
        <w:t xml:space="preserve"> </w:t>
      </w:r>
      <w:r>
        <w:rPr>
          <w:i/>
          <w:iCs/>
        </w:rPr>
        <w:t xml:space="preserve">Miller</w:t>
      </w:r>
      <w:r>
        <w:t xml:space="preserve"> </w:t>
      </w:r>
      <w:r>
        <w:t xml:space="preserve">announced a substantive rule of criminal procedure.</w:t>
      </w:r>
    </w:p>
  </w:footnote>
  <w:footnote w:id="12">
    <w:p>
      <w:pPr>
        <w:pStyle w:val="FootnoteText"/>
      </w:pPr>
      <w:r>
        <w:rPr>
          <w:rStyle w:val="FootnoteReference"/>
        </w:rPr>
        <w:footnoteRef/>
      </w:r>
      <w:r>
        <w:t xml:space="preserve"> </w:t>
      </w:r>
      <w:r>
        <w:t xml:space="preserve">It does not appear that this Court even considered whether</w:t>
      </w:r>
      <w:r>
        <w:t xml:space="preserve"> </w:t>
      </w:r>
      <w:r>
        <w:rPr>
          <w:i/>
          <w:iCs/>
        </w:rPr>
        <w:t xml:space="preserve">Batson</w:t>
      </w:r>
      <w:r>
        <w:t xml:space="preserve"> </w:t>
      </w:r>
      <w:r>
        <w:t xml:space="preserve">or</w:t>
      </w:r>
      <w:r>
        <w:t xml:space="preserve"> </w:t>
      </w:r>
      <w:r>
        <w:rPr>
          <w:i/>
          <w:iCs/>
        </w:rPr>
        <w:t xml:space="preserve">Crawford</w:t>
      </w:r>
      <w:r>
        <w:t xml:space="preserve"> </w:t>
      </w:r>
      <w:r>
        <w:t xml:space="preserve">should apply retroactively.</w:t>
      </w:r>
    </w:p>
  </w:footnote>
  <w:footnote w:id="13">
    <w:p>
      <w:pPr>
        <w:pStyle w:val="FootnoteText"/>
      </w:pPr>
      <w:r>
        <w:rPr>
          <w:rStyle w:val="FootnoteReference"/>
        </w:rPr>
        <w:footnoteRef/>
      </w:r>
      <w:r>
        <w:t xml:space="preserve"> </w:t>
      </w:r>
      <w:r>
        <w:t xml:space="preserve">The per capita figures cited here are derived by dividing the state-level statistics in the National</w:t>
      </w:r>
      <w:r>
        <w:t xml:space="preserve"> </w:t>
      </w:r>
      <w:r>
        <w:t xml:space="preserve">Registry of Exonerations, see https://​bit.​ly/​3091xdd (last visited 4/4/2022), by each State’s estimated population as of July 1, 2021, see U.S.</w:t>
      </w:r>
      <w:r>
        <w:t xml:space="preserve"> </w:t>
      </w:r>
      <w:r>
        <w:t xml:space="preserve">Census Bureau, State Population Totals, https://​bit.​ly/​363ZLxN.</w:t>
      </w:r>
    </w:p>
  </w:footnote>
  <w:footnote w:id="14">
    <w:p>
      <w:pPr>
        <w:pStyle w:val="FootnoteText"/>
      </w:pPr>
      <w:r>
        <w:rPr>
          <w:rStyle w:val="FootnoteReference"/>
        </w:rPr>
        <w:footnoteRef/>
      </w:r>
      <w:r>
        <w:t xml:space="preserve"> </w:t>
      </w:r>
      <w:r>
        <w:t xml:space="preserve">The brief is available on the United States Supreme Court’s website at https://​bit.​ly/​3u69vmo.</w:t>
      </w:r>
    </w:p>
  </w:footnote>
  <w:footnote w:id="15">
    <w:p>
      <w:pPr>
        <w:pStyle w:val="FootnoteText"/>
      </w:pPr>
      <w:r>
        <w:rPr>
          <w:rStyle w:val="FootnoteReference"/>
        </w:rPr>
        <w:footnoteRef/>
      </w:r>
      <w:r>
        <w:t xml:space="preserve"> </w:t>
      </w:r>
      <w:r>
        <w:t xml:space="preserve">The brief is available on the United States Supreme Court’s website at https://​bit.​ly/​35DYIGW.</w:t>
      </w:r>
    </w:p>
  </w:footnote>
  <w:footnote w:id="16">
    <w:p>
      <w:pPr>
        <w:pStyle w:val="FootnoteText"/>
      </w:pPr>
      <w:r>
        <w:rPr>
          <w:rStyle w:val="FootnoteReference"/>
        </w:rPr>
        <w:footnoteRef/>
      </w:r>
      <w:r>
        <w:t xml:space="preserve"> </w:t>
      </w:r>
      <w:r>
        <w:rPr>
          <w:i/>
          <w:iCs/>
        </w:rPr>
        <w:t xml:space="preserve">See, e.g.</w:t>
      </w:r>
      <w:r>
        <w:t xml:space="preserve">,</w:t>
      </w:r>
      <w:r>
        <w:t xml:space="preserve"> </w:t>
      </w:r>
      <w:r>
        <w:rPr>
          <w:i/>
          <w:iCs/>
        </w:rPr>
        <w:t xml:space="preserve">State</w:t>
      </w:r>
      <w:r>
        <w:rPr>
          <w:i/>
          <w:iCs/>
        </w:rPr>
        <w:t xml:space="preserve"> </w:t>
      </w:r>
      <w:r>
        <w:rPr>
          <w:i/>
          <w:iCs/>
        </w:rPr>
        <w:t xml:space="preserve">v. Dotson</w:t>
      </w:r>
      <w:r>
        <w:t xml:space="preserve">, 2019</w:t>
      </w:r>
      <w:r>
        <w:noBreakHyphen/>
      </w:r>
      <w:r>
        <w:t xml:space="preserve">01828 (La. 6/3/20), 296 So.3d 1059;</w:t>
      </w:r>
      <w:r>
        <w:t xml:space="preserve"> </w:t>
      </w:r>
      <w:r>
        <w:rPr>
          <w:i/>
          <w:iCs/>
        </w:rPr>
        <w:t xml:space="preserve">Silva</w:t>
      </w:r>
      <w:r>
        <w:rPr>
          <w:i/>
          <w:iCs/>
        </w:rPr>
        <w:t xml:space="preserve"> </w:t>
      </w:r>
      <w:r>
        <w:rPr>
          <w:i/>
          <w:iCs/>
        </w:rPr>
        <w:t xml:space="preserve">v. Vannoy</w:t>
      </w:r>
      <w:r>
        <w:t xml:space="preserve">, 2019</w:t>
      </w:r>
      <w:r>
        <w:noBreakHyphen/>
      </w:r>
      <w:r>
        <w:t xml:space="preserve">01861 (La. 6/3/20), 296 So.3d 1033;</w:t>
      </w:r>
      <w:r>
        <w:t xml:space="preserve"> </w:t>
      </w:r>
      <w:r>
        <w:rPr>
          <w:i/>
          <w:iCs/>
        </w:rPr>
        <w:t xml:space="preserve">Lionel</w:t>
      </w:r>
      <w:r>
        <w:rPr>
          <w:i/>
          <w:iCs/>
        </w:rPr>
        <w:t xml:space="preserve"> </w:t>
      </w:r>
      <w:r>
        <w:rPr>
          <w:i/>
          <w:iCs/>
        </w:rPr>
        <w:t xml:space="preserve">Jones v. State</w:t>
      </w:r>
      <w:r>
        <w:t xml:space="preserve">, 2019</w:t>
      </w:r>
      <w:r>
        <w:noBreakHyphen/>
      </w:r>
      <w:r>
        <w:t xml:space="preserve">01900 (La. 6/3/20), 296 So. 3d 1060;</w:t>
      </w:r>
      <w:r>
        <w:t xml:space="preserve"> </w:t>
      </w:r>
      <w:r>
        <w:rPr>
          <w:i/>
          <w:iCs/>
        </w:rPr>
        <w:t xml:space="preserve">State</w:t>
      </w:r>
      <w:r>
        <w:rPr>
          <w:i/>
          <w:iCs/>
        </w:rPr>
        <w:t xml:space="preserve"> </w:t>
      </w:r>
      <w:r>
        <w:rPr>
          <w:i/>
          <w:iCs/>
        </w:rPr>
        <w:t xml:space="preserve">v. Rochon</w:t>
      </w:r>
      <w:r>
        <w:t xml:space="preserve">, 2019</w:t>
      </w:r>
      <w:r>
        <w:noBreakHyphen/>
      </w:r>
      <w:r>
        <w:t xml:space="preserve">01678 (La. 6/3/20), 296 So.3d 1028;</w:t>
      </w:r>
      <w:r>
        <w:t xml:space="preserve"> </w:t>
      </w:r>
      <w:r>
        <w:rPr>
          <w:i/>
          <w:iCs/>
        </w:rPr>
        <w:t xml:space="preserve">State</w:t>
      </w:r>
      <w:r>
        <w:rPr>
          <w:i/>
          <w:iCs/>
        </w:rPr>
        <w:t xml:space="preserve"> </w:t>
      </w:r>
      <w:r>
        <w:rPr>
          <w:i/>
          <w:iCs/>
        </w:rPr>
        <w:t xml:space="preserve">v. Young</w:t>
      </w:r>
      <w:r>
        <w:t xml:space="preserve">, 2019</w:t>
      </w:r>
      <w:r>
        <w:noBreakHyphen/>
      </w:r>
      <w:r>
        <w:t xml:space="preserve">01818 (La. 6/12/20), 2020 WL 3424876 (involved request for polling slips to file PCR);</w:t>
      </w:r>
      <w:r>
        <w:t xml:space="preserve"> </w:t>
      </w:r>
      <w:r>
        <w:rPr>
          <w:i/>
          <w:iCs/>
        </w:rPr>
        <w:t xml:space="preserve">State</w:t>
      </w:r>
      <w:r>
        <w:rPr>
          <w:i/>
          <w:iCs/>
        </w:rPr>
        <w:t xml:space="preserve"> </w:t>
      </w:r>
      <w:r>
        <w:rPr>
          <w:i/>
          <w:iCs/>
        </w:rPr>
        <w:t xml:space="preserve">v. Brown</w:t>
      </w:r>
      <w:r>
        <w:t xml:space="preserve">, 2020</w:t>
      </w:r>
      <w:r>
        <w:noBreakHyphen/>
      </w:r>
      <w:r>
        <w:t xml:space="preserve">00276 (La. 6/22/20), 297 So.3d 721;</w:t>
      </w:r>
      <w:r>
        <w:t xml:space="preserve"> </w:t>
      </w:r>
      <w:r>
        <w:rPr>
          <w:i/>
          <w:iCs/>
        </w:rPr>
        <w:t xml:space="preserve">State</w:t>
      </w:r>
      <w:r>
        <w:rPr>
          <w:i/>
          <w:iCs/>
        </w:rPr>
        <w:t xml:space="preserve"> </w:t>
      </w:r>
      <w:r>
        <w:rPr>
          <w:i/>
          <w:iCs/>
        </w:rPr>
        <w:t xml:space="preserve">v. McKnight</w:t>
      </w:r>
      <w:r>
        <w:t xml:space="preserve">, 2020</w:t>
      </w:r>
      <w:r>
        <w:noBreakHyphen/>
      </w:r>
      <w:r>
        <w:t xml:space="preserve">00873 (La. 7/17/20), 299 So.3d 64;</w:t>
      </w:r>
      <w:r>
        <w:t xml:space="preserve"> </w:t>
      </w:r>
      <w:r>
        <w:rPr>
          <w:i/>
          <w:iCs/>
        </w:rPr>
        <w:t xml:space="preserve">Dennis</w:t>
      </w:r>
      <w:r>
        <w:rPr>
          <w:i/>
          <w:iCs/>
        </w:rPr>
        <w:t xml:space="preserve"> </w:t>
      </w:r>
      <w:r>
        <w:rPr>
          <w:i/>
          <w:iCs/>
        </w:rPr>
        <w:t xml:space="preserve">v. Vannoy</w:t>
      </w:r>
      <w:r>
        <w:t xml:space="preserve">, 2019</w:t>
      </w:r>
      <w:r>
        <w:noBreakHyphen/>
      </w:r>
      <w:r>
        <w:t xml:space="preserve">01794 (La. 7/24/20), 299 So.3d 54;</w:t>
      </w:r>
      <w:r>
        <w:t xml:space="preserve"> </w:t>
      </w:r>
      <w:r>
        <w:rPr>
          <w:i/>
          <w:iCs/>
        </w:rPr>
        <w:t xml:space="preserve">State</w:t>
      </w:r>
      <w:r>
        <w:rPr>
          <w:i/>
          <w:iCs/>
        </w:rPr>
        <w:t xml:space="preserve"> </w:t>
      </w:r>
      <w:r>
        <w:rPr>
          <w:i/>
          <w:iCs/>
        </w:rPr>
        <w:t xml:space="preserve">v. Essex</w:t>
      </w:r>
      <w:r>
        <w:t xml:space="preserve">, 2020</w:t>
      </w:r>
      <w:r>
        <w:noBreakHyphen/>
      </w:r>
      <w:r>
        <w:t xml:space="preserve">00009 (La. 8/14/20), 300 So.3d 843;</w:t>
      </w:r>
      <w:r>
        <w:t xml:space="preserve"> </w:t>
      </w:r>
      <w:r>
        <w:rPr>
          <w:i/>
          <w:iCs/>
        </w:rPr>
        <w:t xml:space="preserve">State</w:t>
      </w:r>
      <w:r>
        <w:rPr>
          <w:i/>
          <w:iCs/>
        </w:rPr>
        <w:t xml:space="preserve"> </w:t>
      </w:r>
      <w:r>
        <w:rPr>
          <w:i/>
          <w:iCs/>
        </w:rPr>
        <w:t xml:space="preserve">v. Cook</w:t>
      </w:r>
      <w:r>
        <w:t xml:space="preserve">, 2020</w:t>
      </w:r>
      <w:r>
        <w:noBreakHyphen/>
      </w:r>
      <w:r>
        <w:t xml:space="preserve">00001 (La. 8/14/20), 300 So.3d 838;</w:t>
      </w:r>
      <w:r>
        <w:t xml:space="preserve"> </w:t>
      </w:r>
      <w:r>
        <w:rPr>
          <w:i/>
          <w:iCs/>
        </w:rPr>
        <w:t xml:space="preserve">State</w:t>
      </w:r>
      <w:r>
        <w:rPr>
          <w:i/>
          <w:iCs/>
        </w:rPr>
        <w:t xml:space="preserve"> </w:t>
      </w:r>
      <w:r>
        <w:rPr>
          <w:i/>
          <w:iCs/>
        </w:rPr>
        <w:t xml:space="preserve">v. Parish</w:t>
      </w:r>
      <w:r>
        <w:t xml:space="preserve">, 2020</w:t>
      </w:r>
      <w:r>
        <w:noBreakHyphen/>
      </w:r>
      <w:r>
        <w:t xml:space="preserve">00072 (La. 8/14/20), 300 So.3d 861;</w:t>
      </w:r>
      <w:r>
        <w:t xml:space="preserve"> </w:t>
      </w:r>
      <w:r>
        <w:rPr>
          <w:i/>
          <w:iCs/>
        </w:rPr>
        <w:t xml:space="preserve">Joseph</w:t>
      </w:r>
      <w:r>
        <w:rPr>
          <w:i/>
          <w:iCs/>
        </w:rPr>
        <w:t xml:space="preserve"> </w:t>
      </w:r>
      <w:r>
        <w:rPr>
          <w:i/>
          <w:iCs/>
        </w:rPr>
        <w:t xml:space="preserve">v. State</w:t>
      </w:r>
      <w:r>
        <w:t xml:space="preserve">, 2019</w:t>
      </w:r>
      <w:r>
        <w:noBreakHyphen/>
      </w:r>
      <w:r>
        <w:t xml:space="preserve">01989 (La. 8/14/20), 300 So.3d 824;</w:t>
      </w:r>
      <w:r>
        <w:t xml:space="preserve"> </w:t>
      </w:r>
      <w:r>
        <w:rPr>
          <w:i/>
          <w:iCs/>
        </w:rPr>
        <w:t xml:space="preserve">State</w:t>
      </w:r>
      <w:r>
        <w:rPr>
          <w:i/>
          <w:iCs/>
        </w:rPr>
        <w:t xml:space="preserve"> </w:t>
      </w:r>
      <w:r>
        <w:rPr>
          <w:i/>
          <w:iCs/>
        </w:rPr>
        <w:t xml:space="preserve">v. McGuire</w:t>
      </w:r>
      <w:r>
        <w:t xml:space="preserve">, 2019</w:t>
      </w:r>
      <w:r>
        <w:noBreakHyphen/>
      </w:r>
      <w:r>
        <w:t xml:space="preserve">01632 (8/14/20), 300 So.3d 830;</w:t>
      </w:r>
      <w:r>
        <w:t xml:space="preserve"> </w:t>
      </w:r>
      <w:r>
        <w:rPr>
          <w:i/>
          <w:iCs/>
        </w:rPr>
        <w:t xml:space="preserve">State</w:t>
      </w:r>
      <w:r>
        <w:rPr>
          <w:i/>
          <w:iCs/>
        </w:rPr>
        <w:t xml:space="preserve"> </w:t>
      </w:r>
      <w:r>
        <w:rPr>
          <w:i/>
          <w:iCs/>
        </w:rPr>
        <w:t xml:space="preserve">v. Johnson</w:t>
      </w:r>
      <w:r>
        <w:t xml:space="preserve">, 2019</w:t>
      </w:r>
      <w:r>
        <w:noBreakHyphen/>
      </w:r>
      <w:r>
        <w:t xml:space="preserve">02075 (La. 8/14/20), 300 So.3d 858;</w:t>
      </w:r>
      <w:r>
        <w:t xml:space="preserve"> </w:t>
      </w:r>
      <w:r>
        <w:rPr>
          <w:i/>
          <w:iCs/>
        </w:rPr>
        <w:t xml:space="preserve">State</w:t>
      </w:r>
      <w:r>
        <w:rPr>
          <w:i/>
          <w:iCs/>
        </w:rPr>
        <w:t xml:space="preserve"> </w:t>
      </w:r>
      <w:r>
        <w:rPr>
          <w:i/>
          <w:iCs/>
        </w:rPr>
        <w:t xml:space="preserve">v. Spencer</w:t>
      </w:r>
      <w:r>
        <w:t xml:space="preserve">, 2019</w:t>
      </w:r>
      <w:r>
        <w:noBreakHyphen/>
      </w:r>
      <w:r>
        <w:t xml:space="preserve">01318 (La. 8/14/20), 300 So.3d 855*;</w:t>
      </w:r>
      <w:r>
        <w:t xml:space="preserve"> </w:t>
      </w:r>
      <w:r>
        <w:rPr>
          <w:i/>
          <w:iCs/>
        </w:rPr>
        <w:t xml:space="preserve">Lawson</w:t>
      </w:r>
      <w:r>
        <w:rPr>
          <w:i/>
          <w:iCs/>
        </w:rPr>
        <w:t xml:space="preserve"> </w:t>
      </w:r>
      <w:r>
        <w:rPr>
          <w:i/>
          <w:iCs/>
        </w:rPr>
        <w:t xml:space="preserve">v. State</w:t>
      </w:r>
      <w:r>
        <w:t xml:space="preserve">, 2019</w:t>
      </w:r>
      <w:r>
        <w:noBreakHyphen/>
      </w:r>
      <w:r>
        <w:t xml:space="preserve">02074 (La. 8/14/20), 300 So.3d 858;</w:t>
      </w:r>
      <w:r>
        <w:t xml:space="preserve"> </w:t>
      </w:r>
      <w:r>
        <w:rPr>
          <w:i/>
          <w:iCs/>
        </w:rPr>
        <w:t xml:space="preserve">State</w:t>
      </w:r>
      <w:r>
        <w:rPr>
          <w:i/>
          <w:iCs/>
        </w:rPr>
        <w:t xml:space="preserve"> </w:t>
      </w:r>
      <w:r>
        <w:rPr>
          <w:i/>
          <w:iCs/>
        </w:rPr>
        <w:t xml:space="preserve">v. Triplett</w:t>
      </w:r>
      <w:r>
        <w:t xml:space="preserve">, 2019</w:t>
      </w:r>
      <w:r>
        <w:noBreakHyphen/>
      </w:r>
      <w:r>
        <w:t xml:space="preserve">01718 (La. 8/14/20), 300 So.3d 827*;</w:t>
      </w:r>
      <w:r>
        <w:t xml:space="preserve"> </w:t>
      </w:r>
      <w:r>
        <w:rPr>
          <w:i/>
          <w:iCs/>
        </w:rPr>
        <w:t xml:space="preserve">Vincent</w:t>
      </w:r>
      <w:r>
        <w:rPr>
          <w:i/>
          <w:iCs/>
        </w:rPr>
        <w:t xml:space="preserve"> </w:t>
      </w:r>
      <w:r>
        <w:rPr>
          <w:i/>
          <w:iCs/>
        </w:rPr>
        <w:t xml:space="preserve">Smith v. Louisiana</w:t>
      </w:r>
      <w:r>
        <w:t xml:space="preserve">, 2019</w:t>
      </w:r>
      <w:r>
        <w:noBreakHyphen/>
      </w:r>
      <w:r>
        <w:t xml:space="preserve">02080 (La. 8/14/20), 300 So.3d 859;</w:t>
      </w:r>
      <w:r>
        <w:t xml:space="preserve"> </w:t>
      </w:r>
      <w:r>
        <w:rPr>
          <w:i/>
          <w:iCs/>
        </w:rPr>
        <w:t xml:space="preserve">State</w:t>
      </w:r>
      <w:r>
        <w:rPr>
          <w:i/>
          <w:iCs/>
        </w:rPr>
        <w:t xml:space="preserve"> </w:t>
      </w:r>
      <w:r>
        <w:rPr>
          <w:i/>
          <w:iCs/>
        </w:rPr>
        <w:t xml:space="preserve">v. Rashan Williams</w:t>
      </w:r>
      <w:r>
        <w:t xml:space="preserve">, 2020</w:t>
      </w:r>
      <w:r>
        <w:noBreakHyphen/>
      </w:r>
      <w:r>
        <w:t xml:space="preserve">00069 (La. 8/14/20), 300 So.3d 860;</w:t>
      </w:r>
      <w:r>
        <w:t xml:space="preserve"> </w:t>
      </w:r>
      <w:r>
        <w:rPr>
          <w:i/>
          <w:iCs/>
        </w:rPr>
        <w:t xml:space="preserve">State</w:t>
      </w:r>
      <w:r>
        <w:rPr>
          <w:i/>
          <w:iCs/>
        </w:rPr>
        <w:t xml:space="preserve"> </w:t>
      </w:r>
      <w:r>
        <w:rPr>
          <w:i/>
          <w:iCs/>
        </w:rPr>
        <w:t xml:space="preserve">v. Withers</w:t>
      </w:r>
      <w:r>
        <w:t xml:space="preserve">, 2020</w:t>
      </w:r>
      <w:r>
        <w:noBreakHyphen/>
      </w:r>
      <w:r>
        <w:t xml:space="preserve">00258 (La. 8/14/20), 300 So.3d 860;</w:t>
      </w:r>
      <w:r>
        <w:t xml:space="preserve"> </w:t>
      </w:r>
      <w:r>
        <w:rPr>
          <w:i/>
          <w:iCs/>
        </w:rPr>
        <w:t xml:space="preserve">State</w:t>
      </w:r>
      <w:r>
        <w:rPr>
          <w:i/>
          <w:iCs/>
        </w:rPr>
        <w:t xml:space="preserve"> </w:t>
      </w:r>
      <w:r>
        <w:rPr>
          <w:i/>
          <w:iCs/>
        </w:rPr>
        <w:t xml:space="preserve">v. Wardlaw</w:t>
      </w:r>
      <w:r>
        <w:t xml:space="preserve">, 2020</w:t>
      </w:r>
      <w:r>
        <w:noBreakHyphen/>
      </w:r>
      <w:r>
        <w:t xml:space="preserve">00004 (La. 8/14/20), 300 So.3d 859;</w:t>
      </w:r>
      <w:r>
        <w:t xml:space="preserve"> </w:t>
      </w:r>
      <w:r>
        <w:rPr>
          <w:i/>
          <w:iCs/>
        </w:rPr>
        <w:t xml:space="preserve">State</w:t>
      </w:r>
      <w:r>
        <w:rPr>
          <w:i/>
          <w:iCs/>
        </w:rPr>
        <w:t xml:space="preserve"> </w:t>
      </w:r>
      <w:r>
        <w:rPr>
          <w:i/>
          <w:iCs/>
        </w:rPr>
        <w:t xml:space="preserve">v. Mason</w:t>
      </w:r>
      <w:r>
        <w:t xml:space="preserve">, 2019</w:t>
      </w:r>
      <w:r>
        <w:noBreakHyphen/>
      </w:r>
      <w:r>
        <w:t xml:space="preserve">01821 (La. 8/14/20, 2020 WL 4726952;</w:t>
      </w:r>
      <w:r>
        <w:t xml:space="preserve"> </w:t>
      </w:r>
      <w:r>
        <w:rPr>
          <w:i/>
          <w:iCs/>
        </w:rPr>
        <w:t xml:space="preserve">State</w:t>
      </w:r>
      <w:r>
        <w:rPr>
          <w:i/>
          <w:iCs/>
        </w:rPr>
        <w:t xml:space="preserve"> </w:t>
      </w:r>
      <w:r>
        <w:rPr>
          <w:i/>
          <w:iCs/>
        </w:rPr>
        <w:t xml:space="preserve">v. Mims</w:t>
      </w:r>
      <w:r>
        <w:t xml:space="preserve">, 2019</w:t>
      </w:r>
      <w:r>
        <w:noBreakHyphen/>
      </w:r>
      <w:r>
        <w:t xml:space="preserve">2088 (La. 8/14/20), 300 So.3d 867;</w:t>
      </w:r>
      <w:r>
        <w:t xml:space="preserve"> </w:t>
      </w:r>
      <w:r>
        <w:rPr>
          <w:i/>
          <w:iCs/>
        </w:rPr>
        <w:t xml:space="preserve">State</w:t>
      </w:r>
      <w:r>
        <w:rPr>
          <w:i/>
          <w:iCs/>
        </w:rPr>
        <w:t xml:space="preserve"> </w:t>
      </w:r>
      <w:r>
        <w:rPr>
          <w:i/>
          <w:iCs/>
        </w:rPr>
        <w:t xml:space="preserve">v. Sonnier</w:t>
      </w:r>
      <w:r>
        <w:t xml:space="preserve">, 2019</w:t>
      </w:r>
      <w:r>
        <w:noBreakHyphen/>
      </w:r>
      <w:r>
        <w:t xml:space="preserve">02066 (La. 8/14/20), 300 So.3d 857;</w:t>
      </w:r>
      <w:r>
        <w:t xml:space="preserve"> </w:t>
      </w:r>
      <w:r>
        <w:rPr>
          <w:i/>
          <w:iCs/>
        </w:rPr>
        <w:t xml:space="preserve">State</w:t>
      </w:r>
      <w:r>
        <w:rPr>
          <w:i/>
          <w:iCs/>
        </w:rPr>
        <w:t xml:space="preserve"> </w:t>
      </w:r>
      <w:r>
        <w:rPr>
          <w:i/>
          <w:iCs/>
        </w:rPr>
        <w:t xml:space="preserve">v. Pittman</w:t>
      </w:r>
      <w:r>
        <w:t xml:space="preserve">, 2019</w:t>
      </w:r>
      <w:r>
        <w:noBreakHyphen/>
      </w:r>
      <w:r>
        <w:t xml:space="preserve">01354 (La. 8/14/20), 300 So.3d 856;</w:t>
      </w:r>
      <w:r>
        <w:t xml:space="preserve"> </w:t>
      </w:r>
      <w:r>
        <w:rPr>
          <w:i/>
          <w:iCs/>
        </w:rPr>
        <w:t xml:space="preserve">State</w:t>
      </w:r>
      <w:r>
        <w:rPr>
          <w:i/>
          <w:iCs/>
        </w:rPr>
        <w:t xml:space="preserve"> </w:t>
      </w:r>
      <w:r>
        <w:rPr>
          <w:i/>
          <w:iCs/>
        </w:rPr>
        <w:t xml:space="preserve">v. Carter</w:t>
      </w:r>
      <w:r>
        <w:t xml:space="preserve">, 2019</w:t>
      </w:r>
      <w:r>
        <w:noBreakHyphen/>
      </w:r>
      <w:r>
        <w:t xml:space="preserve">02053 (La. 8/14/20), 300 So.3d 856;</w:t>
      </w:r>
      <w:r>
        <w:t xml:space="preserve"> </w:t>
      </w:r>
      <w:r>
        <w:rPr>
          <w:i/>
          <w:iCs/>
        </w:rPr>
        <w:t xml:space="preserve">State</w:t>
      </w:r>
      <w:r>
        <w:rPr>
          <w:i/>
          <w:iCs/>
        </w:rPr>
        <w:t xml:space="preserve"> </w:t>
      </w:r>
      <w:r>
        <w:rPr>
          <w:i/>
          <w:iCs/>
        </w:rPr>
        <w:t xml:space="preserve">v. Williams</w:t>
      </w:r>
      <w:r>
        <w:t xml:space="preserve">, 2019</w:t>
      </w:r>
      <w:r>
        <w:noBreakHyphen/>
      </w:r>
      <w:r>
        <w:t xml:space="preserve">02010 (La. 8/14/20), 300 So.3d 856;</w:t>
      </w:r>
      <w:r>
        <w:t xml:space="preserve"> </w:t>
      </w:r>
      <w:r>
        <w:rPr>
          <w:i/>
          <w:iCs/>
        </w:rPr>
        <w:t xml:space="preserve">Hernandez</w:t>
      </w:r>
      <w:r>
        <w:rPr>
          <w:i/>
          <w:iCs/>
        </w:rPr>
        <w:t xml:space="preserve"> </w:t>
      </w:r>
      <w:r>
        <w:rPr>
          <w:i/>
          <w:iCs/>
        </w:rPr>
        <w:t xml:space="preserve">v. Vannoy</w:t>
      </w:r>
      <w:r>
        <w:t xml:space="preserve">, 2019</w:t>
      </w:r>
      <w:r>
        <w:noBreakHyphen/>
      </w:r>
      <w:r>
        <w:t xml:space="preserve">02034 (La. 8/14/20), 300 So.3d 857;</w:t>
      </w:r>
      <w:r>
        <w:t xml:space="preserve"> </w:t>
      </w:r>
      <w:r>
        <w:rPr>
          <w:i/>
          <w:iCs/>
        </w:rPr>
        <w:t xml:space="preserve">State</w:t>
      </w:r>
      <w:r>
        <w:rPr>
          <w:i/>
          <w:iCs/>
        </w:rPr>
        <w:t xml:space="preserve"> </w:t>
      </w:r>
      <w:r>
        <w:rPr>
          <w:i/>
          <w:iCs/>
        </w:rPr>
        <w:t xml:space="preserve">v. Eaglin</w:t>
      </w:r>
      <w:r>
        <w:t xml:space="preserve">, 2019</w:t>
      </w:r>
      <w:r>
        <w:noBreakHyphen/>
      </w:r>
      <w:r>
        <w:t xml:space="preserve">01952 (La. 8/14/20), 300 So.3d 840;</w:t>
      </w:r>
      <w:r>
        <w:t xml:space="preserve"> </w:t>
      </w:r>
      <w:r>
        <w:rPr>
          <w:i/>
          <w:iCs/>
        </w:rPr>
        <w:t xml:space="preserve">State</w:t>
      </w:r>
      <w:r>
        <w:rPr>
          <w:i/>
          <w:iCs/>
        </w:rPr>
        <w:t xml:space="preserve"> </w:t>
      </w:r>
      <w:r>
        <w:rPr>
          <w:i/>
          <w:iCs/>
        </w:rPr>
        <w:t xml:space="preserve">v. Kidd</w:t>
      </w:r>
      <w:r>
        <w:t xml:space="preserve">, 2020</w:t>
      </w:r>
      <w:r>
        <w:noBreakHyphen/>
      </w:r>
      <w:r>
        <w:t xml:space="preserve">00055 (La. 8/14/20), 300 So.3d 828;</w:t>
      </w:r>
      <w:r>
        <w:t xml:space="preserve"> </w:t>
      </w:r>
      <w:r>
        <w:rPr>
          <w:i/>
          <w:iCs/>
        </w:rPr>
        <w:t xml:space="preserve">State</w:t>
      </w:r>
      <w:r>
        <w:rPr>
          <w:i/>
          <w:iCs/>
        </w:rPr>
        <w:t xml:space="preserve"> </w:t>
      </w:r>
      <w:r>
        <w:rPr>
          <w:i/>
          <w:iCs/>
        </w:rPr>
        <w:t xml:space="preserve">v. Joseph</w:t>
      </w:r>
      <w:r>
        <w:t xml:space="preserve">, 2020</w:t>
      </w:r>
      <w:r>
        <w:noBreakHyphen/>
      </w:r>
      <w:r>
        <w:t xml:space="preserve">01989 (La. 8/14/20), 300 So.3d 824;</w:t>
      </w:r>
      <w:r>
        <w:t xml:space="preserve"> </w:t>
      </w:r>
      <w:r>
        <w:rPr>
          <w:i/>
          <w:iCs/>
        </w:rPr>
        <w:t xml:space="preserve">State</w:t>
      </w:r>
      <w:r>
        <w:rPr>
          <w:i/>
          <w:iCs/>
        </w:rPr>
        <w:t xml:space="preserve"> </w:t>
      </w:r>
      <w:r>
        <w:rPr>
          <w:i/>
          <w:iCs/>
        </w:rPr>
        <w:t xml:space="preserve">v. Barrett</w:t>
      </w:r>
      <w:r>
        <w:t xml:space="preserve">, 2019</w:t>
      </w:r>
      <w:r>
        <w:noBreakHyphen/>
      </w:r>
      <w:r>
        <w:t xml:space="preserve">01718 (La. 8/14/20), 300 So.3d 827*;</w:t>
      </w:r>
      <w:r>
        <w:t xml:space="preserve"> </w:t>
      </w:r>
      <w:r>
        <w:rPr>
          <w:i/>
          <w:iCs/>
        </w:rPr>
        <w:t xml:space="preserve">State</w:t>
      </w:r>
      <w:r>
        <w:rPr>
          <w:i/>
          <w:iCs/>
        </w:rPr>
        <w:t xml:space="preserve"> </w:t>
      </w:r>
      <w:r>
        <w:rPr>
          <w:i/>
          <w:iCs/>
        </w:rPr>
        <w:t xml:space="preserve">v. Harris</w:t>
      </w:r>
      <w:r>
        <w:t xml:space="preserve">, 2020</w:t>
      </w:r>
      <w:r>
        <w:noBreakHyphen/>
      </w:r>
      <w:r>
        <w:t xml:space="preserve">00291 (La. 9/8/20), 301 So.3d 13;</w:t>
      </w:r>
      <w:r>
        <w:t xml:space="preserve"> </w:t>
      </w:r>
      <w:r>
        <w:rPr>
          <w:i/>
          <w:iCs/>
        </w:rPr>
        <w:t xml:space="preserve">State</w:t>
      </w:r>
      <w:r>
        <w:rPr>
          <w:i/>
          <w:iCs/>
        </w:rPr>
        <w:t xml:space="preserve"> </w:t>
      </w:r>
      <w:r>
        <w:rPr>
          <w:i/>
          <w:iCs/>
        </w:rPr>
        <w:t xml:space="preserve">v. Skipper</w:t>
      </w:r>
      <w:r>
        <w:t xml:space="preserve">, 2020</w:t>
      </w:r>
      <w:r>
        <w:noBreakHyphen/>
      </w:r>
      <w:r>
        <w:t xml:space="preserve">00280 (La. 9/8/20), 301 So.3d 16;</w:t>
      </w:r>
      <w:r>
        <w:t xml:space="preserve"> </w:t>
      </w:r>
      <w:r>
        <w:rPr>
          <w:i/>
          <w:iCs/>
        </w:rPr>
        <w:t xml:space="preserve">State</w:t>
      </w:r>
      <w:r>
        <w:rPr>
          <w:i/>
          <w:iCs/>
        </w:rPr>
        <w:t xml:space="preserve"> </w:t>
      </w:r>
      <w:r>
        <w:rPr>
          <w:i/>
          <w:iCs/>
        </w:rPr>
        <w:t xml:space="preserve">v. Sims</w:t>
      </w:r>
      <w:r>
        <w:t xml:space="preserve">, 2020</w:t>
      </w:r>
      <w:r>
        <w:noBreakHyphen/>
      </w:r>
      <w:r>
        <w:t xml:space="preserve">00298 (La. 9/8/20), 301 So.3d 17;</w:t>
      </w:r>
      <w:r>
        <w:t xml:space="preserve"> </w:t>
      </w:r>
      <w:r>
        <w:rPr>
          <w:i/>
          <w:iCs/>
        </w:rPr>
        <w:t xml:space="preserve">State</w:t>
      </w:r>
      <w:r>
        <w:rPr>
          <w:i/>
          <w:iCs/>
        </w:rPr>
        <w:t xml:space="preserve"> </w:t>
      </w:r>
      <w:r>
        <w:rPr>
          <w:i/>
          <w:iCs/>
        </w:rPr>
        <w:t xml:space="preserve">v. Jackson</w:t>
      </w:r>
      <w:r>
        <w:t xml:space="preserve">, 2020</w:t>
      </w:r>
      <w:r>
        <w:noBreakHyphen/>
      </w:r>
      <w:r>
        <w:t xml:space="preserve">00037 (La. 9/8/20), 301 So.3d 33;</w:t>
      </w:r>
      <w:r>
        <w:t xml:space="preserve"> </w:t>
      </w:r>
      <w:r>
        <w:rPr>
          <w:i/>
          <w:iCs/>
        </w:rPr>
        <w:t xml:space="preserve">State</w:t>
      </w:r>
      <w:r>
        <w:rPr>
          <w:i/>
          <w:iCs/>
        </w:rPr>
        <w:t xml:space="preserve"> </w:t>
      </w:r>
      <w:r>
        <w:rPr>
          <w:i/>
          <w:iCs/>
        </w:rPr>
        <w:t xml:space="preserve">v. Hawthorne</w:t>
      </w:r>
      <w:r>
        <w:t xml:space="preserve">, 2020</w:t>
      </w:r>
      <w:r>
        <w:noBreakHyphen/>
      </w:r>
      <w:r>
        <w:t xml:space="preserve">00586 (La. 9/29/20), 2020 WL 5793105;</w:t>
      </w:r>
      <w:r>
        <w:t xml:space="preserve"> </w:t>
      </w:r>
      <w:r>
        <w:rPr>
          <w:i/>
          <w:iCs/>
        </w:rPr>
        <w:t xml:space="preserve">State</w:t>
      </w:r>
      <w:r>
        <w:rPr>
          <w:i/>
          <w:iCs/>
        </w:rPr>
        <w:t xml:space="preserve"> </w:t>
      </w:r>
      <w:r>
        <w:rPr>
          <w:i/>
          <w:iCs/>
        </w:rPr>
        <w:t xml:space="preserve">v. Alcus Smith</w:t>
      </w:r>
      <w:r>
        <w:t xml:space="preserve">, 2020</w:t>
      </w:r>
      <w:r>
        <w:noBreakHyphen/>
      </w:r>
      <w:r>
        <w:t xml:space="preserve">00621 (La. 9/29/20), 2020 WL 5793717;</w:t>
      </w:r>
      <w:r>
        <w:t xml:space="preserve"> </w:t>
      </w:r>
      <w:r>
        <w:rPr>
          <w:i/>
          <w:iCs/>
        </w:rPr>
        <w:t xml:space="preserve">State</w:t>
      </w:r>
      <w:r>
        <w:rPr>
          <w:i/>
          <w:iCs/>
        </w:rPr>
        <w:t xml:space="preserve"> </w:t>
      </w:r>
      <w:r>
        <w:rPr>
          <w:i/>
          <w:iCs/>
        </w:rPr>
        <w:t xml:space="preserve">v. Johnson</w:t>
      </w:r>
      <w:r>
        <w:t xml:space="preserve">, 2020</w:t>
      </w:r>
      <w:r>
        <w:noBreakHyphen/>
      </w:r>
      <w:r>
        <w:t xml:space="preserve">00052 (La. 9/29/20), 2020 WL 5793805;</w:t>
      </w:r>
      <w:r>
        <w:t xml:space="preserve"> </w:t>
      </w:r>
      <w:r>
        <w:rPr>
          <w:i/>
          <w:iCs/>
        </w:rPr>
        <w:t xml:space="preserve">Givens</w:t>
      </w:r>
      <w:r>
        <w:rPr>
          <w:i/>
          <w:iCs/>
        </w:rPr>
        <w:t xml:space="preserve"> </w:t>
      </w:r>
      <w:r>
        <w:rPr>
          <w:i/>
          <w:iCs/>
        </w:rPr>
        <w:t xml:space="preserve">v. State Through Attorney General’s Office</w:t>
      </w:r>
      <w:r>
        <w:t xml:space="preserve">, 2020</w:t>
      </w:r>
      <w:r>
        <w:noBreakHyphen/>
      </w:r>
      <w:r>
        <w:t xml:space="preserve">00268 (La. 10/6/20), 2020 WL 5904873;</w:t>
      </w:r>
      <w:r>
        <w:t xml:space="preserve"> </w:t>
      </w:r>
      <w:r>
        <w:rPr>
          <w:i/>
          <w:iCs/>
        </w:rPr>
        <w:t xml:space="preserve">Cassard</w:t>
      </w:r>
      <w:r>
        <w:rPr>
          <w:i/>
          <w:iCs/>
        </w:rPr>
        <w:t xml:space="preserve"> </w:t>
      </w:r>
      <w:r>
        <w:rPr>
          <w:i/>
          <w:iCs/>
        </w:rPr>
        <w:t xml:space="preserve">v. Vannoy</w:t>
      </w:r>
      <w:r>
        <w:t xml:space="preserve">, 2020</w:t>
      </w:r>
      <w:r>
        <w:noBreakHyphen/>
      </w:r>
      <w:r>
        <w:t xml:space="preserve">00020 (La. 10/6/20), 2020 WL 5905099;</w:t>
      </w:r>
      <w:r>
        <w:t xml:space="preserve"> </w:t>
      </w:r>
      <w:r>
        <w:rPr>
          <w:i/>
          <w:iCs/>
        </w:rPr>
        <w:t xml:space="preserve">State</w:t>
      </w:r>
      <w:r>
        <w:rPr>
          <w:i/>
          <w:iCs/>
        </w:rPr>
        <w:t xml:space="preserve"> </w:t>
      </w:r>
      <w:r>
        <w:rPr>
          <w:i/>
          <w:iCs/>
        </w:rPr>
        <w:t xml:space="preserve">v. Brooks</w:t>
      </w:r>
      <w:r>
        <w:t xml:space="preserve">, 2020</w:t>
      </w:r>
      <w:r>
        <w:noBreakHyphen/>
      </w:r>
      <w:r>
        <w:t xml:space="preserve">00378 (La. 10/14/20), 2020 WL 6059695;</w:t>
      </w:r>
      <w:r>
        <w:t xml:space="preserve"> </w:t>
      </w:r>
      <w:r>
        <w:rPr>
          <w:i/>
          <w:iCs/>
        </w:rPr>
        <w:t xml:space="preserve">State</w:t>
      </w:r>
      <w:r>
        <w:rPr>
          <w:i/>
          <w:iCs/>
        </w:rPr>
        <w:t xml:space="preserve"> </w:t>
      </w:r>
      <w:r>
        <w:rPr>
          <w:i/>
          <w:iCs/>
        </w:rPr>
        <w:t xml:space="preserve">v. Moran</w:t>
      </w:r>
      <w:r>
        <w:t xml:space="preserve">, 2020</w:t>
      </w:r>
      <w:r>
        <w:noBreakHyphen/>
      </w:r>
      <w:r>
        <w:t xml:space="preserve">00623 (La. App. 10/14/20), 2020 WL 6059685.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240" w:after="120" w:line="276" w:lineRule="exact"/>
      <w:ind w:left="720" w:right="720" w:firstLine="0"/>
    </w:pPr>
  </w:style>
  <w:style w:type="paragraph" w:customStyle="1" w:styleId="XdQuoteLast">
    <w:name w:val="Xd Quote Last"/>
    <w:basedOn w:val="Normal"/>
    <w:qFormat/>
    <w:pPr>
      <w:spacing w:before="12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