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tr-none.xml" ContentType="application/vnd.openxmlformats-officedocument.wordprocessingml.footer+xml"/>
  <Override PartName="/word/ftr-page.xml" ContentType="application/vnd.openxmlformats-officedocument.wordprocessingml.footer+xml"/>
  <Override PartName="/word/ftr-add.xml" ContentType="application/vnd.openxmlformats-officedocument.wordprocessingml.footer+xml"/>
  <Override PartName="/word/ftr-own1.xml" ContentType="application/vnd.openxmlformats-officedocument.wordprocessingml.footer+xml"/>
  <Override PartName="/word/ftr-own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276" w:lineRule="exact"/>
        <w:ind w:left="0" w:firstLine="0"/>
        <w:jc w:val="center"/>
      </w:pPr>
      <w:r>
        <w:rPr>
          <w:b/>
          <w:bCs/>
        </w:rPr>
        <w:t xml:space="preserve">SUPREME</w:t>
      </w:r>
      <w:r>
        <w:rPr>
          <w:b/>
          <w:bCs/>
        </w:rPr>
        <w:t xml:space="preserve"> </w:t>
      </w:r>
      <w:r>
        <w:rPr>
          <w:b/>
          <w:bCs/>
        </w:rPr>
        <w:t xml:space="preserve">COURT</w:t>
      </w:r>
      <w:r>
        <w:rPr>
          <w:b/>
          <w:bCs/>
        </w:rPr>
        <w:t xml:space="preserve"> </w:t>
      </w:r>
      <w:r>
        <w:rPr>
          <w:b/>
          <w:bCs/>
        </w:rPr>
        <w:t xml:space="preserve">OF</w:t>
      </w:r>
      <w:r>
        <w:rPr>
          <w:b/>
          <w:bCs/>
        </w:rPr>
        <w:t xml:space="preserve"> </w:t>
      </w:r>
      <w:r>
        <w:rPr>
          <w:b/>
          <w:bCs/>
        </w:rPr>
        <w:t xml:space="preserve">LOUISIANA</w:t>
      </w:r>
    </w:p>
    <w:p>
      <w:pPr>
        <w:spacing w:before="288" w:after="0" w:line="276" w:lineRule="exact"/>
        <w:ind w:left="0" w:firstLine="0"/>
        <w:jc w:val="center"/>
      </w:pPr>
      <w:r>
        <w:t xml:space="preserve">No.</w:t>
      </w:r>
      <w:r>
        <w:t xml:space="preserve"> </w:t>
      </w:r>
      <w:r>
        <w:t xml:space="preserve">___________</w:t>
      </w:r>
    </w:p>
    <w:p>
      <w:pPr>
        <w:spacing w:before="384" w:after="0" w:line="276" w:lineRule="exact"/>
        <w:ind w:left="0" w:right="4968" w:firstLine="0"/>
        <w:jc w:val="left"/>
      </w:pPr>
      <w:r>
        <w:t xml:space="preserve">JEROME</w:t>
      </w:r>
      <w:r>
        <w:t xml:space="preserve"> </w:t>
      </w:r>
      <w:r>
        <w:t xml:space="preserve">MORGAN,</w:t>
      </w:r>
      <w:r>
        <w:t xml:space="preserve"> </w:t>
      </w:r>
      <w:r>
        <w:t xml:space="preserve">ON</w:t>
      </w:r>
      <w:r>
        <w:t xml:space="preserve"> </w:t>
      </w:r>
      <w:r>
        <w:t xml:space="preserve">BEHALF</w:t>
      </w:r>
      <w:r>
        <w:t xml:space="preserve"> </w:t>
      </w:r>
      <w:r>
        <w:t xml:space="preserve">OF</w:t>
      </w:r>
      <w:r>
        <w:t xml:space="preserve"> </w:t>
      </w:r>
      <w:r>
        <w:t xml:space="preserve">HIMSELF</w:t>
      </w:r>
      <w:r>
        <w:t xml:space="preserve"> </w:t>
      </w:r>
      <w:r>
        <w:t xml:space="preserve">AND</w:t>
      </w:r>
      <w:r>
        <w:t xml:space="preserve"> </w:t>
      </w:r>
      <w:r>
        <w:t xml:space="preserve">ALL</w:t>
      </w:r>
      <w:r>
        <w:t xml:space="preserve"> </w:t>
      </w:r>
      <w:r>
        <w:t xml:space="preserve">OTHERS</w:t>
      </w:r>
      <w:r>
        <w:t xml:space="preserve"> </w:t>
      </w:r>
      <w:r>
        <w:t xml:space="preserve">SIMILARLY</w:t>
      </w:r>
      <w:r>
        <w:t xml:space="preserve"> </w:t>
      </w:r>
      <w:r>
        <w:t xml:space="preserve">SITUATED,</w:t>
      </w:r>
    </w:p>
    <w:p>
      <w:pPr>
        <w:spacing w:before="0" w:after="0" w:line="276" w:lineRule="exact"/>
        <w:ind w:left="720" w:right="4968" w:firstLine="0"/>
        <w:jc w:val="left"/>
      </w:pPr>
      <w:r>
        <w:t xml:space="preserve">Plaintiff/​Applicant</w:t>
      </w:r>
    </w:p>
    <w:p>
      <w:pPr>
        <w:spacing w:before="192" w:after="192" w:line="276" w:lineRule="exact"/>
        <w:ind w:left="720" w:firstLine="0"/>
        <w:jc w:val="left"/>
      </w:pPr>
      <w:r>
        <w:t xml:space="preserve">V.</w:t>
      </w:r>
    </w:p>
    <w:p>
      <w:pPr>
        <w:spacing w:before="0" w:after="0" w:line="276" w:lineRule="exact"/>
        <w:ind w:left="0" w:right="4968" w:firstLine="0"/>
        <w:jc w:val="left"/>
      </w:pPr>
      <w:r>
        <w:t xml:space="preserve">BLAIR’S</w:t>
      </w:r>
      <w:r>
        <w:t xml:space="preserve"> </w:t>
      </w:r>
      <w:r>
        <w:t xml:space="preserve">BAIL</w:t>
      </w:r>
      <w:r>
        <w:t xml:space="preserve"> </w:t>
      </w:r>
      <w:r>
        <w:t xml:space="preserve">BONDS,</w:t>
      </w:r>
      <w:r>
        <w:t xml:space="preserve"> </w:t>
      </w:r>
      <w:r>
        <w:t xml:space="preserve">INC.,</w:t>
      </w:r>
      <w:r>
        <w:t xml:space="preserve"> </w:t>
      </w:r>
      <w:r>
        <w:t xml:space="preserve">and</w:t>
      </w:r>
    </w:p>
    <w:p>
      <w:pPr>
        <w:spacing w:before="0" w:after="0" w:line="276" w:lineRule="exact"/>
        <w:ind w:left="0" w:right="4968" w:firstLine="0"/>
        <w:jc w:val="left"/>
      </w:pPr>
      <w:r>
        <w:t xml:space="preserve">BANKERS</w:t>
      </w:r>
      <w:r>
        <w:t xml:space="preserve"> </w:t>
      </w:r>
      <w:r>
        <w:t xml:space="preserve">INSURANCE</w:t>
      </w:r>
      <w:r>
        <w:t xml:space="preserve"> </w:t>
      </w:r>
      <w:r>
        <w:t xml:space="preserve">COMPANY,</w:t>
      </w:r>
      <w:r>
        <w:t xml:space="preserve"> </w:t>
      </w:r>
      <w:r>
        <w:t xml:space="preserve">INC.</w:t>
      </w:r>
    </w:p>
    <w:p>
      <w:pPr>
        <w:spacing w:before="0" w:after="0" w:line="276" w:lineRule="exact"/>
        <w:ind w:left="720" w:right="4968" w:firstLine="0"/>
        <w:jc w:val="left"/>
      </w:pPr>
      <w:r>
        <w:t xml:space="preserve">Defendants/​Respondents</w:t>
      </w:r>
    </w:p>
    <w:p>
      <w:pPr>
        <w:spacing w:before="288" w:after="0" w:line="276" w:lineRule="exact"/>
        <w:ind w:left="0" w:firstLine="0"/>
        <w:jc w:val="center"/>
      </w:pPr>
      <w:r>
        <w:t xml:space="preserve">A</w:t>
      </w:r>
      <w:r>
        <w:t xml:space="preserve"> </w:t>
      </w:r>
      <w:r>
        <w:t xml:space="preserve">CIVIL</w:t>
      </w:r>
      <w:r>
        <w:t xml:space="preserve"> </w:t>
      </w:r>
      <w:r>
        <w:t xml:space="preserve">PROCEEDING</w:t>
      </w:r>
    </w:p>
    <w:p>
      <w:pPr>
        <w:spacing w:before="0" w:after="0" w:line="276" w:lineRule="exact"/>
        <w:ind w:left="0" w:firstLine="0"/>
        <w:jc w:val="center"/>
      </w:pPr>
      <w:r>
        <w:t xml:space="preserve">FROM</w:t>
      </w:r>
      <w:r>
        <w:t xml:space="preserve"> </w:t>
      </w:r>
      <w:r>
        <w:t xml:space="preserve">THE</w:t>
      </w:r>
      <w:r>
        <w:t xml:space="preserve"> </w:t>
      </w:r>
      <w:r>
        <w:t xml:space="preserve">RULING</w:t>
      </w:r>
      <w:r>
        <w:t xml:space="preserve"> </w:t>
      </w:r>
      <w:r>
        <w:t xml:space="preserve">OF</w:t>
      </w:r>
      <w:r>
        <w:t xml:space="preserve"> </w:t>
      </w:r>
      <w:r>
        <w:t xml:space="preserve">THE</w:t>
      </w:r>
      <w:r>
        <w:t xml:space="preserve"> </w:t>
      </w:r>
      <w:r>
        <w:t xml:space="preserve">LOUISIANA</w:t>
      </w:r>
      <w:r>
        <w:t xml:space="preserve"> </w:t>
      </w:r>
      <w:r>
        <w:t xml:space="preserve">COURT</w:t>
      </w:r>
      <w:r>
        <w:t xml:space="preserve"> </w:t>
      </w:r>
      <w:r>
        <w:t xml:space="preserve">OF</w:t>
      </w:r>
      <w:r>
        <w:t xml:space="preserve"> </w:t>
      </w:r>
      <w:r>
        <w:t xml:space="preserve">APPEAL,</w:t>
      </w:r>
      <w:r>
        <w:t xml:space="preserve"> </w:t>
      </w:r>
      <w:r>
        <w:t xml:space="preserve">FOURTH</w:t>
      </w:r>
      <w:r>
        <w:t xml:space="preserve"> </w:t>
      </w:r>
      <w:r>
        <w:t xml:space="preserve">CIRCUIT,</w:t>
      </w:r>
      <w:r>
        <w:t xml:space="preserve"> </w:t>
      </w:r>
      <w:r>
        <w:t xml:space="preserve">CASE</w:t>
      </w:r>
      <w:r>
        <w:t xml:space="preserve"> </w:t>
      </w:r>
      <w:r>
        <w:t xml:space="preserve">NO.</w:t>
      </w:r>
      <w:r>
        <w:t xml:space="preserve"> </w:t>
      </w:r>
      <w:r>
        <w:t xml:space="preserve">2021-C</w:t>
        <w:noBreakHyphen/>
        <w:t xml:space="preserve">0249</w:t>
      </w:r>
    </w:p>
    <w:p>
      <w:pPr>
        <w:spacing w:before="0" w:after="0" w:line="276" w:lineRule="exact"/>
        <w:ind w:left="0" w:firstLine="0"/>
        <w:jc w:val="center"/>
      </w:pPr>
      <w:r>
        <w:t xml:space="preserve">FROM</w:t>
      </w:r>
      <w:r>
        <w:t xml:space="preserve"> </w:t>
      </w:r>
      <w:r>
        <w:t xml:space="preserve">THE</w:t>
      </w:r>
      <w:r>
        <w:t xml:space="preserve"> </w:t>
      </w:r>
      <w:r>
        <w:t xml:space="preserve">CIVIL</w:t>
      </w:r>
      <w:r>
        <w:t xml:space="preserve"> </w:t>
      </w:r>
      <w:r>
        <w:t xml:space="preserve">DISTRICT</w:t>
      </w:r>
      <w:r>
        <w:t xml:space="preserve"> </w:t>
      </w:r>
      <w:r>
        <w:t xml:space="preserve">COURT,</w:t>
      </w:r>
      <w:r>
        <w:t xml:space="preserve"> </w:t>
      </w:r>
      <w:r>
        <w:t xml:space="preserve">PARISH</w:t>
      </w:r>
      <w:r>
        <w:t xml:space="preserve"> </w:t>
      </w:r>
      <w:r>
        <w:t xml:space="preserve">OF</w:t>
      </w:r>
      <w:r>
        <w:t xml:space="preserve"> </w:t>
      </w:r>
      <w:r>
        <w:t xml:space="preserve">ORLEANS,</w:t>
      </w:r>
      <w:r>
        <w:t xml:space="preserve"> </w:t>
      </w:r>
      <w:r>
        <w:t xml:space="preserve">CIVIL</w:t>
      </w:r>
      <w:r>
        <w:t xml:space="preserve"> </w:t>
      </w:r>
      <w:r>
        <w:t xml:space="preserve">CASE</w:t>
      </w:r>
      <w:r>
        <w:t xml:space="preserve"> </w:t>
      </w:r>
      <w:r>
        <w:t xml:space="preserve">NO.</w:t>
      </w:r>
      <w:r>
        <w:t xml:space="preserve"> </w:t>
      </w:r>
      <w:r>
        <w:t xml:space="preserve">2019</w:t>
        <w:noBreakHyphen/>
        <w:t xml:space="preserve">08430,</w:t>
      </w:r>
      <w:r>
        <w:t xml:space="preserve"> </w:t>
      </w:r>
      <w:r>
        <w:t xml:space="preserve">DIVISION</w:t>
      </w:r>
      <w:r>
        <w:t xml:space="preserve"> </w:t>
      </w:r>
      <w:r>
        <w:t xml:space="preserve">“G</w:t>
        <w:noBreakHyphen/>
        <w:t xml:space="preserve">11”,</w:t>
      </w:r>
      <w:r>
        <w:t xml:space="preserve"> </w:t>
      </w:r>
      <w:r>
        <w:t xml:space="preserve">HONORABLE</w:t>
      </w:r>
      <w:r>
        <w:t xml:space="preserve"> </w:t>
      </w:r>
      <w:r>
        <w:t xml:space="preserve">ROBIN</w:t>
      </w:r>
      <w:r>
        <w:t xml:space="preserve"> </w:t>
      </w:r>
      <w:r>
        <w:t xml:space="preserve">M.</w:t>
      </w:r>
      <w:r>
        <w:t xml:space="preserve"> </w:t>
      </w:r>
      <w:r>
        <w:t xml:space="preserve">GIARRUSSO,</w:t>
      </w:r>
      <w:r>
        <w:t xml:space="preserve"> </w:t>
      </w:r>
      <w:r>
        <w:t xml:space="preserve">PRESIDING</w:t>
      </w:r>
    </w:p>
    <w:p>
      <w:pPr>
        <w:spacing w:before="384" w:after="0" w:line="276" w:lineRule="exact"/>
        <w:ind w:left="0" w:firstLine="0"/>
        <w:jc w:val="center"/>
      </w:pPr>
      <w:r>
        <w:rPr>
          <w:b/>
          <w:bCs/>
        </w:rPr>
        <w:t xml:space="preserve">APPLICATION</w:t>
      </w:r>
      <w:r>
        <w:rPr>
          <w:b/>
          <w:bCs/>
        </w:rPr>
        <w:t xml:space="preserve"> </w:t>
      </w:r>
      <w:r>
        <w:rPr>
          <w:b/>
          <w:bCs/>
        </w:rPr>
        <w:t xml:space="preserve">OF</w:t>
      </w:r>
      <w:r>
        <w:rPr>
          <w:b/>
          <w:bCs/>
        </w:rPr>
        <w:t xml:space="preserve"> </w:t>
      </w:r>
      <w:r>
        <w:rPr>
          <w:b/>
          <w:bCs/>
        </w:rPr>
        <w:t xml:space="preserve">JEROME</w:t>
      </w:r>
      <w:r>
        <w:rPr>
          <w:b/>
          <w:bCs/>
        </w:rPr>
        <w:t xml:space="preserve"> </w:t>
      </w:r>
      <w:r>
        <w:rPr>
          <w:b/>
          <w:bCs/>
        </w:rPr>
        <w:t xml:space="preserve">MORGAN,</w:t>
      </w:r>
      <w:r>
        <w:rPr>
          <w:b/>
          <w:bCs/>
        </w:rPr>
        <w:t xml:space="preserve"> </w:t>
      </w:r>
      <w:r>
        <w:rPr>
          <w:b/>
          <w:bCs/>
        </w:rPr>
        <w:t xml:space="preserve">ON</w:t>
      </w:r>
      <w:r>
        <w:rPr>
          <w:b/>
          <w:bCs/>
        </w:rPr>
        <w:t xml:space="preserve"> </w:t>
      </w:r>
      <w:r>
        <w:rPr>
          <w:b/>
          <w:bCs/>
        </w:rPr>
        <w:t xml:space="preserve">BEHALF</w:t>
      </w:r>
      <w:r>
        <w:rPr>
          <w:b/>
          <w:bCs/>
        </w:rPr>
        <w:t xml:space="preserve"> </w:t>
      </w:r>
      <w:r>
        <w:rPr>
          <w:b/>
          <w:bCs/>
        </w:rPr>
        <w:t xml:space="preserve">OF</w:t>
      </w:r>
      <w:r>
        <w:rPr>
          <w:b/>
          <w:bCs/>
        </w:rPr>
        <w:t xml:space="preserve"> </w:t>
      </w:r>
      <w:r>
        <w:rPr>
          <w:b/>
          <w:bCs/>
        </w:rPr>
        <w:t xml:space="preserve">HIMSELF</w:t>
      </w:r>
      <w:r>
        <w:rPr>
          <w:b/>
          <w:bCs/>
        </w:rPr>
        <w:t xml:space="preserve"> </w:t>
      </w:r>
      <w:r>
        <w:rPr>
          <w:b/>
          <w:bCs/>
        </w:rPr>
        <w:t xml:space="preserve">AND</w:t>
      </w:r>
      <w:r>
        <w:rPr>
          <w:b/>
          <w:bCs/>
        </w:rPr>
        <w:t xml:space="preserve"> </w:t>
      </w:r>
      <w:r>
        <w:rPr>
          <w:b/>
          <w:bCs/>
        </w:rPr>
        <w:t xml:space="preserve">ALL</w:t>
      </w:r>
      <w:r>
        <w:rPr>
          <w:b/>
          <w:bCs/>
        </w:rPr>
        <w:t xml:space="preserve"> </w:t>
      </w:r>
      <w:r>
        <w:rPr>
          <w:b/>
          <w:bCs/>
        </w:rPr>
        <w:t xml:space="preserve">OTHERS</w:t>
      </w:r>
      <w:r>
        <w:rPr>
          <w:b/>
          <w:bCs/>
        </w:rPr>
        <w:t xml:space="preserve"> </w:t>
      </w:r>
      <w:r>
        <w:rPr>
          <w:b/>
          <w:bCs/>
        </w:rPr>
        <w:t xml:space="preserve">SIMILARLY</w:t>
      </w:r>
      <w:r>
        <w:rPr>
          <w:b/>
          <w:bCs/>
        </w:rPr>
        <w:t xml:space="preserve"> </w:t>
      </w:r>
      <w:r>
        <w:rPr>
          <w:b/>
          <w:bCs/>
        </w:rPr>
        <w:t xml:space="preserve">SITUATED,</w:t>
      </w:r>
      <w:r>
        <w:rPr>
          <w:b/>
          <w:bCs/>
        </w:rPr>
        <w:t xml:space="preserve"> </w:t>
      </w:r>
      <w:r>
        <w:rPr>
          <w:b/>
          <w:bCs/>
        </w:rPr>
        <w:t xml:space="preserve">FOR</w:t>
      </w:r>
      <w:r>
        <w:rPr>
          <w:b/>
          <w:bCs/>
        </w:rPr>
        <w:t xml:space="preserve"> </w:t>
      </w:r>
      <w:r>
        <w:rPr>
          <w:b/>
          <w:bCs/>
        </w:rPr>
        <w:t xml:space="preserve">SUPERVISORY</w:t>
      </w:r>
      <w:r>
        <w:rPr>
          <w:b/>
          <w:bCs/>
        </w:rPr>
        <w:t xml:space="preserve"> </w:t>
      </w:r>
      <w:r>
        <w:rPr>
          <w:b/>
          <w:bCs/>
        </w:rPr>
        <w:t xml:space="preserve">WRIT</w:t>
      </w:r>
    </w:p>
    <w:p>
      <w:pPr>
        <w:spacing w:before="0" w:after="0" w:line="528"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4464"/>
        <w:gridCol w:w="4896"/>
      </w:tblGrid>
      <w:tr>
        <w:trPr>
          <w:cantSplit/>
        </w:trPr>
        <w:tc>
          <w:tcPr>
            <w:tcW w:w="4464" w:type="dxa"/>
          </w:tcPr>
          <w:p>
            <w:pPr>
              <w:spacing w:before="0" w:after="0" w:line="276" w:lineRule="exact"/>
              <w:ind w:left="0" w:firstLine="0"/>
              <w:jc w:val="left"/>
            </w:pPr>
            <w:r>
              <w:t xml:space="preserve">Micah</w:t>
            </w:r>
            <w:r>
              <w:t xml:space="preserve"> </w:t>
            </w:r>
            <w:r>
              <w:t xml:space="preserve">West</w:t>
            </w:r>
            <w:r>
              <w:t xml:space="preserve"> </w:t>
            </w:r>
            <w:r>
              <w:t xml:space="preserve">(ASB</w:t>
              <w:noBreakHyphen/>
              <w:t xml:space="preserve">1842-J82F*)</w:t>
            </w:r>
          </w:p>
          <w:p>
            <w:pPr>
              <w:spacing w:before="0" w:after="0" w:line="276" w:lineRule="exact"/>
              <w:ind w:left="0" w:firstLine="0"/>
              <w:jc w:val="left"/>
            </w:pPr>
            <w:r>
              <w:t xml:space="preserve">Anjana</w:t>
            </w:r>
            <w:r>
              <w:t xml:space="preserve"> </w:t>
            </w:r>
            <w:r>
              <w:t xml:space="preserve">Joshi</w:t>
            </w:r>
            <w:r>
              <w:t xml:space="preserve"> </w:t>
            </w:r>
            <w:r>
              <w:t xml:space="preserve">(La.</w:t>
            </w:r>
            <w:r>
              <w:t xml:space="preserve"> </w:t>
            </w:r>
            <w:r>
              <w:t xml:space="preserve">Bar</w:t>
            </w:r>
            <w:r>
              <w:t xml:space="preserve"> </w:t>
            </w:r>
            <w:r>
              <w:t xml:space="preserve">No.</w:t>
            </w:r>
            <w:r>
              <w:t xml:space="preserve"> </w:t>
            </w:r>
            <w:r>
              <w:t xml:space="preserve">39020)</w:t>
            </w:r>
          </w:p>
          <w:p>
            <w:pPr>
              <w:spacing w:before="0" w:after="0" w:line="276" w:lineRule="exact"/>
              <w:ind w:left="0" w:firstLine="0"/>
              <w:jc w:val="left"/>
            </w:pPr>
            <w:r>
              <w:t xml:space="preserve">SOUTHERN</w:t>
            </w:r>
            <w:r>
              <w:t xml:space="preserve"> </w:t>
            </w:r>
            <w:r>
              <w:t xml:space="preserve">POVERTY</w:t>
            </w:r>
            <w:r>
              <w:t xml:space="preserve"> </w:t>
            </w:r>
            <w:r>
              <w:t xml:space="preserve">LAW</w:t>
            </w:r>
            <w:r>
              <w:t xml:space="preserve"> </w:t>
            </w:r>
            <w:r>
              <w:t xml:space="preserve">CENTER</w:t>
            </w:r>
          </w:p>
          <w:p>
            <w:pPr>
              <w:spacing w:before="0" w:after="0" w:line="276" w:lineRule="exact"/>
              <w:ind w:left="0" w:firstLine="0"/>
              <w:jc w:val="left"/>
            </w:pPr>
            <w:r>
              <w:t xml:space="preserve">201</w:t>
            </w:r>
            <w:r>
              <w:t xml:space="preserve"> </w:t>
            </w:r>
            <w:r>
              <w:t xml:space="preserve">St.</w:t>
            </w:r>
            <w:r>
              <w:t xml:space="preserve"> </w:t>
            </w:r>
            <w:r>
              <w:t xml:space="preserve">Charles</w:t>
            </w:r>
            <w:r>
              <w:t xml:space="preserve"> </w:t>
            </w:r>
            <w:r>
              <w:t xml:space="preserve">Avenue,</w:t>
            </w:r>
            <w:r>
              <w:t xml:space="preserve"> </w:t>
            </w:r>
            <w:r>
              <w:t xml:space="preserve">Suite</w:t>
            </w:r>
            <w:r>
              <w:t xml:space="preserve"> </w:t>
            </w:r>
            <w:r>
              <w:t xml:space="preserve">2000</w:t>
            </w:r>
          </w:p>
          <w:p>
            <w:pPr>
              <w:spacing w:before="0" w:after="0" w:line="276" w:lineRule="exact"/>
              <w:ind w:left="0" w:firstLine="0"/>
              <w:jc w:val="left"/>
            </w:pPr>
            <w:r>
              <w:t xml:space="preserve">New</w:t>
            </w:r>
            <w:r>
              <w:t xml:space="preserve"> </w:t>
            </w:r>
            <w:r>
              <w:t xml:space="preserve">Orleans,</w:t>
            </w:r>
            <w:r>
              <w:t xml:space="preserve"> </w:t>
            </w:r>
            <w:r>
              <w:t xml:space="preserve">Louisiana</w:t>
            </w:r>
            <w:r>
              <w:t xml:space="preserve"> </w:t>
            </w:r>
            <w:r>
              <w:t xml:space="preserve">70170</w:t>
            </w:r>
          </w:p>
          <w:p>
            <w:pPr>
              <w:spacing w:before="0" w:after="0" w:line="276" w:lineRule="exact"/>
              <w:ind w:left="0" w:firstLine="0"/>
              <w:jc w:val="left"/>
            </w:pPr>
            <w:r>
              <w:t xml:space="preserve">Telephone:</w:t>
            </w:r>
            <w:r>
              <w:t xml:space="preserve"> </w:t>
            </w:r>
            <w:r>
              <w:t xml:space="preserve">(504)</w:t>
            </w:r>
            <w:r>
              <w:t xml:space="preserve"> </w:t>
            </w:r>
            <w:r>
              <w:t xml:space="preserve">486</w:t>
              <w:noBreakHyphen/>
              <w:t xml:space="preserve">8982</w:t>
            </w:r>
          </w:p>
          <w:p>
            <w:pPr>
              <w:spacing w:before="0" w:after="0" w:line="276" w:lineRule="exact"/>
              <w:ind w:left="0" w:firstLine="0"/>
              <w:jc w:val="left"/>
            </w:pPr>
            <w:r>
              <w:t xml:space="preserve">*admitted</w:t>
            </w:r>
            <w:r>
              <w:t xml:space="preserve"> </w:t>
            </w:r>
            <w:r>
              <w:t xml:space="preserve">pro</w:t>
            </w:r>
            <w:r>
              <w:t xml:space="preserve"> </w:t>
            </w:r>
            <w:r>
              <w:t xml:space="preserve">hac</w:t>
            </w:r>
            <w:r>
              <w:t xml:space="preserve"> </w:t>
            </w:r>
            <w:r>
              <w:t xml:space="preserve">vice</w:t>
            </w:r>
          </w:p>
        </w:tc>
        <w:tc>
          <w:tcPr>
            <w:tcW w:w="4896" w:type="dxa"/>
            <w:tcMar>
              <w:left w:w="432" w:type="dxa"/>
            </w:tcMar>
          </w:tcPr>
          <w:p>
            <w:pPr>
              <w:spacing w:before="0" w:after="0" w:line="276" w:lineRule="exact"/>
              <w:ind w:left="0" w:firstLine="0"/>
              <w:jc w:val="left"/>
            </w:pPr>
            <w:r>
              <w:t xml:space="preserve">William</w:t>
            </w:r>
            <w:r>
              <w:t xml:space="preserve"> </w:t>
            </w:r>
            <w:r>
              <w:t xml:space="preserve">Patrick</w:t>
            </w:r>
            <w:r>
              <w:t xml:space="preserve"> </w:t>
            </w:r>
            <w:r>
              <w:t xml:space="preserve">Quigley</w:t>
            </w:r>
            <w:r>
              <w:t xml:space="preserve"> </w:t>
            </w:r>
            <w:r>
              <w:t xml:space="preserve">(La.</w:t>
            </w:r>
            <w:r>
              <w:t xml:space="preserve"> </w:t>
            </w:r>
            <w:r>
              <w:t xml:space="preserve">Bar</w:t>
            </w:r>
            <w:r>
              <w:t xml:space="preserve"> </w:t>
            </w:r>
            <w:r>
              <w:t xml:space="preserve">No.</w:t>
            </w:r>
            <w:r>
              <w:t xml:space="preserve"> </w:t>
            </w:r>
            <w:r>
              <w:t xml:space="preserve">07769)</w:t>
            </w:r>
          </w:p>
          <w:p>
            <w:pPr>
              <w:spacing w:before="0" w:after="0" w:line="276" w:lineRule="exact"/>
              <w:ind w:left="0" w:firstLine="0"/>
              <w:jc w:val="left"/>
            </w:pPr>
            <w:r>
              <w:t xml:space="preserve">LOYOLA</w:t>
            </w:r>
            <w:r>
              <w:t xml:space="preserve"> </w:t>
            </w:r>
            <w:r>
              <w:t xml:space="preserve">UNIVERSITY</w:t>
            </w:r>
            <w:r>
              <w:t xml:space="preserve"> </w:t>
            </w:r>
            <w:r>
              <w:t xml:space="preserve">NEW</w:t>
            </w:r>
            <w:r>
              <w:t xml:space="preserve"> </w:t>
            </w:r>
            <w:r>
              <w:t xml:space="preserve">ORLEANS</w:t>
            </w:r>
          </w:p>
          <w:p>
            <w:pPr>
              <w:spacing w:before="0" w:after="0" w:line="276" w:lineRule="exact"/>
              <w:ind w:left="0" w:firstLine="0"/>
              <w:jc w:val="left"/>
            </w:pPr>
            <w:r>
              <w:t xml:space="preserve">7214</w:t>
            </w:r>
            <w:r>
              <w:t xml:space="preserve"> </w:t>
            </w:r>
            <w:r>
              <w:t xml:space="preserve">St.</w:t>
            </w:r>
            <w:r>
              <w:t xml:space="preserve"> </w:t>
            </w:r>
            <w:r>
              <w:t xml:space="preserve">Charles</w:t>
            </w:r>
            <w:r>
              <w:t xml:space="preserve"> </w:t>
            </w:r>
            <w:r>
              <w:t xml:space="preserve">Avenue</w:t>
            </w:r>
          </w:p>
          <w:p>
            <w:pPr>
              <w:spacing w:before="0" w:after="0" w:line="276" w:lineRule="exact"/>
              <w:ind w:left="0" w:firstLine="0"/>
              <w:jc w:val="left"/>
            </w:pPr>
            <w:r>
              <w:t xml:space="preserve">New</w:t>
            </w:r>
            <w:r>
              <w:t xml:space="preserve"> </w:t>
            </w:r>
            <w:r>
              <w:t xml:space="preserve">Orleans,</w:t>
            </w:r>
            <w:r>
              <w:t xml:space="preserve"> </w:t>
            </w:r>
            <w:r>
              <w:t xml:space="preserve">LA</w:t>
            </w:r>
            <w:r>
              <w:t xml:space="preserve"> </w:t>
            </w:r>
            <w:r>
              <w:t xml:space="preserve">70118</w:t>
            </w:r>
          </w:p>
          <w:p>
            <w:pPr>
              <w:spacing w:before="0" w:after="0" w:line="276" w:lineRule="exact"/>
              <w:ind w:left="0" w:firstLine="0"/>
              <w:jc w:val="left"/>
            </w:pPr>
            <w:r>
              <w:t xml:space="preserve">Telephone:</w:t>
            </w:r>
            <w:r>
              <w:t xml:space="preserve"> </w:t>
            </w:r>
            <w:r>
              <w:t xml:space="preserve">(504)</w:t>
            </w:r>
            <w:r>
              <w:t xml:space="preserve"> </w:t>
            </w:r>
            <w:r>
              <w:t xml:space="preserve">710</w:t>
              <w:noBreakHyphen/>
              <w:t xml:space="preserve">3074</w:t>
            </w:r>
          </w:p>
        </w:tc>
      </w:tr>
    </w:tbl>
    <w:p>
      <w:pPr>
        <w:spacing w:before="0" w:after="0" w:line="1" w:lineRule="exact"/>
        <w:sectPr>
          <w:footerReference w:type="default" r:id="rIdXdNone"/>
          <w:pgSz w:w="12240" w:h="20160"/>
          <w:pgMar w:top="2160" w:right="1440" w:bottom="1440" w:left="1440" w:header="720" w:footer="732" w:gutter="0"/>
        </w:sectPr>
      </w:pPr>
    </w:p>
    <w:p>
      <w:pPr>
        <w:keepNext/>
        <w:keepLines/>
        <w:spacing w:before="0" w:after="240" w:line="276" w:lineRule="exact"/>
        <w:ind w:left="0" w:firstLine="0"/>
        <w:jc w:val="center"/>
      </w:pPr>
      <w:r>
        <w:rPr>
          <w:b/>
          <w:bCs/>
        </w:rPr>
        <w:t xml:space="preserve">INDEX</w:t>
      </w:r>
    </w:p>
    <w:p>
      <w:pPr>
        <w:keepLines/>
        <w:tabs>
          <w:tab w:val="right" w:leader="dot" w:pos="9360"/>
        </w:tabs>
        <w:spacing w:before="168" w:after="0" w:line="276" w:lineRule="exact"/>
        <w:ind w:left="0" w:right="720" w:firstLine="0"/>
      </w:pPr>
      <w:r>
        <w:t xml:space="preserve">I.</w:t>
      </w:r>
      <w:r>
        <w:t xml:space="preserve"> </w:t>
      </w:r>
      <w:r>
        <w:t xml:space="preserve">STATEMENT</w:t>
      </w:r>
      <w:r>
        <w:t xml:space="preserve"> </w:t>
      </w:r>
      <w:r>
        <w:t xml:space="preserve">OF</w:t>
      </w:r>
      <w:r>
        <w:t xml:space="preserve"> </w:t>
      </w:r>
      <w:r>
        <w:t xml:space="preserve">CONSIDERATIONS</w:t>
      </w:r>
      <w:r>
        <w:t xml:space="preserve"> </w:t>
      </w:r>
      <w:r>
        <w:t xml:space="preserve">FOR</w:t>
      </w:r>
      <w:r>
        <w:t xml:space="preserve"> </w:t>
      </w:r>
      <w:r>
        <w:t xml:space="preserve">GRANTING</w:t>
      </w:r>
      <w:r>
        <w:t xml:space="preserve"> </w:t>
      </w:r>
      <w:r>
        <w:t xml:space="preserve">THE</w:t>
      </w:r>
      <w:r>
        <w:t xml:space="preserve"> </w:t>
      </w:r>
      <w:r>
        <w:t xml:space="preserve">WRIT</w:t>
      </w:r>
      <w:r>
        <w:t xml:space="preserve">   </w:t>
      </w:r>
      <w:r>
        <w:tab/>
      </w:r>
      <w:r>
        <w:t xml:space="preserve">1</w:t>
      </w:r>
    </w:p>
    <w:p>
      <w:pPr>
        <w:keepLines/>
        <w:tabs>
          <w:tab w:val="right" w:leader="dot" w:pos="9360"/>
        </w:tabs>
        <w:spacing w:before="168" w:after="0" w:line="276" w:lineRule="exact"/>
        <w:ind w:left="0" w:right="720" w:firstLine="0"/>
      </w:pPr>
      <w:r>
        <w:t xml:space="preserve">A.</w:t>
      </w:r>
      <w:r>
        <w:t xml:space="preserve"> </w:t>
      </w:r>
      <w:r>
        <w:t xml:space="preserve">This</w:t>
      </w:r>
      <w:r>
        <w:t xml:space="preserve"> </w:t>
      </w:r>
      <w:r>
        <w:t xml:space="preserve">Court</w:t>
      </w:r>
      <w:r>
        <w:t xml:space="preserve"> </w:t>
      </w:r>
      <w:r>
        <w:t xml:space="preserve">should</w:t>
      </w:r>
      <w:r>
        <w:t xml:space="preserve"> </w:t>
      </w:r>
      <w:r>
        <w:t xml:space="preserve">exercise</w:t>
      </w:r>
      <w:r>
        <w:t xml:space="preserve"> </w:t>
      </w:r>
      <w:r>
        <w:t xml:space="preserve">its</w:t>
      </w:r>
      <w:r>
        <w:t xml:space="preserve"> </w:t>
      </w:r>
      <w:r>
        <w:t xml:space="preserve">jurisdiction</w:t>
      </w:r>
      <w:r>
        <w:t xml:space="preserve"> </w:t>
      </w:r>
      <w:r>
        <w:t xml:space="preserve">to</w:t>
      </w:r>
      <w:r>
        <w:t xml:space="preserve"> </w:t>
      </w:r>
      <w:r>
        <w:t xml:space="preserve">clarify</w:t>
      </w:r>
      <w:r>
        <w:t xml:space="preserve"> </w:t>
      </w:r>
      <w:r>
        <w:t xml:space="preserve">the</w:t>
      </w:r>
      <w:r>
        <w:t xml:space="preserve"> </w:t>
      </w:r>
      <w:r>
        <w:t xml:space="preserve">scope</w:t>
      </w:r>
      <w:r>
        <w:t xml:space="preserve"> </w:t>
      </w:r>
      <w:r>
        <w:t xml:space="preserve">of</w:t>
      </w:r>
      <w:r>
        <w:t xml:space="preserve"> </w:t>
      </w:r>
      <w:r>
        <w:t xml:space="preserve">the</w:t>
      </w:r>
      <w:r>
        <w:t xml:space="preserve"> </w:t>
      </w:r>
      <w:r>
        <w:t xml:space="preserve">primary</w:t>
      </w:r>
      <w:r>
        <w:t xml:space="preserve"> </w:t>
      </w:r>
      <w:r>
        <w:t xml:space="preserve">jurisdiction</w:t>
      </w:r>
      <w:r>
        <w:t xml:space="preserve"> </w:t>
      </w:r>
      <w:r>
        <w:t xml:space="preserve">doctrine.</w:t>
      </w:r>
      <w:r>
        <w:t xml:space="preserve">   </w:t>
      </w:r>
      <w:r>
        <w:tab/>
      </w:r>
      <w:r>
        <w:t xml:space="preserve">3</w:t>
      </w:r>
    </w:p>
    <w:p>
      <w:pPr>
        <w:keepLines/>
        <w:tabs>
          <w:tab w:val="right" w:leader="dot" w:pos="9360"/>
        </w:tabs>
        <w:spacing w:before="168" w:after="0" w:line="276" w:lineRule="exact"/>
        <w:ind w:left="0" w:right="720" w:firstLine="0"/>
      </w:pPr>
      <w:r>
        <w:t xml:space="preserve">B.</w:t>
      </w:r>
      <w:r>
        <w:t xml:space="preserve"> </w:t>
      </w:r>
      <w:r>
        <w:t xml:space="preserve">The</w:t>
      </w:r>
      <w:r>
        <w:t xml:space="preserve"> </w:t>
      </w:r>
      <w:r>
        <w:t xml:space="preserve">court</w:t>
      </w:r>
      <w:r>
        <w:t xml:space="preserve"> </w:t>
      </w:r>
      <w:r>
        <w:t xml:space="preserve">of</w:t>
      </w:r>
      <w:r>
        <w:t xml:space="preserve"> </w:t>
      </w:r>
      <w:r>
        <w:t xml:space="preserve">appeal</w:t>
      </w:r>
      <w:r>
        <w:t xml:space="preserve"> </w:t>
      </w:r>
      <w:r>
        <w:t xml:space="preserve">erroneously</w:t>
      </w:r>
      <w:r>
        <w:t xml:space="preserve"> </w:t>
      </w:r>
      <w:r>
        <w:t xml:space="preserve">applied</w:t>
      </w:r>
      <w:r>
        <w:t xml:space="preserve"> </w:t>
      </w:r>
      <w:r>
        <w:t xml:space="preserve">La.</w:t>
      </w:r>
      <w:r>
        <w:t xml:space="preserve"> </w:t>
      </w:r>
      <w:r>
        <w:t xml:space="preserve">Const.</w:t>
      </w:r>
      <w:r>
        <w:t xml:space="preserve"> </w:t>
      </w:r>
      <w:r>
        <w:t xml:space="preserve">art.</w:t>
      </w:r>
      <w:r>
        <w:t xml:space="preserve"> </w:t>
      </w:r>
      <w:r>
        <w:t xml:space="preserve">III,</w:t>
      </w:r>
      <w:r>
        <w:t xml:space="preserve"> </w:t>
      </w:r>
      <w:r>
        <w:t xml:space="preserve">§</w:t>
      </w:r>
      <w:r>
        <w:t xml:space="preserve"> </w:t>
      </w:r>
      <w:r>
        <w:t xml:space="preserve">12</w:t>
      </w:r>
      <w:r>
        <w:t xml:space="preserve">.</w:t>
      </w:r>
      <w:r>
        <w:t xml:space="preserve">   </w:t>
      </w:r>
      <w:r>
        <w:tab/>
      </w:r>
      <w:r>
        <w:t xml:space="preserve">5</w:t>
      </w:r>
    </w:p>
    <w:p>
      <w:pPr>
        <w:keepLines/>
        <w:tabs>
          <w:tab w:val="right" w:leader="dot" w:pos="9360"/>
        </w:tabs>
        <w:spacing w:before="168" w:after="0" w:line="276" w:lineRule="exact"/>
        <w:ind w:left="0" w:right="720" w:firstLine="0"/>
      </w:pPr>
      <w:r>
        <w:t xml:space="preserve">C.</w:t>
      </w:r>
      <w:r>
        <w:t xml:space="preserve"> </w:t>
      </w:r>
      <w:r>
        <w:t xml:space="preserve">The</w:t>
      </w:r>
      <w:r>
        <w:t xml:space="preserve"> </w:t>
      </w:r>
      <w:r>
        <w:t xml:space="preserve">district</w:t>
      </w:r>
      <w:r>
        <w:t xml:space="preserve"> </w:t>
      </w:r>
      <w:r>
        <w:t xml:space="preserve">court’s</w:t>
      </w:r>
      <w:r>
        <w:t xml:space="preserve"> </w:t>
      </w:r>
      <w:r>
        <w:t xml:space="preserve">decision</w:t>
      </w:r>
      <w:r>
        <w:t xml:space="preserve"> </w:t>
      </w:r>
      <w:r>
        <w:t xml:space="preserve">conflicts</w:t>
      </w:r>
      <w:r>
        <w:t xml:space="preserve"> </w:t>
      </w:r>
      <w:r>
        <w:t xml:space="preserve">with</w:t>
      </w:r>
      <w:r>
        <w:t xml:space="preserve"> </w:t>
      </w:r>
      <w:r>
        <w:t xml:space="preserve">this</w:t>
      </w:r>
      <w:r>
        <w:t xml:space="preserve"> </w:t>
      </w:r>
      <w:r>
        <w:t xml:space="preserve">Court’s</w:t>
      </w:r>
      <w:r>
        <w:t xml:space="preserve"> </w:t>
      </w:r>
      <w:r>
        <w:t xml:space="preserve">decision</w:t>
      </w:r>
      <w:r>
        <w:t xml:space="preserve"> </w:t>
      </w:r>
      <w:r>
        <w:t xml:space="preserve">in</w:t>
      </w:r>
      <w:r>
        <w:t xml:space="preserve"> </w:t>
      </w:r>
      <w:r>
        <w:rPr>
          <w:i/>
          <w:iCs/>
        </w:rPr>
        <w:t xml:space="preserve">Bourgeois</w:t>
      </w:r>
      <w:r>
        <w:rPr>
          <w:i/>
          <w:iCs/>
        </w:rPr>
        <w:t xml:space="preserve"> </w:t>
      </w:r>
      <w:r>
        <w:rPr>
          <w:i/>
          <w:iCs/>
        </w:rPr>
        <w:t xml:space="preserve">v.</w:t>
      </w:r>
      <w:r>
        <w:rPr>
          <w:i/>
          <w:iCs/>
        </w:rPr>
        <w:t xml:space="preserve"> </w:t>
      </w:r>
      <w:r>
        <w:rPr>
          <w:i/>
          <w:iCs/>
        </w:rPr>
        <w:t xml:space="preserve">A.P.</w:t>
      </w:r>
      <w:r>
        <w:rPr>
          <w:i/>
          <w:iCs/>
        </w:rPr>
        <w:t xml:space="preserve"> </w:t>
      </w:r>
      <w:r>
        <w:rPr>
          <w:i/>
          <w:iCs/>
        </w:rPr>
        <w:t xml:space="preserve">Green</w:t>
      </w:r>
      <w:r>
        <w:rPr>
          <w:i/>
          <w:iCs/>
        </w:rPr>
        <w:t xml:space="preserve"> </w:t>
      </w:r>
      <w:r>
        <w:rPr>
          <w:i/>
          <w:iCs/>
        </w:rPr>
        <w:t xml:space="preserve">Indus.,</w:t>
      </w:r>
      <w:r>
        <w:rPr>
          <w:i/>
          <w:iCs/>
        </w:rPr>
        <w:t xml:space="preserve"> </w:t>
      </w:r>
      <w:r>
        <w:rPr>
          <w:i/>
          <w:iCs/>
        </w:rPr>
        <w:t xml:space="preserve">Inc.</w:t>
      </w:r>
      <w:r>
        <w:t xml:space="preserve">   </w:t>
      </w:r>
      <w:r>
        <w:tab/>
      </w:r>
      <w:r>
        <w:t xml:space="preserve">6</w:t>
      </w:r>
    </w:p>
    <w:p>
      <w:pPr>
        <w:keepLines/>
        <w:tabs>
          <w:tab w:val="right" w:leader="dot" w:pos="9360"/>
        </w:tabs>
        <w:spacing w:before="168" w:after="0" w:line="276" w:lineRule="exact"/>
        <w:ind w:left="0" w:right="720" w:firstLine="0"/>
      </w:pPr>
      <w:r>
        <w:t xml:space="preserve">D.</w:t>
      </w:r>
      <w:r>
        <w:t xml:space="preserve"> </w:t>
      </w:r>
      <w:r>
        <w:t xml:space="preserve">The</w:t>
      </w:r>
      <w:r>
        <w:t xml:space="preserve"> </w:t>
      </w:r>
      <w:r>
        <w:t xml:space="preserve">district</w:t>
      </w:r>
      <w:r>
        <w:t xml:space="preserve"> </w:t>
      </w:r>
      <w:r>
        <w:t xml:space="preserve">court’s</w:t>
      </w:r>
      <w:r>
        <w:t xml:space="preserve"> </w:t>
      </w:r>
      <w:r>
        <w:t xml:space="preserve">decision</w:t>
      </w:r>
      <w:r>
        <w:t xml:space="preserve"> </w:t>
      </w:r>
      <w:r>
        <w:t xml:space="preserve">conflicts</w:t>
      </w:r>
      <w:r>
        <w:t xml:space="preserve"> </w:t>
      </w:r>
      <w:r>
        <w:t xml:space="preserve">with</w:t>
      </w:r>
      <w:r>
        <w:t xml:space="preserve"> </w:t>
      </w:r>
      <w:r>
        <w:t xml:space="preserve">this</w:t>
      </w:r>
      <w:r>
        <w:t xml:space="preserve"> </w:t>
      </w:r>
      <w:r>
        <w:t xml:space="preserve">Court’s</w:t>
      </w:r>
      <w:r>
        <w:t xml:space="preserve"> </w:t>
      </w:r>
      <w:r>
        <w:t xml:space="preserve">decision</w:t>
      </w:r>
      <w:r>
        <w:t xml:space="preserve"> </w:t>
      </w:r>
      <w:r>
        <w:t xml:space="preserve">in</w:t>
      </w:r>
      <w:r>
        <w:t xml:space="preserve"> </w:t>
      </w:r>
      <w:r>
        <w:rPr>
          <w:i/>
          <w:iCs/>
        </w:rPr>
        <w:t xml:space="preserve">Cat’s</w:t>
      </w:r>
      <w:r>
        <w:rPr>
          <w:i/>
          <w:iCs/>
        </w:rPr>
        <w:t xml:space="preserve"> </w:t>
      </w:r>
      <w:r>
        <w:rPr>
          <w:i/>
          <w:iCs/>
        </w:rPr>
        <w:t xml:space="preserve">Meow</w:t>
      </w:r>
      <w:r>
        <w:t xml:space="preserve"> </w:t>
      </w:r>
      <w:r>
        <w:t xml:space="preserve">and</w:t>
      </w:r>
      <w:r>
        <w:t xml:space="preserve"> </w:t>
      </w:r>
      <w:r>
        <w:rPr>
          <w:i/>
          <w:iCs/>
        </w:rPr>
        <w:t xml:space="preserve">Louisiana</w:t>
      </w:r>
      <w:r>
        <w:rPr>
          <w:i/>
          <w:iCs/>
        </w:rPr>
        <w:t xml:space="preserve"> </w:t>
      </w:r>
      <w:r>
        <w:rPr>
          <w:i/>
          <w:iCs/>
        </w:rPr>
        <w:t xml:space="preserve">Paddlewheels</w:t>
      </w:r>
      <w:r>
        <w:t xml:space="preserve">.</w:t>
      </w:r>
      <w:r>
        <w:t xml:space="preserve">   </w:t>
      </w:r>
      <w:r>
        <w:tab/>
      </w:r>
      <w:r>
        <w:t xml:space="preserve">7</w:t>
      </w:r>
    </w:p>
    <w:p>
      <w:pPr>
        <w:keepLines/>
        <w:tabs>
          <w:tab w:val="right" w:leader="dot" w:pos="9360"/>
        </w:tabs>
        <w:spacing w:before="168" w:after="0" w:line="276" w:lineRule="exact"/>
        <w:ind w:left="0" w:right="720" w:firstLine="0"/>
      </w:pPr>
      <w:r>
        <w:t xml:space="preserve">II.</w:t>
      </w:r>
      <w:r>
        <w:t xml:space="preserve"> </w:t>
      </w:r>
      <w:r>
        <w:t xml:space="preserve">SUMMARY</w:t>
      </w:r>
      <w:r>
        <w:t xml:space="preserve"> </w:t>
      </w:r>
      <w:r>
        <w:t xml:space="preserve">OF</w:t>
      </w:r>
      <w:r>
        <w:t xml:space="preserve"> </w:t>
      </w:r>
      <w:r>
        <w:t xml:space="preserve">CASE</w:t>
      </w:r>
      <w:r>
        <w:t xml:space="preserve"> </w:t>
      </w:r>
      <w:r>
        <w:t xml:space="preserve">AND</w:t>
      </w:r>
      <w:r>
        <w:t xml:space="preserve"> </w:t>
      </w:r>
      <w:r>
        <w:t xml:space="preserve">PRIOR</w:t>
      </w:r>
      <w:r>
        <w:t xml:space="preserve"> </w:t>
      </w:r>
      <w:r>
        <w:t xml:space="preserve">PROCEEDINGS</w:t>
      </w:r>
      <w:r>
        <w:t xml:space="preserve">   </w:t>
      </w:r>
      <w:r>
        <w:tab/>
      </w:r>
      <w:r>
        <w:t xml:space="preserve">8</w:t>
      </w:r>
    </w:p>
    <w:p>
      <w:pPr>
        <w:keepLines/>
        <w:tabs>
          <w:tab w:val="right" w:leader="dot" w:pos="9360"/>
        </w:tabs>
        <w:spacing w:before="168" w:after="0" w:line="276" w:lineRule="exact"/>
        <w:ind w:left="0" w:right="720" w:firstLine="0"/>
      </w:pPr>
      <w:r>
        <w:t xml:space="preserve">A.</w:t>
      </w:r>
      <w:r>
        <w:t xml:space="preserve"> </w:t>
      </w:r>
      <w:r>
        <w:t xml:space="preserve">State</w:t>
      </w:r>
      <w:r>
        <w:t xml:space="preserve"> </w:t>
      </w:r>
      <w:r>
        <w:t xml:space="preserve">law</w:t>
      </w:r>
      <w:r>
        <w:t xml:space="preserve"> </w:t>
      </w:r>
      <w:r>
        <w:t xml:space="preserve">required</w:t>
      </w:r>
      <w:r>
        <w:t xml:space="preserve"> </w:t>
      </w:r>
      <w:r>
        <w:t xml:space="preserve">Defendants</w:t>
      </w:r>
      <w:r>
        <w:t xml:space="preserve"> </w:t>
      </w:r>
      <w:r>
        <w:t xml:space="preserve">to</w:t>
      </w:r>
      <w:r>
        <w:t xml:space="preserve"> </w:t>
      </w:r>
      <w:r>
        <w:t xml:space="preserve">charge</w:t>
      </w:r>
      <w:r>
        <w:t xml:space="preserve"> </w:t>
      </w:r>
      <w:r>
        <w:t xml:space="preserve">a</w:t>
      </w:r>
      <w:r>
        <w:t xml:space="preserve"> </w:t>
      </w:r>
      <w:r>
        <w:t xml:space="preserve">twelve</w:t>
      </w:r>
      <w:r>
        <w:t xml:space="preserve"> </w:t>
      </w:r>
      <w:r>
        <w:t xml:space="preserve">percent</w:t>
      </w:r>
      <w:r>
        <w:t xml:space="preserve"> </w:t>
      </w:r>
      <w:r>
        <w:t xml:space="preserve">premium</w:t>
      </w:r>
      <w:r>
        <w:t xml:space="preserve"> </w:t>
      </w:r>
      <w:r>
        <w:t xml:space="preserve">for</w:t>
      </w:r>
      <w:r>
        <w:t xml:space="preserve"> </w:t>
      </w:r>
      <w:r>
        <w:t xml:space="preserve">a</w:t>
      </w:r>
      <w:r>
        <w:t xml:space="preserve"> </w:t>
      </w:r>
      <w:r>
        <w:t xml:space="preserve">bail</w:t>
      </w:r>
      <w:r>
        <w:t xml:space="preserve"> </w:t>
      </w:r>
      <w:r>
        <w:t xml:space="preserve">bond.</w:t>
      </w:r>
      <w:r>
        <w:t xml:space="preserve">   </w:t>
      </w:r>
      <w:r>
        <w:tab/>
      </w:r>
      <w:r>
        <w:t xml:space="preserve">8</w:t>
      </w:r>
    </w:p>
    <w:p>
      <w:pPr>
        <w:keepLines/>
        <w:tabs>
          <w:tab w:val="right" w:leader="dot" w:pos="9360"/>
        </w:tabs>
        <w:spacing w:before="168" w:after="0" w:line="276" w:lineRule="exact"/>
        <w:ind w:left="0" w:right="720" w:firstLine="0"/>
      </w:pPr>
      <w:r>
        <w:t xml:space="preserve">B.</w:t>
      </w:r>
      <w:r>
        <w:t xml:space="preserve"> </w:t>
      </w:r>
      <w:r>
        <w:t xml:space="preserve">The</w:t>
      </w:r>
      <w:r>
        <w:t xml:space="preserve"> </w:t>
      </w:r>
      <w:r>
        <w:t xml:space="preserve">Commissioner</w:t>
      </w:r>
      <w:r>
        <w:t xml:space="preserve"> </w:t>
      </w:r>
      <w:r>
        <w:t xml:space="preserve">issued</w:t>
      </w:r>
      <w:r>
        <w:t xml:space="preserve"> </w:t>
      </w:r>
      <w:r>
        <w:t xml:space="preserve">Directive</w:t>
      </w:r>
      <w:r>
        <w:t xml:space="preserve"> </w:t>
      </w:r>
      <w:r>
        <w:t xml:space="preserve">214</w:t>
      </w:r>
      <w:r>
        <w:t xml:space="preserve"> </w:t>
      </w:r>
      <w:r>
        <w:t xml:space="preserve">after</w:t>
      </w:r>
      <w:r>
        <w:t xml:space="preserve"> </w:t>
      </w:r>
      <w:r>
        <w:t xml:space="preserve">learning</w:t>
      </w:r>
      <w:r>
        <w:t xml:space="preserve"> </w:t>
      </w:r>
      <w:r>
        <w:t xml:space="preserve">that</w:t>
      </w:r>
      <w:r>
        <w:t xml:space="preserve"> </w:t>
      </w:r>
      <w:r>
        <w:t xml:space="preserve">Defendants</w:t>
      </w:r>
      <w:r>
        <w:t xml:space="preserve"> </w:t>
      </w:r>
      <w:r>
        <w:t xml:space="preserve">systematically</w:t>
      </w:r>
      <w:r>
        <w:t xml:space="preserve"> </w:t>
      </w:r>
      <w:r>
        <w:t xml:space="preserve">overcharged</w:t>
      </w:r>
      <w:r>
        <w:t xml:space="preserve"> </w:t>
      </w:r>
      <w:r>
        <w:t xml:space="preserve">Morgan</w:t>
      </w:r>
      <w:r>
        <w:t xml:space="preserve"> </w:t>
      </w:r>
      <w:r>
        <w:t xml:space="preserve">and</w:t>
      </w:r>
      <w:r>
        <w:t xml:space="preserve"> </w:t>
      </w:r>
      <w:r>
        <w:t xml:space="preserve">other</w:t>
      </w:r>
      <w:r>
        <w:t xml:space="preserve"> </w:t>
      </w:r>
      <w:r>
        <w:t xml:space="preserve">consumers.</w:t>
      </w:r>
      <w:r>
        <w:t xml:space="preserve">   </w:t>
      </w:r>
      <w:r>
        <w:tab/>
      </w:r>
      <w:r>
        <w:t xml:space="preserve">9</w:t>
      </w:r>
    </w:p>
    <w:p>
      <w:pPr>
        <w:keepLines/>
        <w:tabs>
          <w:tab w:val="right" w:leader="dot" w:pos="9360"/>
        </w:tabs>
        <w:spacing w:before="168" w:after="0" w:line="276" w:lineRule="exact"/>
        <w:ind w:left="0" w:right="720" w:firstLine="0"/>
      </w:pPr>
      <w:r>
        <w:t xml:space="preserve">C.</w:t>
      </w:r>
      <w:r>
        <w:t xml:space="preserve"> </w:t>
      </w:r>
      <w:r>
        <w:t xml:space="preserve">The</w:t>
      </w:r>
      <w:r>
        <w:t xml:space="preserve"> </w:t>
      </w:r>
      <w:r>
        <w:t xml:space="preserve">DAL</w:t>
      </w:r>
      <w:r>
        <w:t xml:space="preserve"> </w:t>
      </w:r>
      <w:r>
        <w:t xml:space="preserve">stayed</w:t>
      </w:r>
      <w:r>
        <w:t xml:space="preserve"> </w:t>
      </w:r>
      <w:r>
        <w:t xml:space="preserve">the</w:t>
      </w:r>
      <w:r>
        <w:t xml:space="preserve"> </w:t>
      </w:r>
      <w:r>
        <w:t xml:space="preserve">administrative</w:t>
      </w:r>
      <w:r>
        <w:t xml:space="preserve"> </w:t>
      </w:r>
      <w:r>
        <w:t xml:space="preserve">proceedings</w:t>
      </w:r>
      <w:r>
        <w:t xml:space="preserve"> </w:t>
      </w:r>
      <w:r>
        <w:t xml:space="preserve">to</w:t>
      </w:r>
      <w:r>
        <w:t xml:space="preserve"> </w:t>
      </w:r>
      <w:r>
        <w:t xml:space="preserve">allow</w:t>
      </w:r>
      <w:r>
        <w:t xml:space="preserve"> </w:t>
      </w:r>
      <w:r>
        <w:t xml:space="preserve">this</w:t>
      </w:r>
      <w:r>
        <w:t xml:space="preserve"> </w:t>
      </w:r>
      <w:r>
        <w:t xml:space="preserve">Court</w:t>
      </w:r>
      <w:r>
        <w:t xml:space="preserve"> </w:t>
      </w:r>
      <w:r>
        <w:t xml:space="preserve">to</w:t>
      </w:r>
      <w:r>
        <w:t xml:space="preserve"> </w:t>
      </w:r>
      <w:r>
        <w:t xml:space="preserve">determine</w:t>
      </w:r>
      <w:r>
        <w:t xml:space="preserve"> </w:t>
      </w:r>
      <w:r>
        <w:t xml:space="preserve">whether</w:t>
      </w:r>
      <w:r>
        <w:t xml:space="preserve"> </w:t>
      </w:r>
      <w:r>
        <w:t xml:space="preserve">Act</w:t>
      </w:r>
      <w:r>
        <w:t xml:space="preserve"> </w:t>
      </w:r>
      <w:r>
        <w:t xml:space="preserve">54</w:t>
      </w:r>
      <w:r>
        <w:t xml:space="preserve"> </w:t>
      </w:r>
      <w:r>
        <w:t xml:space="preserve">is</w:t>
      </w:r>
      <w:r>
        <w:t xml:space="preserve"> </w:t>
      </w:r>
      <w:r>
        <w:t xml:space="preserve">constitutional.</w:t>
      </w:r>
      <w:r>
        <w:t xml:space="preserve">   </w:t>
      </w:r>
      <w:r>
        <w:tab/>
      </w:r>
      <w:r>
        <w:t xml:space="preserve">10</w:t>
      </w:r>
    </w:p>
    <w:p>
      <w:pPr>
        <w:keepLines/>
        <w:tabs>
          <w:tab w:val="right" w:leader="dot" w:pos="9360"/>
        </w:tabs>
        <w:spacing w:before="168" w:after="0" w:line="276" w:lineRule="exact"/>
        <w:ind w:left="0" w:right="720" w:firstLine="0"/>
      </w:pPr>
      <w:r>
        <w:t xml:space="preserve">D.</w:t>
      </w:r>
      <w:r>
        <w:t xml:space="preserve"> </w:t>
      </w:r>
      <w:r>
        <w:t xml:space="preserve">Defendants</w:t>
      </w:r>
      <w:r>
        <w:t xml:space="preserve"> </w:t>
      </w:r>
      <w:r>
        <w:t xml:space="preserve">took</w:t>
      </w:r>
      <w:r>
        <w:t xml:space="preserve"> </w:t>
      </w:r>
      <w:r>
        <w:t xml:space="preserve">contradictory</w:t>
      </w:r>
      <w:r>
        <w:t xml:space="preserve"> </w:t>
      </w:r>
      <w:r>
        <w:t xml:space="preserve">positions</w:t>
      </w:r>
      <w:r>
        <w:t xml:space="preserve"> </w:t>
      </w:r>
      <w:r>
        <w:t xml:space="preserve">in</w:t>
      </w:r>
      <w:r>
        <w:t xml:space="preserve"> </w:t>
      </w:r>
      <w:r>
        <w:t xml:space="preserve">the</w:t>
      </w:r>
      <w:r>
        <w:t xml:space="preserve"> </w:t>
      </w:r>
      <w:r>
        <w:t xml:space="preserve">DAL</w:t>
      </w:r>
      <w:r>
        <w:t xml:space="preserve"> </w:t>
      </w:r>
      <w:r>
        <w:t xml:space="preserve">and</w:t>
      </w:r>
      <w:r>
        <w:t xml:space="preserve"> </w:t>
      </w:r>
      <w:r>
        <w:t xml:space="preserve">district</w:t>
      </w:r>
      <w:r>
        <w:t xml:space="preserve"> </w:t>
      </w:r>
      <w:r>
        <w:t xml:space="preserve">court.</w:t>
      </w:r>
      <w:r>
        <w:t xml:space="preserve">   </w:t>
      </w:r>
      <w:r>
        <w:tab/>
      </w:r>
      <w:r>
        <w:t xml:space="preserve">11</w:t>
      </w:r>
    </w:p>
    <w:p>
      <w:pPr>
        <w:keepLines/>
        <w:tabs>
          <w:tab w:val="right" w:leader="dot" w:pos="9360"/>
        </w:tabs>
        <w:spacing w:before="168" w:after="0" w:line="276" w:lineRule="exact"/>
        <w:ind w:left="0" w:right="720" w:firstLine="0"/>
      </w:pPr>
      <w:r>
        <w:t xml:space="preserve">III.</w:t>
      </w:r>
      <w:r>
        <w:t xml:space="preserve"> </w:t>
      </w:r>
      <w:r>
        <w:t xml:space="preserve">ASSIGNMENTS</w:t>
      </w:r>
      <w:r>
        <w:t xml:space="preserve"> </w:t>
      </w:r>
      <w:r>
        <w:t xml:space="preserve">OF</w:t>
      </w:r>
      <w:r>
        <w:t xml:space="preserve"> </w:t>
      </w:r>
      <w:r>
        <w:t xml:space="preserve">ERROR</w:t>
      </w:r>
      <w:r>
        <w:t xml:space="preserve">   </w:t>
      </w:r>
      <w:r>
        <w:tab/>
      </w:r>
      <w:r>
        <w:t xml:space="preserve">14</w:t>
      </w:r>
    </w:p>
    <w:p>
      <w:pPr>
        <w:keepLines/>
        <w:tabs>
          <w:tab w:val="right" w:leader="dot" w:pos="9360"/>
        </w:tabs>
        <w:spacing w:before="168" w:after="0" w:line="276" w:lineRule="exact"/>
        <w:ind w:left="0" w:right="720" w:firstLine="0"/>
      </w:pPr>
      <w:r>
        <w:t xml:space="preserve">IV.</w:t>
      </w:r>
      <w:r>
        <w:t xml:space="preserve"> </w:t>
      </w:r>
      <w:r>
        <w:t xml:space="preserve">SUMMARY</w:t>
      </w:r>
      <w:r>
        <w:t xml:space="preserve"> </w:t>
      </w:r>
      <w:r>
        <w:t xml:space="preserve">OF</w:t>
      </w:r>
      <w:r>
        <w:t xml:space="preserve"> </w:t>
      </w:r>
      <w:r>
        <w:t xml:space="preserve">THE</w:t>
      </w:r>
      <w:r>
        <w:t xml:space="preserve"> </w:t>
      </w:r>
      <w:r>
        <w:t xml:space="preserve">ARGUMENT</w:t>
      </w:r>
      <w:r>
        <w:t xml:space="preserve">   </w:t>
      </w:r>
      <w:r>
        <w:tab/>
      </w:r>
      <w:r>
        <w:t xml:space="preserve">15</w:t>
      </w:r>
    </w:p>
    <w:p>
      <w:pPr>
        <w:keepLines/>
        <w:tabs>
          <w:tab w:val="right" w:leader="dot" w:pos="9360"/>
        </w:tabs>
        <w:spacing w:before="168" w:after="0" w:line="276" w:lineRule="exact"/>
        <w:ind w:left="0" w:right="720" w:firstLine="0"/>
      </w:pPr>
      <w:r>
        <w:t xml:space="preserve">V.</w:t>
      </w:r>
      <w:r>
        <w:t xml:space="preserve"> </w:t>
      </w:r>
      <w:r>
        <w:t xml:space="preserve">ARGUMENT</w:t>
      </w:r>
      <w:r>
        <w:t xml:space="preserve">   </w:t>
      </w:r>
      <w:r>
        <w:tab/>
      </w:r>
      <w:r>
        <w:t xml:space="preserve">17</w:t>
      </w:r>
    </w:p>
    <w:p>
      <w:pPr>
        <w:keepLines/>
        <w:tabs>
          <w:tab w:val="right" w:leader="dot" w:pos="9360"/>
        </w:tabs>
        <w:spacing w:before="168" w:after="0" w:line="276" w:lineRule="exact"/>
        <w:ind w:left="0" w:right="720" w:firstLine="0"/>
      </w:pPr>
      <w:r>
        <w:t xml:space="preserve">A.</w:t>
      </w:r>
      <w:r>
        <w:t xml:space="preserve"> </w:t>
      </w:r>
      <w:r>
        <w:t xml:space="preserve">The</w:t>
      </w:r>
      <w:r>
        <w:t xml:space="preserve"> </w:t>
      </w:r>
      <w:r>
        <w:t xml:space="preserve">district</w:t>
      </w:r>
      <w:r>
        <w:t xml:space="preserve"> </w:t>
      </w:r>
      <w:r>
        <w:t xml:space="preserve">court</w:t>
      </w:r>
      <w:r>
        <w:t xml:space="preserve"> </w:t>
      </w:r>
      <w:r>
        <w:t xml:space="preserve">abused</w:t>
      </w:r>
      <w:r>
        <w:t xml:space="preserve"> </w:t>
      </w:r>
      <w:r>
        <w:t xml:space="preserve">its</w:t>
      </w:r>
      <w:r>
        <w:t xml:space="preserve"> </w:t>
      </w:r>
      <w:r>
        <w:t xml:space="preserve">discretion</w:t>
      </w:r>
      <w:r>
        <w:t xml:space="preserve"> </w:t>
      </w:r>
      <w:r>
        <w:t xml:space="preserve">in</w:t>
      </w:r>
      <w:r>
        <w:t xml:space="preserve"> </w:t>
      </w:r>
      <w:r>
        <w:t xml:space="preserve">referring</w:t>
      </w:r>
      <w:r>
        <w:t xml:space="preserve"> </w:t>
      </w:r>
      <w:r>
        <w:t xml:space="preserve">this</w:t>
      </w:r>
      <w:r>
        <w:t xml:space="preserve"> </w:t>
      </w:r>
      <w:r>
        <w:t xml:space="preserve">case</w:t>
      </w:r>
      <w:r>
        <w:t xml:space="preserve"> </w:t>
      </w:r>
      <w:r>
        <w:t xml:space="preserve">to</w:t>
      </w:r>
      <w:r>
        <w:t xml:space="preserve"> </w:t>
      </w:r>
      <w:r>
        <w:t xml:space="preserve">the</w:t>
      </w:r>
      <w:r>
        <w:t xml:space="preserve"> </w:t>
      </w:r>
      <w:r>
        <w:t xml:space="preserve">DAL</w:t>
      </w:r>
      <w:r>
        <w:t xml:space="preserve"> </w:t>
      </w:r>
      <w:r>
        <w:t xml:space="preserve">under</w:t>
      </w:r>
      <w:r>
        <w:t xml:space="preserve"> </w:t>
      </w:r>
      <w:r>
        <w:t xml:space="preserve">the</w:t>
      </w:r>
      <w:r>
        <w:t xml:space="preserve"> </w:t>
      </w:r>
      <w:r>
        <w:t xml:space="preserve">primary</w:t>
      </w:r>
      <w:r>
        <w:t xml:space="preserve"> </w:t>
      </w:r>
      <w:r>
        <w:t xml:space="preserve">jurisdiction</w:t>
      </w:r>
      <w:r>
        <w:t xml:space="preserve"> </w:t>
      </w:r>
      <w:r>
        <w:t xml:space="preserve">doctrine</w:t>
      </w:r>
      <w:r>
        <w:t xml:space="preserve"> </w:t>
      </w:r>
      <w:r>
        <w:t xml:space="preserve">when</w:t>
      </w:r>
      <w:r>
        <w:t xml:space="preserve"> </w:t>
      </w:r>
      <w:r>
        <w:t xml:space="preserve">this</w:t>
      </w:r>
      <w:r>
        <w:t xml:space="preserve"> </w:t>
      </w:r>
      <w:r>
        <w:t xml:space="preserve">dispute</w:t>
      </w:r>
      <w:r>
        <w:t xml:space="preserve"> </w:t>
      </w:r>
      <w:r>
        <w:t xml:space="preserve">involves</w:t>
      </w:r>
      <w:r>
        <w:t xml:space="preserve"> </w:t>
      </w:r>
      <w:r>
        <w:t xml:space="preserve">purely</w:t>
      </w:r>
      <w:r>
        <w:t xml:space="preserve"> </w:t>
      </w:r>
      <w:r>
        <w:t xml:space="preserve">legal</w:t>
      </w:r>
      <w:r>
        <w:t xml:space="preserve"> </w:t>
      </w:r>
      <w:r>
        <w:t xml:space="preserve">questions</w:t>
      </w:r>
      <w:r>
        <w:t xml:space="preserve"> </w:t>
      </w:r>
      <w:r>
        <w:t xml:space="preserve">within</w:t>
      </w:r>
      <w:r>
        <w:t xml:space="preserve"> </w:t>
      </w:r>
      <w:r>
        <w:t xml:space="preserve">the</w:t>
      </w:r>
      <w:r>
        <w:t xml:space="preserve"> </w:t>
      </w:r>
      <w:r>
        <w:t xml:space="preserve">district</w:t>
      </w:r>
      <w:r>
        <w:t xml:space="preserve"> </w:t>
      </w:r>
      <w:r>
        <w:t xml:space="preserve">court’s</w:t>
      </w:r>
      <w:r>
        <w:t xml:space="preserve"> </w:t>
      </w:r>
      <w:r>
        <w:t xml:space="preserve">expertise.</w:t>
      </w:r>
      <w:r>
        <w:t xml:space="preserve">   </w:t>
      </w:r>
      <w:r>
        <w:tab/>
      </w:r>
      <w:r>
        <w:t xml:space="preserve">17</w:t>
      </w:r>
    </w:p>
    <w:p>
      <w:pPr>
        <w:keepLines/>
        <w:tabs>
          <w:tab w:val="right" w:leader="dot" w:pos="9360"/>
        </w:tabs>
        <w:spacing w:before="168" w:after="0" w:line="276" w:lineRule="exact"/>
        <w:ind w:left="0" w:right="720" w:firstLine="0"/>
      </w:pPr>
      <w:r>
        <w:t xml:space="preserve">B.</w:t>
      </w:r>
      <w:r>
        <w:t xml:space="preserve"> </w:t>
      </w:r>
      <w:r>
        <w:t xml:space="preserve">The</w:t>
      </w:r>
      <w:r>
        <w:t xml:space="preserve"> </w:t>
      </w:r>
      <w:r>
        <w:t xml:space="preserve">district</w:t>
      </w:r>
      <w:r>
        <w:t xml:space="preserve"> </w:t>
      </w:r>
      <w:r>
        <w:t xml:space="preserve">court</w:t>
      </w:r>
      <w:r>
        <w:t xml:space="preserve"> </w:t>
      </w:r>
      <w:r>
        <w:t xml:space="preserve">abused</w:t>
      </w:r>
      <w:r>
        <w:t xml:space="preserve"> </w:t>
      </w:r>
      <w:r>
        <w:t xml:space="preserve">its</w:t>
      </w:r>
      <w:r>
        <w:t xml:space="preserve"> </w:t>
      </w:r>
      <w:r>
        <w:t xml:space="preserve">discretion</w:t>
      </w:r>
      <w:r>
        <w:t xml:space="preserve"> </w:t>
      </w:r>
      <w:r>
        <w:t xml:space="preserve">because</w:t>
      </w:r>
      <w:r>
        <w:t xml:space="preserve"> </w:t>
      </w:r>
      <w:r>
        <w:t xml:space="preserve">the</w:t>
      </w:r>
      <w:r>
        <w:t xml:space="preserve"> </w:t>
      </w:r>
      <w:r>
        <w:t xml:space="preserve">Directive’s</w:t>
      </w:r>
      <w:r>
        <w:t xml:space="preserve"> </w:t>
      </w:r>
      <w:r>
        <w:t xml:space="preserve">validity</w:t>
      </w:r>
      <w:r>
        <w:t xml:space="preserve"> </w:t>
      </w:r>
      <w:r>
        <w:t xml:space="preserve">is</w:t>
      </w:r>
      <w:r>
        <w:t xml:space="preserve"> </w:t>
      </w:r>
      <w:r>
        <w:t xml:space="preserve">not</w:t>
      </w:r>
      <w:r>
        <w:t xml:space="preserve"> </w:t>
      </w:r>
      <w:r>
        <w:t xml:space="preserve">a</w:t>
      </w:r>
      <w:r>
        <w:t xml:space="preserve"> </w:t>
      </w:r>
      <w:r>
        <w:t xml:space="preserve">prerequisite</w:t>
      </w:r>
      <w:r>
        <w:t xml:space="preserve"> </w:t>
      </w:r>
      <w:r>
        <w:t xml:space="preserve">to</w:t>
      </w:r>
      <w:r>
        <w:t xml:space="preserve"> </w:t>
      </w:r>
      <w:r>
        <w:t xml:space="preserve">determining</w:t>
      </w:r>
      <w:r>
        <w:t xml:space="preserve"> </w:t>
      </w:r>
      <w:r>
        <w:t xml:space="preserve">Act</w:t>
      </w:r>
      <w:r>
        <w:t xml:space="preserve"> </w:t>
      </w:r>
      <w:r>
        <w:t xml:space="preserve">54’s</w:t>
      </w:r>
      <w:r>
        <w:t xml:space="preserve"> </w:t>
      </w:r>
      <w:r>
        <w:t xml:space="preserve">constitutionality.</w:t>
      </w:r>
      <w:r>
        <w:t xml:space="preserve">   </w:t>
      </w:r>
      <w:r>
        <w:tab/>
      </w:r>
      <w:r>
        <w:t xml:space="preserve">20</w:t>
      </w:r>
    </w:p>
    <w:p>
      <w:pPr>
        <w:keepLines/>
        <w:tabs>
          <w:tab w:val="right" w:leader="dot" w:pos="9360"/>
        </w:tabs>
        <w:spacing w:before="168" w:after="0" w:line="276" w:lineRule="exact"/>
        <w:ind w:left="0" w:right="720" w:firstLine="0"/>
      </w:pPr>
      <w:r>
        <w:t xml:space="preserve">1.</w:t>
      </w:r>
      <w:r>
        <w:t xml:space="preserve"> </w:t>
      </w:r>
      <w:r>
        <w:t xml:space="preserve">Act</w:t>
      </w:r>
      <w:r>
        <w:t xml:space="preserve"> </w:t>
      </w:r>
      <w:r>
        <w:t xml:space="preserve">54</w:t>
      </w:r>
      <w:r>
        <w:t xml:space="preserve"> </w:t>
      </w:r>
      <w:r>
        <w:t xml:space="preserve">is</w:t>
      </w:r>
      <w:r>
        <w:t xml:space="preserve"> </w:t>
      </w:r>
      <w:r>
        <w:t xml:space="preserve">an</w:t>
      </w:r>
      <w:r>
        <w:t xml:space="preserve"> </w:t>
      </w:r>
      <w:r>
        <w:t xml:space="preserve">unconstitutional</w:t>
      </w:r>
      <w:r>
        <w:t xml:space="preserve"> </w:t>
      </w:r>
      <w:r>
        <w:t xml:space="preserve">local</w:t>
      </w:r>
      <w:r>
        <w:t xml:space="preserve"> </w:t>
      </w:r>
      <w:r>
        <w:t xml:space="preserve">and</w:t>
      </w:r>
      <w:r>
        <w:t xml:space="preserve"> </w:t>
      </w:r>
      <w:r>
        <w:t xml:space="preserve">special</w:t>
      </w:r>
      <w:r>
        <w:t xml:space="preserve"> </w:t>
      </w:r>
      <w:r>
        <w:t xml:space="preserve">law.</w:t>
      </w:r>
      <w:r>
        <w:t xml:space="preserve">   </w:t>
      </w:r>
      <w:r>
        <w:tab/>
      </w:r>
      <w:r>
        <w:t xml:space="preserve">20</w:t>
      </w:r>
    </w:p>
    <w:p>
      <w:pPr>
        <w:keepLines/>
        <w:tabs>
          <w:tab w:val="right" w:leader="dot" w:pos="9360"/>
        </w:tabs>
        <w:spacing w:before="168" w:after="0" w:line="276" w:lineRule="exact"/>
        <w:ind w:left="0" w:right="720" w:firstLine="0"/>
      </w:pPr>
      <w:r>
        <w:t xml:space="preserve">2.</w:t>
      </w:r>
      <w:r>
        <w:t xml:space="preserve"> </w:t>
      </w:r>
      <w:r>
        <w:t xml:space="preserve">Act</w:t>
      </w:r>
      <w:r>
        <w:t xml:space="preserve"> </w:t>
      </w:r>
      <w:r>
        <w:t xml:space="preserve">54</w:t>
      </w:r>
      <w:r>
        <w:t xml:space="preserve"> </w:t>
      </w:r>
      <w:r>
        <w:t xml:space="preserve">violates</w:t>
      </w:r>
      <w:r>
        <w:t xml:space="preserve"> </w:t>
      </w:r>
      <w:r>
        <w:t xml:space="preserve">due</w:t>
      </w:r>
      <w:r>
        <w:t xml:space="preserve"> </w:t>
      </w:r>
      <w:r>
        <w:t xml:space="preserve">process.</w:t>
      </w:r>
      <w:r>
        <w:t xml:space="preserve">   </w:t>
      </w:r>
      <w:r>
        <w:tab/>
      </w:r>
      <w:r>
        <w:t xml:space="preserve">22</w:t>
      </w:r>
    </w:p>
    <w:p>
      <w:pPr>
        <w:keepLines/>
        <w:tabs>
          <w:tab w:val="right" w:leader="dot" w:pos="9360"/>
        </w:tabs>
        <w:spacing w:before="168" w:after="0" w:line="276" w:lineRule="exact"/>
        <w:ind w:left="0" w:right="720" w:firstLine="0"/>
      </w:pPr>
      <w:r>
        <w:t xml:space="preserve">C.</w:t>
      </w:r>
      <w:r>
        <w:t xml:space="preserve"> </w:t>
      </w:r>
      <w:r>
        <w:t xml:space="preserve">The</w:t>
      </w:r>
      <w:r>
        <w:t xml:space="preserve"> </w:t>
      </w:r>
      <w:r>
        <w:t xml:space="preserve">DAL</w:t>
      </w:r>
      <w:r>
        <w:t xml:space="preserve"> </w:t>
      </w:r>
      <w:r>
        <w:t xml:space="preserve">does</w:t>
      </w:r>
      <w:r>
        <w:t xml:space="preserve"> </w:t>
      </w:r>
      <w:r>
        <w:t xml:space="preserve">not</w:t>
      </w:r>
      <w:r>
        <w:t xml:space="preserve"> </w:t>
      </w:r>
      <w:r>
        <w:t xml:space="preserve">have</w:t>
      </w:r>
      <w:r>
        <w:t xml:space="preserve"> </w:t>
      </w:r>
      <w:r>
        <w:t xml:space="preserve">jurisdiction</w:t>
      </w:r>
      <w:r>
        <w:t xml:space="preserve"> </w:t>
      </w:r>
      <w:r>
        <w:t xml:space="preserve">to</w:t>
      </w:r>
      <w:r>
        <w:t xml:space="preserve"> </w:t>
      </w:r>
      <w:r>
        <w:t xml:space="preserve">determine</w:t>
      </w:r>
      <w:r>
        <w:t xml:space="preserve"> </w:t>
      </w:r>
      <w:r>
        <w:t xml:space="preserve">whether</w:t>
      </w:r>
      <w:r>
        <w:t xml:space="preserve"> </w:t>
      </w:r>
      <w:r>
        <w:t xml:space="preserve">the</w:t>
      </w:r>
      <w:r>
        <w:t xml:space="preserve"> </w:t>
      </w:r>
      <w:r>
        <w:t xml:space="preserve">Commissioner</w:t>
      </w:r>
      <w:r>
        <w:t xml:space="preserve"> </w:t>
      </w:r>
      <w:r>
        <w:t xml:space="preserve">correctly</w:t>
      </w:r>
      <w:r>
        <w:t xml:space="preserve"> </w:t>
      </w:r>
      <w:r>
        <w:t xml:space="preserve">interpreted</w:t>
      </w:r>
      <w:r>
        <w:t xml:space="preserve"> </w:t>
      </w:r>
      <w:r>
        <w:t xml:space="preserve">the</w:t>
      </w:r>
      <w:r>
        <w:t xml:space="preserve"> </w:t>
      </w:r>
      <w:r>
        <w:t xml:space="preserve">pre-Act</w:t>
      </w:r>
      <w:r>
        <w:t xml:space="preserve"> </w:t>
      </w:r>
      <w:r>
        <w:t xml:space="preserve">54</w:t>
      </w:r>
      <w:r>
        <w:t xml:space="preserve"> </w:t>
      </w:r>
      <w:r>
        <w:t xml:space="preserve">statutes</w:t>
      </w:r>
      <w:r>
        <w:t xml:space="preserve"> </w:t>
      </w:r>
      <w:r>
        <w:t xml:space="preserve">because</w:t>
      </w:r>
      <w:r>
        <w:t xml:space="preserve"> </w:t>
      </w:r>
      <w:r>
        <w:t xml:space="preserve">doing</w:t>
      </w:r>
      <w:r>
        <w:t xml:space="preserve"> </w:t>
      </w:r>
      <w:r>
        <w:t xml:space="preserve">so</w:t>
      </w:r>
      <w:r>
        <w:t xml:space="preserve"> </w:t>
      </w:r>
      <w:r>
        <w:t xml:space="preserve">would</w:t>
      </w:r>
      <w:r>
        <w:t xml:space="preserve"> </w:t>
      </w:r>
      <w:r>
        <w:t xml:space="preserve">be</w:t>
      </w:r>
      <w:r>
        <w:t xml:space="preserve"> </w:t>
      </w:r>
      <w:r>
        <w:t xml:space="preserve">a</w:t>
      </w:r>
      <w:r>
        <w:t xml:space="preserve"> </w:t>
      </w:r>
      <w:r>
        <w:t xml:space="preserve">prohibited</w:t>
      </w:r>
      <w:r>
        <w:t xml:space="preserve"> </w:t>
      </w:r>
      <w:r>
        <w:t xml:space="preserve">hypothetical</w:t>
      </w:r>
      <w:r>
        <w:t xml:space="preserve"> </w:t>
      </w:r>
      <w:r>
        <w:t xml:space="preserve">exercise.</w:t>
      </w:r>
      <w:r>
        <w:t xml:space="preserve">   </w:t>
      </w:r>
      <w:r>
        <w:tab/>
      </w:r>
      <w:r>
        <w:t xml:space="preserve">25</w:t>
      </w:r>
    </w:p>
    <w:p>
      <w:pPr>
        <w:keepLines/>
        <w:tabs>
          <w:tab w:val="right" w:leader="dot" w:pos="9360"/>
        </w:tabs>
        <w:spacing w:before="168" w:after="0" w:line="276" w:lineRule="exact"/>
        <w:ind w:left="0" w:right="720" w:firstLine="0"/>
      </w:pPr>
      <w:r>
        <w:t xml:space="preserve">VI.</w:t>
      </w:r>
      <w:r>
        <w:t xml:space="preserve"> </w:t>
      </w:r>
      <w:r>
        <w:t xml:space="preserve">CONCLUSION</w:t>
      </w:r>
      <w:r>
        <w:t xml:space="preserve">   </w:t>
      </w:r>
      <w:r>
        <w:tab/>
      </w:r>
      <w:r>
        <w:t xml:space="preserve">26</w:t>
      </w:r>
    </w:p>
    <w:p>
      <w:pPr>
        <w:pageBreakBefore/>
        <w:spacing w:before="0" w:after="0" w:line="1" w:lineRule="exact"/>
      </w:pPr>
    </w:p>
    <w:p>
      <w:pPr>
        <w:keepNext/>
        <w:keepLines/>
        <w:spacing w:before="0" w:after="240" w:line="276"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AUTHORITIES</w:t>
      </w:r>
    </w:p>
    <w:p>
      <w:pPr>
        <w:keepNext/>
        <w:keepLines/>
        <w:spacing w:before="264" w:after="120" w:line="276" w:lineRule="exact"/>
        <w:ind w:left="0" w:firstLine="0"/>
        <w:jc w:val="left"/>
      </w:pPr>
      <w:r>
        <w:rPr>
          <w:b/>
          <w:bCs/>
        </w:rPr>
        <w:t xml:space="preserve">CASES</w:t>
      </w:r>
    </w:p>
    <w:p>
      <w:pPr>
        <w:keepLines/>
        <w:tabs>
          <w:tab w:val="right" w:leader="dot" w:pos="9360"/>
        </w:tabs>
        <w:spacing w:before="144" w:after="0" w:line="276" w:lineRule="exact"/>
        <w:ind w:left="576" w:right="1120" w:hanging="576"/>
      </w:pPr>
      <w:r>
        <w:rPr>
          <w:i/>
          <w:iCs/>
        </w:rPr>
        <w:t xml:space="preserve">Able</w:t>
      </w:r>
      <w:r>
        <w:rPr>
          <w:i/>
          <w:iCs/>
        </w:rPr>
        <w:t xml:space="preserve"> </w:t>
      </w:r>
      <w:r>
        <w:rPr>
          <w:i/>
          <w:iCs/>
        </w:rPr>
        <w:t xml:space="preserve">v.</w:t>
      </w:r>
      <w:r>
        <w:rPr>
          <w:i/>
          <w:iCs/>
        </w:rPr>
        <w:t xml:space="preserve"> </w:t>
      </w:r>
      <w:r>
        <w:rPr>
          <w:i/>
          <w:iCs/>
        </w:rPr>
        <w:t xml:space="preserve">La.</w:t>
      </w:r>
      <w:r>
        <w:rPr>
          <w:i/>
          <w:iCs/>
        </w:rPr>
        <w:t xml:space="preserve"> </w:t>
      </w:r>
      <w:r>
        <w:rPr>
          <w:i/>
          <w:iCs/>
        </w:rPr>
        <w:t xml:space="preserve">Workers’</w:t>
      </w:r>
      <w:r>
        <w:rPr>
          <w:i/>
          <w:iCs/>
        </w:rPr>
        <w:t xml:space="preserve"> </w:t>
      </w:r>
      <w:r>
        <w:rPr>
          <w:i/>
          <w:iCs/>
        </w:rPr>
        <w:t xml:space="preserve">Comp.</w:t>
      </w:r>
      <w:r>
        <w:rPr>
          <w:i/>
          <w:iCs/>
        </w:rPr>
        <w:t xml:space="preserve"> </w:t>
      </w:r>
      <w:r>
        <w:rPr>
          <w:i/>
          <w:iCs/>
        </w:rPr>
        <w:t xml:space="preserve">Corp.</w:t>
      </w:r>
      <w:r>
        <w:t xml:space="preserve"> </w:t>
      </w:r>
      <w:r>
        <w:t xml:space="preserve">97</w:t>
        <w:noBreakHyphen/>
        <w:t xml:space="preserve">0581</w:t>
      </w:r>
      <w:r>
        <w:t xml:space="preserve"> </w:t>
      </w:r>
      <w:r>
        <w:t xml:space="preserve">(La.</w:t>
      </w:r>
      <w:r>
        <w:t xml:space="preserve"> </w:t>
      </w:r>
      <w:r>
        <w:t xml:space="preserve">10/21/97),</w:t>
      </w:r>
      <w:r>
        <w:t xml:space="preserve"> </w:t>
      </w:r>
      <w:r>
        <w:t xml:space="preserve">700</w:t>
      </w:r>
      <w:r>
        <w:t xml:space="preserve"> </w:t>
      </w:r>
      <w:r>
        <w:t xml:space="preserve">So.</w:t>
      </w:r>
      <w:r>
        <w:t xml:space="preserve"> </w:t>
      </w:r>
      <w:r>
        <w:t xml:space="preserve">2d</w:t>
      </w:r>
      <w:r>
        <w:t xml:space="preserve"> </w:t>
      </w:r>
      <w:r>
        <w:t xml:space="preserve">824</w:t>
      </w:r>
      <w:r>
        <w:t xml:space="preserve">   </w:t>
      </w:r>
      <w:r>
        <w:tab/>
      </w:r>
      <w:r>
        <w:t xml:space="preserve">2, 17</w:t>
      </w:r>
    </w:p>
    <w:p>
      <w:pPr>
        <w:keepLines/>
        <w:tabs>
          <w:tab w:val="right" w:leader="dot" w:pos="9360"/>
        </w:tabs>
        <w:spacing w:before="144" w:after="0" w:line="276" w:lineRule="exact"/>
        <w:ind w:left="576" w:right="1120" w:hanging="576"/>
      </w:pPr>
      <w:r>
        <w:rPr>
          <w:i/>
          <w:iCs/>
        </w:rPr>
        <w:t xml:space="preserve">Apalachicola</w:t>
      </w:r>
      <w:r>
        <w:rPr>
          <w:i/>
          <w:iCs/>
        </w:rPr>
        <w:t xml:space="preserve"> </w:t>
      </w:r>
      <w:r>
        <w:rPr>
          <w:i/>
          <w:iCs/>
        </w:rPr>
        <w:t xml:space="preserve">Riverkeeper</w:t>
      </w:r>
      <w:r>
        <w:rPr>
          <w:i/>
          <w:iCs/>
        </w:rPr>
        <w:t xml:space="preserve"> </w:t>
      </w:r>
      <w:r>
        <w:rPr>
          <w:i/>
          <w:iCs/>
        </w:rPr>
        <w:t xml:space="preserve">v.</w:t>
      </w:r>
      <w:r>
        <w:rPr>
          <w:i/>
          <w:iCs/>
        </w:rPr>
        <w:t xml:space="preserve"> </w:t>
      </w:r>
      <w:r>
        <w:rPr>
          <w:i/>
          <w:iCs/>
        </w:rPr>
        <w:t xml:space="preserve">Taylor</w:t>
      </w:r>
      <w:r>
        <w:rPr>
          <w:i/>
          <w:iCs/>
        </w:rPr>
        <w:t xml:space="preserve"> </w:t>
      </w:r>
      <w:r>
        <w:rPr>
          <w:i/>
          <w:iCs/>
        </w:rPr>
        <w:t xml:space="preserve">Energy</w:t>
      </w:r>
      <w:r>
        <w:rPr>
          <w:i/>
          <w:iCs/>
        </w:rPr>
        <w:t xml:space="preserve"> </w:t>
      </w:r>
      <w:r>
        <w:rPr>
          <w:i/>
          <w:iCs/>
        </w:rPr>
        <w:t xml:space="preserve">Co.,</w:t>
      </w:r>
      <w:r>
        <w:rPr>
          <w:i/>
          <w:iCs/>
        </w:rPr>
        <w:t xml:space="preserve"> </w:t>
      </w:r>
      <w:r>
        <w:rPr>
          <w:i/>
          <w:iCs/>
        </w:rPr>
        <w:t xml:space="preserve">LLC</w:t>
      </w:r>
      <w:r>
        <w:t xml:space="preserve"> </w:t>
      </w:r>
      <w:r>
        <w:t xml:space="preserve">954</w:t>
      </w:r>
      <w:r>
        <w:t xml:space="preserve"> </w:t>
      </w:r>
      <w:r>
        <w:t xml:space="preserve">F.</w:t>
      </w:r>
      <w:r>
        <w:t xml:space="preserve"> </w:t>
      </w:r>
      <w:r>
        <w:t xml:space="preserve">Supp.</w:t>
      </w:r>
      <w:r>
        <w:t xml:space="preserve"> </w:t>
      </w:r>
      <w:r>
        <w:t xml:space="preserve">2d</w:t>
      </w:r>
      <w:r>
        <w:t xml:space="preserve"> </w:t>
      </w:r>
      <w:r>
        <w:t xml:space="preserve">448</w:t>
      </w:r>
      <w:r>
        <w:t xml:space="preserve"> </w:t>
      </w:r>
      <w:r>
        <w:t xml:space="preserve">(E.D.</w:t>
      </w:r>
      <w:r>
        <w:t xml:space="preserve"> </w:t>
      </w:r>
      <w:r>
        <w:t xml:space="preserve">La.</w:t>
      </w:r>
      <w:r>
        <w:t xml:space="preserve"> </w:t>
      </w:r>
      <w:r>
        <w:t xml:space="preserve">2013)</w:t>
      </w:r>
      <w:r>
        <w:t xml:space="preserve">   </w:t>
      </w:r>
      <w:r>
        <w:tab/>
      </w:r>
      <w:r>
        <w:t xml:space="preserve">4, 18</w:t>
      </w:r>
    </w:p>
    <w:p>
      <w:pPr>
        <w:keepLines/>
        <w:tabs>
          <w:tab w:val="right" w:leader="dot" w:pos="9360"/>
        </w:tabs>
        <w:spacing w:before="144" w:after="0" w:line="276" w:lineRule="exact"/>
        <w:ind w:left="576" w:right="1120" w:hanging="576"/>
      </w:pPr>
      <w:r>
        <w:rPr>
          <w:i/>
          <w:iCs/>
        </w:rPr>
        <w:t xml:space="preserve">Bd.</w:t>
      </w:r>
      <w:r>
        <w:rPr>
          <w:i/>
          <w:iCs/>
        </w:rPr>
        <w:t xml:space="preserve"> </w:t>
      </w:r>
      <w:r>
        <w:rPr>
          <w:i/>
          <w:iCs/>
        </w:rPr>
        <w:t xml:space="preserve">of</w:t>
      </w:r>
      <w:r>
        <w:rPr>
          <w:i/>
          <w:iCs/>
        </w:rPr>
        <w:t xml:space="preserve"> </w:t>
      </w:r>
      <w:r>
        <w:rPr>
          <w:i/>
          <w:iCs/>
        </w:rPr>
        <w:t xml:space="preserve">Ethics</w:t>
      </w:r>
      <w:r>
        <w:rPr>
          <w:i/>
          <w:iCs/>
        </w:rPr>
        <w:t xml:space="preserve"> </w:t>
      </w:r>
      <w:r>
        <w:rPr>
          <w:i/>
          <w:iCs/>
        </w:rPr>
        <w:t xml:space="preserve">In</w:t>
      </w:r>
      <w:r>
        <w:rPr>
          <w:i/>
          <w:iCs/>
        </w:rPr>
        <w:t xml:space="preserve"> </w:t>
      </w:r>
      <w:r>
        <w:rPr>
          <w:i/>
          <w:iCs/>
        </w:rPr>
        <w:t xml:space="preserve">re</w:t>
      </w:r>
      <w:r>
        <w:rPr>
          <w:i/>
          <w:iCs/>
        </w:rPr>
        <w:t xml:space="preserve"> </w:t>
      </w:r>
      <w:r>
        <w:rPr>
          <w:i/>
          <w:iCs/>
        </w:rPr>
        <w:t xml:space="preserve">Cartesian</w:t>
      </w:r>
      <w:r>
        <w:rPr>
          <w:i/>
          <w:iCs/>
        </w:rPr>
        <w:t xml:space="preserve"> </w:t>
      </w:r>
      <w:r>
        <w:rPr>
          <w:i/>
          <w:iCs/>
        </w:rPr>
        <w:t xml:space="preserve">Co.,</w:t>
      </w:r>
      <w:r>
        <w:rPr>
          <w:i/>
          <w:iCs/>
        </w:rPr>
        <w:t xml:space="preserve"> </w:t>
      </w:r>
      <w:r>
        <w:rPr>
          <w:i/>
          <w:iCs/>
        </w:rPr>
        <w:t xml:space="preserve">Inc.</w:t>
      </w:r>
      <w:r>
        <w:t xml:space="preserve"> </w:t>
      </w:r>
      <w:r>
        <w:t xml:space="preserve">16</w:t>
        <w:noBreakHyphen/>
        <w:t xml:space="preserve">1556</w:t>
      </w:r>
      <w:r>
        <w:t xml:space="preserve"> </w:t>
      </w:r>
      <w:r>
        <w:t xml:space="preserve">(La.</w:t>
      </w:r>
      <w:r>
        <w:t xml:space="preserve"> </w:t>
      </w:r>
      <w:r>
        <w:t xml:space="preserve">App.</w:t>
      </w:r>
      <w:r>
        <w:t xml:space="preserve"> </w:t>
      </w:r>
      <w:r>
        <w:t xml:space="preserve">1st</w:t>
      </w:r>
      <w:r>
        <w:t xml:space="preserve"> </w:t>
      </w:r>
      <w:r>
        <w:t xml:space="preserve">Cir.</w:t>
      </w:r>
      <w:r>
        <w:t xml:space="preserve"> </w:t>
      </w:r>
      <w:r>
        <w:t xml:space="preserve">10/12/17),</w:t>
      </w:r>
      <w:r>
        <w:t xml:space="preserve"> </w:t>
      </w:r>
      <w:r>
        <w:t xml:space="preserve">233</w:t>
      </w:r>
      <w:r>
        <w:t xml:space="preserve"> </w:t>
      </w:r>
      <w:r>
        <w:t xml:space="preserve">So.</w:t>
      </w:r>
      <w:r>
        <w:t xml:space="preserve"> </w:t>
      </w:r>
      <w:r>
        <w:t xml:space="preserve">3d</w:t>
      </w:r>
      <w:r>
        <w:t xml:space="preserve"> </w:t>
      </w:r>
      <w:r>
        <w:t xml:space="preserve">9</w:t>
      </w:r>
      <w:r>
        <w:t xml:space="preserve">   </w:t>
      </w:r>
      <w:r>
        <w:tab/>
      </w:r>
      <w:r>
        <w:t xml:space="preserve">17</w:t>
      </w:r>
    </w:p>
    <w:p>
      <w:pPr>
        <w:keepLines/>
        <w:tabs>
          <w:tab w:val="right" w:leader="dot" w:pos="9360"/>
        </w:tabs>
        <w:spacing w:before="144" w:after="0" w:line="276" w:lineRule="exact"/>
        <w:ind w:left="576" w:right="1120" w:hanging="576"/>
      </w:pPr>
      <w:r>
        <w:rPr>
          <w:i/>
          <w:iCs/>
        </w:rPr>
        <w:t xml:space="preserve">Borlem</w:t>
      </w:r>
      <w:r>
        <w:rPr>
          <w:i/>
          <w:iCs/>
        </w:rPr>
        <w:t xml:space="preserve"> </w:t>
      </w:r>
      <w:r>
        <w:rPr>
          <w:i/>
          <w:iCs/>
        </w:rPr>
        <w:t xml:space="preserve">S.A.-Empreedimentos</w:t>
      </w:r>
      <w:r>
        <w:rPr>
          <w:i/>
          <w:iCs/>
        </w:rPr>
        <w:t xml:space="preserve"> </w:t>
      </w:r>
      <w:r>
        <w:rPr>
          <w:i/>
          <w:iCs/>
        </w:rPr>
        <w:t xml:space="preserve">Industriais</w:t>
      </w:r>
      <w:r>
        <w:rPr>
          <w:i/>
          <w:iCs/>
        </w:rPr>
        <w:t xml:space="preserve"> </w:t>
      </w:r>
      <w:r>
        <w:rPr>
          <w:i/>
          <w:iCs/>
        </w:rPr>
        <w:t xml:space="preserve">v.</w:t>
      </w:r>
      <w:r>
        <w:rPr>
          <w:i/>
          <w:iCs/>
        </w:rPr>
        <w:t xml:space="preserve"> </w:t>
      </w:r>
      <w:r>
        <w:rPr>
          <w:i/>
          <w:iCs/>
        </w:rPr>
        <w:t xml:space="preserve">United</w:t>
      </w:r>
      <w:r>
        <w:rPr>
          <w:i/>
          <w:iCs/>
        </w:rPr>
        <w:t xml:space="preserve"> </w:t>
      </w:r>
      <w:r>
        <w:rPr>
          <w:i/>
          <w:iCs/>
        </w:rPr>
        <w:t xml:space="preserve">States</w:t>
      </w:r>
      <w:r>
        <w:t xml:space="preserve"> </w:t>
      </w:r>
      <w:r>
        <w:t xml:space="preserve">710</w:t>
      </w:r>
      <w:r>
        <w:t xml:space="preserve"> </w:t>
      </w:r>
      <w:r>
        <w:t xml:space="preserve">F.</w:t>
      </w:r>
      <w:r>
        <w:t xml:space="preserve"> </w:t>
      </w:r>
      <w:r>
        <w:t xml:space="preserve">Supp.</w:t>
      </w:r>
      <w:r>
        <w:t xml:space="preserve"> </w:t>
      </w:r>
      <w:r>
        <w:t xml:space="preserve">797</w:t>
      </w:r>
      <w:r>
        <w:t xml:space="preserve"> </w:t>
      </w:r>
      <w:r>
        <w:t xml:space="preserve">(Ct.</w:t>
      </w:r>
      <w:r>
        <w:t xml:space="preserve"> </w:t>
      </w:r>
      <w:r>
        <w:t xml:space="preserve">Int’l</w:t>
      </w:r>
      <w:r>
        <w:t xml:space="preserve"> </w:t>
      </w:r>
      <w:r>
        <w:t xml:space="preserve">Trade</w:t>
      </w:r>
      <w:r>
        <w:t xml:space="preserve"> </w:t>
      </w:r>
      <w:r>
        <w:t xml:space="preserve">1989)</w:t>
      </w:r>
      <w:r>
        <w:t xml:space="preserve">   </w:t>
      </w:r>
      <w:r>
        <w:tab/>
      </w:r>
      <w:r>
        <w:t xml:space="preserve">18</w:t>
      </w:r>
    </w:p>
    <w:p>
      <w:pPr>
        <w:keepLines/>
        <w:tabs>
          <w:tab w:val="right" w:leader="dot" w:pos="9360"/>
        </w:tabs>
        <w:spacing w:before="144" w:after="0" w:line="276" w:lineRule="exact"/>
        <w:ind w:left="576" w:right="1440" w:hanging="576"/>
      </w:pPr>
      <w:r>
        <w:rPr>
          <w:i/>
          <w:iCs/>
        </w:rPr>
        <w:t xml:space="preserve">Bourgeois</w:t>
      </w:r>
      <w:r>
        <w:rPr>
          <w:i/>
          <w:iCs/>
        </w:rPr>
        <w:t xml:space="preserve"> </w:t>
      </w:r>
      <w:r>
        <w:rPr>
          <w:i/>
          <w:iCs/>
        </w:rPr>
        <w:t xml:space="preserve">v.</w:t>
      </w:r>
      <w:r>
        <w:rPr>
          <w:i/>
          <w:iCs/>
        </w:rPr>
        <w:t xml:space="preserve"> </w:t>
      </w:r>
      <w:r>
        <w:rPr>
          <w:i/>
          <w:iCs/>
        </w:rPr>
        <w:t xml:space="preserve">A.P.</w:t>
      </w:r>
      <w:r>
        <w:rPr>
          <w:i/>
          <w:iCs/>
        </w:rPr>
        <w:t xml:space="preserve"> </w:t>
      </w:r>
      <w:r>
        <w:rPr>
          <w:i/>
          <w:iCs/>
        </w:rPr>
        <w:t xml:space="preserve">Green</w:t>
      </w:r>
      <w:r>
        <w:rPr>
          <w:i/>
          <w:iCs/>
        </w:rPr>
        <w:t xml:space="preserve"> </w:t>
      </w:r>
      <w:r>
        <w:rPr>
          <w:i/>
          <w:iCs/>
        </w:rPr>
        <w:t xml:space="preserve">Indus.,</w:t>
      </w:r>
      <w:r>
        <w:rPr>
          <w:i/>
          <w:iCs/>
        </w:rPr>
        <w:t xml:space="preserve"> </w:t>
      </w:r>
      <w:r>
        <w:rPr>
          <w:i/>
          <w:iCs/>
        </w:rPr>
        <w:t xml:space="preserve">Inc.</w:t>
      </w:r>
      <w:r>
        <w:t xml:space="preserve"> </w:t>
      </w:r>
      <w:r>
        <w:t xml:space="preserve">00</w:t>
        <w:noBreakHyphen/>
        <w:t xml:space="preserve">1528</w:t>
      </w:r>
      <w:r>
        <w:t xml:space="preserve"> </w:t>
      </w:r>
      <w:r>
        <w:t xml:space="preserve">(La.</w:t>
      </w:r>
      <w:r>
        <w:t xml:space="preserve"> </w:t>
      </w:r>
      <w:r>
        <w:t xml:space="preserve">4/3/01),</w:t>
      </w:r>
      <w:r>
        <w:t xml:space="preserve"> </w:t>
      </w:r>
      <w:r>
        <w:t xml:space="preserve">783</w:t>
      </w:r>
      <w:r>
        <w:t xml:space="preserve"> </w:t>
      </w:r>
      <w:r>
        <w:t xml:space="preserve">So.</w:t>
      </w:r>
      <w:r>
        <w:t xml:space="preserve"> </w:t>
      </w:r>
      <w:r>
        <w:t xml:space="preserve">2d</w:t>
      </w:r>
      <w:r>
        <w:t xml:space="preserve"> </w:t>
      </w:r>
      <w:r>
        <w:t xml:space="preserve">1251</w:t>
      </w:r>
      <w:r>
        <w:t xml:space="preserve">   </w:t>
      </w:r>
      <w:r>
        <w:tab/>
      </w:r>
      <w:r>
        <w:t xml:space="preserve">6, 7, 17, 20, 23</w:t>
      </w:r>
    </w:p>
    <w:p>
      <w:pPr>
        <w:keepLines/>
        <w:tabs>
          <w:tab w:val="right" w:leader="dot" w:pos="9360"/>
        </w:tabs>
        <w:spacing w:before="144" w:after="0" w:line="276" w:lineRule="exact"/>
        <w:ind w:left="576" w:right="1120" w:hanging="576"/>
      </w:pPr>
      <w:r>
        <w:rPr>
          <w:i/>
          <w:iCs/>
        </w:rPr>
        <w:t xml:space="preserve">Burmaster</w:t>
      </w:r>
      <w:r>
        <w:rPr>
          <w:i/>
          <w:iCs/>
        </w:rPr>
        <w:t xml:space="preserve"> </w:t>
      </w:r>
      <w:r>
        <w:rPr>
          <w:i/>
          <w:iCs/>
        </w:rPr>
        <w:t xml:space="preserve">v.</w:t>
      </w:r>
      <w:r>
        <w:rPr>
          <w:i/>
          <w:iCs/>
        </w:rPr>
        <w:t xml:space="preserve"> </w:t>
      </w:r>
      <w:r>
        <w:rPr>
          <w:i/>
          <w:iCs/>
        </w:rPr>
        <w:t xml:space="preserve">Plaquemines</w:t>
      </w:r>
      <w:r>
        <w:rPr>
          <w:i/>
          <w:iCs/>
        </w:rPr>
        <w:t xml:space="preserve"> </w:t>
      </w:r>
      <w:r>
        <w:rPr>
          <w:i/>
          <w:iCs/>
        </w:rPr>
        <w:t xml:space="preserve">Par.</w:t>
      </w:r>
      <w:r>
        <w:rPr>
          <w:i/>
          <w:iCs/>
        </w:rPr>
        <w:t xml:space="preserve"> </w:t>
      </w:r>
      <w:r>
        <w:rPr>
          <w:i/>
          <w:iCs/>
        </w:rPr>
        <w:t xml:space="preserve">Gov’t</w:t>
      </w:r>
      <w:r>
        <w:t xml:space="preserve"> </w:t>
      </w:r>
      <w:r>
        <w:t xml:space="preserve">07</w:t>
        <w:noBreakHyphen/>
        <w:t xml:space="preserve">2432</w:t>
      </w:r>
      <w:r>
        <w:t xml:space="preserve"> </w:t>
      </w:r>
      <w:r>
        <w:t xml:space="preserve">(La.</w:t>
      </w:r>
      <w:r>
        <w:t xml:space="preserve"> </w:t>
      </w:r>
      <w:r>
        <w:t xml:space="preserve">5/21/08),</w:t>
      </w:r>
      <w:r>
        <w:t xml:space="preserve"> </w:t>
      </w:r>
      <w:r>
        <w:t xml:space="preserve">982</w:t>
      </w:r>
      <w:r>
        <w:t xml:space="preserve"> </w:t>
      </w:r>
      <w:r>
        <w:t xml:space="preserve">So.</w:t>
      </w:r>
      <w:r>
        <w:t xml:space="preserve"> </w:t>
      </w:r>
      <w:r>
        <w:t xml:space="preserve">2d</w:t>
      </w:r>
      <w:r>
        <w:t xml:space="preserve"> </w:t>
      </w:r>
      <w:r>
        <w:t xml:space="preserve">795</w:t>
      </w:r>
      <w:r>
        <w:t xml:space="preserve">   </w:t>
      </w:r>
      <w:r>
        <w:tab/>
      </w:r>
      <w:r>
        <w:t xml:space="preserve">23</w:t>
      </w:r>
    </w:p>
    <w:p>
      <w:pPr>
        <w:keepLines/>
        <w:tabs>
          <w:tab w:val="right" w:leader="dot" w:pos="9360"/>
        </w:tabs>
        <w:spacing w:before="144" w:after="0" w:line="276" w:lineRule="exact"/>
        <w:ind w:left="576" w:right="1120" w:hanging="576"/>
      </w:pPr>
      <w:r>
        <w:rPr>
          <w:i/>
          <w:iCs/>
        </w:rPr>
        <w:t xml:space="preserve">Cat’s</w:t>
      </w:r>
      <w:r>
        <w:rPr>
          <w:i/>
          <w:iCs/>
        </w:rPr>
        <w:t xml:space="preserve"> </w:t>
      </w:r>
      <w:r>
        <w:rPr>
          <w:i/>
          <w:iCs/>
        </w:rPr>
        <w:t xml:space="preserve">Meow,</w:t>
      </w:r>
      <w:r>
        <w:rPr>
          <w:i/>
          <w:iCs/>
        </w:rPr>
        <w:t xml:space="preserve"> </w:t>
      </w:r>
      <w:r>
        <w:rPr>
          <w:i/>
          <w:iCs/>
        </w:rPr>
        <w:t xml:space="preserve">Inc.</w:t>
      </w:r>
      <w:r>
        <w:rPr>
          <w:i/>
          <w:iCs/>
        </w:rPr>
        <w:t xml:space="preserve"> </w:t>
      </w:r>
      <w:r>
        <w:rPr>
          <w:i/>
          <w:iCs/>
        </w:rPr>
        <w:t xml:space="preserve">v.</w:t>
      </w:r>
      <w:r>
        <w:rPr>
          <w:i/>
          <w:iCs/>
        </w:rPr>
        <w:t xml:space="preserve"> </w:t>
      </w:r>
      <w:r>
        <w:rPr>
          <w:i/>
          <w:iCs/>
        </w:rPr>
        <w:t xml:space="preserve">City</w:t>
      </w:r>
      <w:r>
        <w:rPr>
          <w:i/>
          <w:iCs/>
        </w:rPr>
        <w:t xml:space="preserve"> </w:t>
      </w:r>
      <w:r>
        <w:rPr>
          <w:i/>
          <w:iCs/>
        </w:rPr>
        <w:t xml:space="preserve">of</w:t>
      </w:r>
      <w:r>
        <w:rPr>
          <w:i/>
          <w:iCs/>
        </w:rPr>
        <w:t xml:space="preserve"> </w:t>
      </w:r>
      <w:r>
        <w:rPr>
          <w:i/>
          <w:iCs/>
        </w:rPr>
        <w:t xml:space="preserve">New</w:t>
      </w:r>
      <w:r>
        <w:rPr>
          <w:i/>
          <w:iCs/>
        </w:rPr>
        <w:t xml:space="preserve"> </w:t>
      </w:r>
      <w:r>
        <w:rPr>
          <w:i/>
          <w:iCs/>
        </w:rPr>
        <w:t xml:space="preserve">Orleans</w:t>
      </w:r>
      <w:r>
        <w:rPr>
          <w:i/>
          <w:iCs/>
        </w:rPr>
        <w:t xml:space="preserve"> </w:t>
      </w:r>
      <w:r>
        <w:rPr>
          <w:i/>
          <w:iCs/>
        </w:rPr>
        <w:t xml:space="preserve">Through</w:t>
      </w:r>
      <w:r>
        <w:rPr>
          <w:i/>
          <w:iCs/>
        </w:rPr>
        <w:t xml:space="preserve"> </w:t>
      </w:r>
      <w:r>
        <w:rPr>
          <w:i/>
          <w:iCs/>
        </w:rPr>
        <w:t xml:space="preserve">Dep’t</w:t>
      </w:r>
      <w:r>
        <w:rPr>
          <w:i/>
          <w:iCs/>
        </w:rPr>
        <w:t xml:space="preserve"> </w:t>
      </w:r>
      <w:r>
        <w:rPr>
          <w:i/>
          <w:iCs/>
        </w:rPr>
        <w:t xml:space="preserve">of</w:t>
      </w:r>
      <w:r>
        <w:rPr>
          <w:i/>
          <w:iCs/>
        </w:rPr>
        <w:t xml:space="preserve"> </w:t>
      </w:r>
      <w:r>
        <w:rPr>
          <w:i/>
          <w:iCs/>
        </w:rPr>
        <w:t xml:space="preserve">Fin.</w:t>
      </w:r>
      <w:r>
        <w:t xml:space="preserve"> </w:t>
      </w:r>
      <w:r>
        <w:t xml:space="preserve">98</w:t>
        <w:noBreakHyphen/>
        <w:t xml:space="preserve">0601</w:t>
      </w:r>
      <w:r>
        <w:t xml:space="preserve"> </w:t>
      </w:r>
      <w:r>
        <w:t xml:space="preserve">(La.</w:t>
      </w:r>
      <w:r>
        <w:t xml:space="preserve"> </w:t>
      </w:r>
      <w:r>
        <w:t xml:space="preserve">10/20/98),</w:t>
      </w:r>
      <w:r>
        <w:t xml:space="preserve"> </w:t>
      </w:r>
      <w:r>
        <w:t xml:space="preserve">720</w:t>
      </w:r>
      <w:r>
        <w:t xml:space="preserve"> </w:t>
      </w:r>
      <w:r>
        <w:t xml:space="preserve">So.</w:t>
      </w:r>
      <w:r>
        <w:t xml:space="preserve"> </w:t>
      </w:r>
      <w:r>
        <w:t xml:space="preserve">2d</w:t>
      </w:r>
      <w:r>
        <w:t xml:space="preserve"> </w:t>
      </w:r>
      <w:r>
        <w:t xml:space="preserve">1186</w:t>
      </w:r>
      <w:r>
        <w:t xml:space="preserve">   </w:t>
      </w:r>
      <w:r>
        <w:tab/>
      </w:r>
      <w:r>
        <w:t xml:space="preserve">7, 8, 25, 26</w:t>
      </w:r>
    </w:p>
    <w:p>
      <w:pPr>
        <w:keepLines/>
        <w:tabs>
          <w:tab w:val="right" w:leader="dot" w:pos="9360"/>
        </w:tabs>
        <w:spacing w:before="144" w:after="0" w:line="276" w:lineRule="exact"/>
        <w:ind w:left="576" w:right="1120" w:hanging="576"/>
      </w:pPr>
      <w:r>
        <w:rPr>
          <w:i/>
          <w:iCs/>
        </w:rPr>
        <w:t xml:space="preserve">Cent.</w:t>
      </w:r>
      <w:r>
        <w:rPr>
          <w:i/>
          <w:iCs/>
        </w:rPr>
        <w:t xml:space="preserve"> </w:t>
      </w:r>
      <w:r>
        <w:rPr>
          <w:i/>
          <w:iCs/>
        </w:rPr>
        <w:t xml:space="preserve">La.</w:t>
      </w:r>
      <w:r>
        <w:rPr>
          <w:i/>
          <w:iCs/>
        </w:rPr>
        <w:t xml:space="preserve"> </w:t>
      </w:r>
      <w:r>
        <w:rPr>
          <w:i/>
          <w:iCs/>
        </w:rPr>
        <w:t xml:space="preserve">Elec.</w:t>
      </w:r>
      <w:r>
        <w:rPr>
          <w:i/>
          <w:iCs/>
        </w:rPr>
        <w:t xml:space="preserve"> </w:t>
      </w:r>
      <w:r>
        <w:rPr>
          <w:i/>
          <w:iCs/>
        </w:rPr>
        <w:t xml:space="preserve">Co.</w:t>
      </w:r>
      <w:r>
        <w:rPr>
          <w:i/>
          <w:iCs/>
        </w:rPr>
        <w:t xml:space="preserve"> </w:t>
      </w:r>
      <w:r>
        <w:rPr>
          <w:i/>
          <w:iCs/>
        </w:rPr>
        <w:t xml:space="preserve">v.</w:t>
      </w:r>
      <w:r>
        <w:rPr>
          <w:i/>
          <w:iCs/>
        </w:rPr>
        <w:t xml:space="preserve"> </w:t>
      </w:r>
      <w:r>
        <w:rPr>
          <w:i/>
          <w:iCs/>
        </w:rPr>
        <w:t xml:space="preserve">Louisiana</w:t>
      </w:r>
      <w:r>
        <w:rPr>
          <w:i/>
          <w:iCs/>
        </w:rPr>
        <w:t xml:space="preserve"> </w:t>
      </w:r>
      <w:r>
        <w:rPr>
          <w:i/>
          <w:iCs/>
        </w:rPr>
        <w:t xml:space="preserve">Pub.</w:t>
      </w:r>
      <w:r>
        <w:rPr>
          <w:i/>
          <w:iCs/>
        </w:rPr>
        <w:t xml:space="preserve"> </w:t>
      </w:r>
      <w:r>
        <w:rPr>
          <w:i/>
          <w:iCs/>
        </w:rPr>
        <w:t xml:space="preserve">Serv.</w:t>
      </w:r>
      <w:r>
        <w:rPr>
          <w:i/>
          <w:iCs/>
        </w:rPr>
        <w:t xml:space="preserve"> </w:t>
      </w:r>
      <w:r>
        <w:rPr>
          <w:i/>
          <w:iCs/>
        </w:rPr>
        <w:t xml:space="preserve">Comm’n</w:t>
      </w:r>
      <w:r>
        <w:t xml:space="preserve"> </w:t>
      </w:r>
      <w:r>
        <w:t xml:space="preserve">92</w:t>
        <w:noBreakHyphen/>
        <w:t xml:space="preserve">0988,</w:t>
      </w:r>
      <w:r>
        <w:t xml:space="preserve"> </w:t>
      </w:r>
      <w:r>
        <w:t xml:space="preserve">92</w:t>
        <w:noBreakHyphen/>
        <w:t xml:space="preserve">1001</w:t>
      </w:r>
      <w:r>
        <w:t xml:space="preserve"> </w:t>
      </w:r>
      <w:r>
        <w:t xml:space="preserve">(La.</w:t>
      </w:r>
      <w:r>
        <w:t xml:space="preserve"> </w:t>
      </w:r>
      <w:r>
        <w:t xml:space="preserve">01/19/93),</w:t>
      </w:r>
      <w:r>
        <w:t xml:space="preserve"> </w:t>
      </w:r>
      <w:r>
        <w:t xml:space="preserve">601</w:t>
      </w:r>
      <w:r>
        <w:t xml:space="preserve"> </w:t>
      </w:r>
      <w:r>
        <w:t xml:space="preserve">So.</w:t>
      </w:r>
      <w:r>
        <w:t xml:space="preserve"> </w:t>
      </w:r>
      <w:r>
        <w:t xml:space="preserve">2d</w:t>
      </w:r>
      <w:r>
        <w:t xml:space="preserve"> </w:t>
      </w:r>
      <w:r>
        <w:t xml:space="preserve">1383</w:t>
      </w:r>
      <w:r>
        <w:t xml:space="preserve">   </w:t>
      </w:r>
      <w:r>
        <w:tab/>
      </w:r>
      <w:r>
        <w:t xml:space="preserve">4, 19, 23</w:t>
      </w:r>
    </w:p>
    <w:p>
      <w:pPr>
        <w:keepLines/>
        <w:tabs>
          <w:tab w:val="right" w:leader="dot" w:pos="9360"/>
        </w:tabs>
        <w:spacing w:before="144" w:after="0" w:line="276" w:lineRule="exact"/>
        <w:ind w:left="576" w:right="1120" w:hanging="576"/>
      </w:pPr>
      <w:r>
        <w:rPr>
          <w:i/>
          <w:iCs/>
        </w:rPr>
        <w:t xml:space="preserve">Commercial</w:t>
      </w:r>
      <w:r>
        <w:rPr>
          <w:i/>
          <w:iCs/>
        </w:rPr>
        <w:t xml:space="preserve"> </w:t>
      </w:r>
      <w:r>
        <w:rPr>
          <w:i/>
          <w:iCs/>
        </w:rPr>
        <w:t xml:space="preserve">Union</w:t>
      </w:r>
      <w:r>
        <w:rPr>
          <w:i/>
          <w:iCs/>
        </w:rPr>
        <w:t xml:space="preserve"> </w:t>
      </w:r>
      <w:r>
        <w:rPr>
          <w:i/>
          <w:iCs/>
        </w:rPr>
        <w:t xml:space="preserve">Ins.</w:t>
      </w:r>
      <w:r>
        <w:rPr>
          <w:i/>
          <w:iCs/>
        </w:rPr>
        <w:t xml:space="preserve"> </w:t>
      </w:r>
      <w:r>
        <w:rPr>
          <w:i/>
          <w:iCs/>
        </w:rPr>
        <w:t xml:space="preserve">Co.</w:t>
      </w:r>
      <w:r>
        <w:rPr>
          <w:i/>
          <w:iCs/>
        </w:rPr>
        <w:t xml:space="preserve"> </w:t>
      </w:r>
      <w:r>
        <w:rPr>
          <w:i/>
          <w:iCs/>
        </w:rPr>
        <w:t xml:space="preserve">v.</w:t>
      </w:r>
      <w:r>
        <w:rPr>
          <w:i/>
          <w:iCs/>
        </w:rPr>
        <w:t xml:space="preserve"> </w:t>
      </w:r>
      <w:r>
        <w:rPr>
          <w:i/>
          <w:iCs/>
        </w:rPr>
        <w:t xml:space="preserve">Bernard</w:t>
      </w:r>
      <w:r>
        <w:t xml:space="preserve"> </w:t>
      </w:r>
      <w:r>
        <w:t xml:space="preserve">303</w:t>
      </w:r>
      <w:r>
        <w:t xml:space="preserve"> </w:t>
      </w:r>
      <w:r>
        <w:t xml:space="preserve">So.</w:t>
      </w:r>
      <w:r>
        <w:t xml:space="preserve"> </w:t>
      </w:r>
      <w:r>
        <w:t xml:space="preserve">2d</w:t>
      </w:r>
      <w:r>
        <w:t xml:space="preserve"> </w:t>
      </w:r>
      <w:r>
        <w:t xml:space="preserve">728</w:t>
      </w:r>
      <w:r>
        <w:t xml:space="preserve"> </w:t>
      </w:r>
      <w:r>
        <w:t xml:space="preserve">(La.</w:t>
      </w:r>
      <w:r>
        <w:t xml:space="preserve"> </w:t>
      </w:r>
      <w:r>
        <w:t xml:space="preserve">1974)</w:t>
      </w:r>
      <w:r>
        <w:t xml:space="preserve">   </w:t>
      </w:r>
      <w:r>
        <w:tab/>
      </w:r>
      <w:r>
        <w:t xml:space="preserve">23</w:t>
      </w:r>
    </w:p>
    <w:p>
      <w:pPr>
        <w:keepLines/>
        <w:tabs>
          <w:tab w:val="right" w:leader="dot" w:pos="9360"/>
        </w:tabs>
        <w:spacing w:before="144" w:after="0" w:line="276" w:lineRule="exact"/>
        <w:ind w:left="576" w:right="1120" w:hanging="576"/>
      </w:pPr>
      <w:r>
        <w:rPr>
          <w:i/>
          <w:iCs/>
        </w:rPr>
        <w:t xml:space="preserve">Daily</w:t>
      </w:r>
      <w:r>
        <w:rPr>
          <w:i/>
          <w:iCs/>
        </w:rPr>
        <w:t xml:space="preserve"> </w:t>
      </w:r>
      <w:r>
        <w:rPr>
          <w:i/>
          <w:iCs/>
        </w:rPr>
        <w:t xml:space="preserve">Advertiser</w:t>
      </w:r>
      <w:r>
        <w:rPr>
          <w:i/>
          <w:iCs/>
        </w:rPr>
        <w:t xml:space="preserve"> </w:t>
      </w:r>
      <w:r>
        <w:rPr>
          <w:i/>
          <w:iCs/>
        </w:rPr>
        <w:t xml:space="preserve">v.</w:t>
      </w:r>
      <w:r>
        <w:rPr>
          <w:i/>
          <w:iCs/>
        </w:rPr>
        <w:t xml:space="preserve"> </w:t>
      </w:r>
      <w:r>
        <w:rPr>
          <w:i/>
          <w:iCs/>
        </w:rPr>
        <w:t xml:space="preserve">Trans-La,</w:t>
      </w:r>
      <w:r>
        <w:rPr>
          <w:i/>
          <w:iCs/>
        </w:rPr>
        <w:t xml:space="preserve"> </w:t>
      </w:r>
      <w:r>
        <w:rPr>
          <w:i/>
          <w:iCs/>
        </w:rPr>
        <w:t xml:space="preserve">a</w:t>
      </w:r>
      <w:r>
        <w:rPr>
          <w:i/>
          <w:iCs/>
        </w:rPr>
        <w:t xml:space="preserve"> </w:t>
      </w:r>
      <w:r>
        <w:rPr>
          <w:i/>
          <w:iCs/>
        </w:rPr>
        <w:t xml:space="preserve">Div.</w:t>
      </w:r>
      <w:r>
        <w:rPr>
          <w:i/>
          <w:iCs/>
        </w:rPr>
        <w:t xml:space="preserve"> </w:t>
      </w:r>
      <w:r>
        <w:rPr>
          <w:i/>
          <w:iCs/>
        </w:rPr>
        <w:t xml:space="preserve">of</w:t>
      </w:r>
      <w:r>
        <w:rPr>
          <w:i/>
          <w:iCs/>
        </w:rPr>
        <w:t xml:space="preserve"> </w:t>
      </w:r>
      <w:r>
        <w:rPr>
          <w:i/>
          <w:iCs/>
        </w:rPr>
        <w:t xml:space="preserve">Atmos</w:t>
      </w:r>
      <w:r>
        <w:rPr>
          <w:i/>
          <w:iCs/>
        </w:rPr>
        <w:t xml:space="preserve"> </w:t>
      </w:r>
      <w:r>
        <w:rPr>
          <w:i/>
          <w:iCs/>
        </w:rPr>
        <w:t xml:space="preserve">Energy</w:t>
      </w:r>
      <w:r>
        <w:rPr>
          <w:i/>
          <w:iCs/>
        </w:rPr>
        <w:t xml:space="preserve"> </w:t>
      </w:r>
      <w:r>
        <w:rPr>
          <w:i/>
          <w:iCs/>
        </w:rPr>
        <w:t xml:space="preserve">Corp.</w:t>
      </w:r>
      <w:r>
        <w:t xml:space="preserve"> </w:t>
      </w:r>
      <w:r>
        <w:t xml:space="preserve">92</w:t>
        <w:noBreakHyphen/>
        <w:t xml:space="preserve">0988,</w:t>
      </w:r>
      <w:r>
        <w:t xml:space="preserve"> </w:t>
      </w:r>
      <w:r>
        <w:t xml:space="preserve">92</w:t>
        <w:noBreakHyphen/>
        <w:t xml:space="preserve">1001</w:t>
      </w:r>
      <w:r>
        <w:t xml:space="preserve"> </w:t>
      </w:r>
      <w:r>
        <w:t xml:space="preserve">(01/19/93),</w:t>
      </w:r>
      <w:r>
        <w:t xml:space="preserve"> </w:t>
      </w:r>
      <w:r>
        <w:t xml:space="preserve">612</w:t>
      </w:r>
      <w:r>
        <w:t xml:space="preserve"> </w:t>
      </w:r>
      <w:r>
        <w:t xml:space="preserve">So.</w:t>
      </w:r>
      <w:r>
        <w:t xml:space="preserve"> </w:t>
      </w:r>
      <w:r>
        <w:t xml:space="preserve">2d</w:t>
      </w:r>
      <w:r>
        <w:t xml:space="preserve"> </w:t>
      </w:r>
      <w:r>
        <w:t xml:space="preserve">7</w:t>
      </w:r>
      <w:r>
        <w:t xml:space="preserve">   </w:t>
      </w:r>
      <w:r>
        <w:tab/>
      </w:r>
      <w:r>
        <w:t xml:space="preserve">4</w:t>
      </w:r>
    </w:p>
    <w:p>
      <w:pPr>
        <w:keepLines/>
        <w:tabs>
          <w:tab w:val="right" w:leader="dot" w:pos="9360"/>
        </w:tabs>
        <w:spacing w:before="144" w:after="0" w:line="276" w:lineRule="exact"/>
        <w:ind w:left="576" w:right="1120" w:hanging="576"/>
      </w:pPr>
      <w:r>
        <w:rPr>
          <w:i/>
          <w:iCs/>
        </w:rPr>
        <w:t xml:space="preserve">Deer</w:t>
      </w:r>
      <w:r>
        <w:rPr>
          <w:i/>
          <w:iCs/>
        </w:rPr>
        <w:t xml:space="preserve"> </w:t>
      </w:r>
      <w:r>
        <w:rPr>
          <w:i/>
          <w:iCs/>
        </w:rPr>
        <w:t xml:space="preserve">Enters.</w:t>
      </w:r>
      <w:r>
        <w:rPr>
          <w:i/>
          <w:iCs/>
        </w:rPr>
        <w:t xml:space="preserve"> </w:t>
      </w:r>
      <w:r>
        <w:rPr>
          <w:i/>
          <w:iCs/>
        </w:rPr>
        <w:t xml:space="preserve">LLC,</w:t>
      </w:r>
      <w:r>
        <w:rPr>
          <w:i/>
          <w:iCs/>
        </w:rPr>
        <w:t xml:space="preserve"> </w:t>
      </w:r>
      <w:r>
        <w:rPr>
          <w:i/>
          <w:iCs/>
        </w:rPr>
        <w:t xml:space="preserve">v.</w:t>
      </w:r>
      <w:r>
        <w:rPr>
          <w:i/>
          <w:iCs/>
        </w:rPr>
        <w:t xml:space="preserve"> </w:t>
      </w:r>
      <w:r>
        <w:rPr>
          <w:i/>
          <w:iCs/>
        </w:rPr>
        <w:t xml:space="preserve">Par.</w:t>
      </w:r>
      <w:r>
        <w:rPr>
          <w:i/>
          <w:iCs/>
        </w:rPr>
        <w:t xml:space="preserve"> </w:t>
      </w:r>
      <w:r>
        <w:rPr>
          <w:i/>
          <w:iCs/>
        </w:rPr>
        <w:t xml:space="preserve">Council</w:t>
      </w:r>
      <w:r>
        <w:rPr>
          <w:i/>
          <w:iCs/>
        </w:rPr>
        <w:t xml:space="preserve"> </w:t>
      </w:r>
      <w:r>
        <w:rPr>
          <w:i/>
          <w:iCs/>
        </w:rPr>
        <w:t xml:space="preserve">of</w:t>
      </w:r>
      <w:r>
        <w:rPr>
          <w:i/>
          <w:iCs/>
        </w:rPr>
        <w:t xml:space="preserve"> </w:t>
      </w:r>
      <w:r>
        <w:rPr>
          <w:i/>
          <w:iCs/>
        </w:rPr>
        <w:t xml:space="preserve">Wash.</w:t>
      </w:r>
      <w:r>
        <w:rPr>
          <w:i/>
          <w:iCs/>
        </w:rPr>
        <w:t xml:space="preserve"> </w:t>
      </w:r>
      <w:r>
        <w:rPr>
          <w:i/>
          <w:iCs/>
        </w:rPr>
        <w:t xml:space="preserve">Par.</w:t>
      </w:r>
      <w:r>
        <w:t xml:space="preserve"> </w:t>
      </w:r>
      <w:r>
        <w:t xml:space="preserve">10</w:t>
        <w:noBreakHyphen/>
        <w:t xml:space="preserve">0671</w:t>
      </w:r>
      <w:r>
        <w:t xml:space="preserve"> </w:t>
      </w:r>
      <w:r>
        <w:t xml:space="preserve">(La.</w:t>
      </w:r>
      <w:r>
        <w:t xml:space="preserve"> </w:t>
      </w:r>
      <w:r>
        <w:t xml:space="preserve">1/19/11),</w:t>
      </w:r>
      <w:r>
        <w:t xml:space="preserve"> </w:t>
      </w:r>
      <w:r>
        <w:t xml:space="preserve">56</w:t>
      </w:r>
      <w:r>
        <w:t xml:space="preserve"> </w:t>
      </w:r>
      <w:r>
        <w:t xml:space="preserve">So.</w:t>
      </w:r>
      <w:r>
        <w:t xml:space="preserve"> </w:t>
      </w:r>
      <w:r>
        <w:t xml:space="preserve">3d</w:t>
      </w:r>
      <w:r>
        <w:t xml:space="preserve"> </w:t>
      </w:r>
      <w:r>
        <w:t xml:space="preserve">936</w:t>
      </w:r>
      <w:r>
        <w:t xml:space="preserve">   </w:t>
      </w:r>
      <w:r>
        <w:tab/>
      </w:r>
      <w:r>
        <w:t xml:space="preserve">21</w:t>
      </w:r>
    </w:p>
    <w:p>
      <w:pPr>
        <w:keepLines/>
        <w:tabs>
          <w:tab w:val="right" w:leader="dot" w:pos="9360"/>
        </w:tabs>
        <w:spacing w:before="144" w:after="0" w:line="276" w:lineRule="exact"/>
        <w:ind w:left="576" w:right="1120" w:hanging="576"/>
      </w:pPr>
      <w:r>
        <w:rPr>
          <w:i/>
          <w:iCs/>
        </w:rPr>
        <w:t xml:space="preserve">Deshotels</w:t>
      </w:r>
      <w:r>
        <w:rPr>
          <w:i/>
          <w:iCs/>
        </w:rPr>
        <w:t xml:space="preserve"> </w:t>
      </w:r>
      <w:r>
        <w:rPr>
          <w:i/>
          <w:iCs/>
        </w:rPr>
        <w:t xml:space="preserve">v.</w:t>
      </w:r>
      <w:r>
        <w:rPr>
          <w:i/>
          <w:iCs/>
        </w:rPr>
        <w:t xml:space="preserve"> </w:t>
      </w:r>
      <w:r>
        <w:rPr>
          <w:i/>
          <w:iCs/>
        </w:rPr>
        <w:t xml:space="preserve">SHRM</w:t>
      </w:r>
      <w:r>
        <w:rPr>
          <w:i/>
          <w:iCs/>
        </w:rPr>
        <w:t xml:space="preserve"> </w:t>
      </w:r>
      <w:r>
        <w:rPr>
          <w:i/>
          <w:iCs/>
        </w:rPr>
        <w:t xml:space="preserve">Catering</w:t>
      </w:r>
      <w:r>
        <w:rPr>
          <w:i/>
          <w:iCs/>
        </w:rPr>
        <w:t xml:space="preserve"> </w:t>
      </w:r>
      <w:r>
        <w:rPr>
          <w:i/>
          <w:iCs/>
        </w:rPr>
        <w:t xml:space="preserve">Servs.,</w:t>
      </w:r>
      <w:r>
        <w:rPr>
          <w:i/>
          <w:iCs/>
        </w:rPr>
        <w:t xml:space="preserve"> </w:t>
      </w:r>
      <w:r>
        <w:rPr>
          <w:i/>
          <w:iCs/>
        </w:rPr>
        <w:t xml:space="preserve">Inc.</w:t>
      </w:r>
      <w:r>
        <w:t xml:space="preserve"> </w:t>
      </w:r>
      <w:r>
        <w:t xml:space="preserve">88</w:t>
        <w:noBreakHyphen/>
        <w:t xml:space="preserve">1323</w:t>
      </w:r>
      <w:r>
        <w:t xml:space="preserve"> </w:t>
      </w:r>
      <w:r>
        <w:t xml:space="preserve">(La.</w:t>
      </w:r>
      <w:r>
        <w:t xml:space="preserve"> </w:t>
      </w:r>
      <w:r>
        <w:t xml:space="preserve">01/30/1989),</w:t>
      </w:r>
      <w:r>
        <w:t xml:space="preserve"> </w:t>
      </w:r>
      <w:r>
        <w:t xml:space="preserve">538</w:t>
      </w:r>
      <w:r>
        <w:t xml:space="preserve"> </w:t>
      </w:r>
      <w:r>
        <w:t xml:space="preserve">So.</w:t>
      </w:r>
      <w:r>
        <w:t xml:space="preserve"> </w:t>
      </w:r>
      <w:r>
        <w:t xml:space="preserve">2d</w:t>
      </w:r>
      <w:r>
        <w:t xml:space="preserve"> </w:t>
      </w:r>
      <w:r>
        <w:t xml:space="preserve">988</w:t>
      </w:r>
      <w:r>
        <w:t xml:space="preserve">   </w:t>
      </w:r>
      <w:r>
        <w:tab/>
      </w:r>
      <w:r>
        <w:t xml:space="preserve">18</w:t>
      </w:r>
    </w:p>
    <w:p>
      <w:pPr>
        <w:keepLines/>
        <w:tabs>
          <w:tab w:val="right" w:leader="dot" w:pos="9360"/>
        </w:tabs>
        <w:spacing w:before="144" w:after="0" w:line="276" w:lineRule="exact"/>
        <w:ind w:left="576" w:right="1120" w:hanging="576"/>
      </w:pPr>
      <w:r>
        <w:rPr>
          <w:i/>
          <w:iCs/>
        </w:rPr>
        <w:t xml:space="preserve">Envtl.Def.</w:t>
      </w:r>
      <w:r>
        <w:rPr>
          <w:i/>
          <w:iCs/>
        </w:rPr>
        <w:t xml:space="preserve"> </w:t>
      </w:r>
      <w:r>
        <w:rPr>
          <w:i/>
          <w:iCs/>
        </w:rPr>
        <w:t xml:space="preserve">Fund,</w:t>
      </w:r>
      <w:r>
        <w:rPr>
          <w:i/>
          <w:iCs/>
        </w:rPr>
        <w:t xml:space="preserve"> </w:t>
      </w:r>
      <w:r>
        <w:rPr>
          <w:i/>
          <w:iCs/>
        </w:rPr>
        <w:t xml:space="preserve">Inc.</w:t>
      </w:r>
      <w:r>
        <w:rPr>
          <w:i/>
          <w:iCs/>
        </w:rPr>
        <w:t xml:space="preserve"> </w:t>
      </w:r>
      <w:r>
        <w:rPr>
          <w:i/>
          <w:iCs/>
        </w:rPr>
        <w:t xml:space="preserve">v.</w:t>
      </w:r>
      <w:r>
        <w:rPr>
          <w:i/>
          <w:iCs/>
        </w:rPr>
        <w:t xml:space="preserve"> </w:t>
      </w:r>
      <w:r>
        <w:rPr>
          <w:i/>
          <w:iCs/>
        </w:rPr>
        <w:t xml:space="preserve">Wheelabrator</w:t>
      </w:r>
      <w:r>
        <w:rPr>
          <w:i/>
          <w:iCs/>
        </w:rPr>
        <w:t xml:space="preserve"> </w:t>
      </w:r>
      <w:r>
        <w:rPr>
          <w:i/>
          <w:iCs/>
        </w:rPr>
        <w:t xml:space="preserve">Techs.</w:t>
      </w:r>
      <w:r>
        <w:rPr>
          <w:i/>
          <w:iCs/>
        </w:rPr>
        <w:t xml:space="preserve"> </w:t>
      </w:r>
      <w:r>
        <w:rPr>
          <w:i/>
          <w:iCs/>
        </w:rPr>
        <w:t xml:space="preserve">Inc.</w:t>
      </w:r>
      <w:r>
        <w:t xml:space="preserve"> </w:t>
      </w:r>
      <w:r>
        <w:t xml:space="preserve">725</w:t>
      </w:r>
      <w:r>
        <w:t xml:space="preserve"> </w:t>
      </w:r>
      <w:r>
        <w:t xml:space="preserve">F.</w:t>
      </w:r>
      <w:r>
        <w:t xml:space="preserve"> </w:t>
      </w:r>
      <w:r>
        <w:t xml:space="preserve">Supp.</w:t>
      </w:r>
      <w:r>
        <w:t xml:space="preserve"> </w:t>
      </w:r>
      <w:r>
        <w:t xml:space="preserve">758</w:t>
      </w:r>
      <w:r>
        <w:t xml:space="preserve"> </w:t>
      </w:r>
      <w:r>
        <w:t xml:space="preserve">(S.D.N.Y.</w:t>
      </w:r>
      <w:r>
        <w:t xml:space="preserve"> </w:t>
      </w:r>
      <w:r>
        <w:t xml:space="preserve">1989)</w:t>
      </w:r>
      <w:r>
        <w:t xml:space="preserve">   </w:t>
      </w:r>
      <w:r>
        <w:tab/>
      </w:r>
      <w:r>
        <w:t xml:space="preserve">18</w:t>
      </w:r>
    </w:p>
    <w:p>
      <w:pPr>
        <w:keepLines/>
        <w:tabs>
          <w:tab w:val="right" w:leader="dot" w:pos="9360"/>
        </w:tabs>
        <w:spacing w:before="144" w:after="0" w:line="276" w:lineRule="exact"/>
        <w:ind w:left="576" w:right="1120" w:hanging="576"/>
      </w:pPr>
      <w:r>
        <w:rPr>
          <w:i/>
          <w:iCs/>
        </w:rPr>
        <w:t xml:space="preserve">Faucheaux</w:t>
      </w:r>
      <w:r>
        <w:rPr>
          <w:i/>
          <w:iCs/>
        </w:rPr>
        <w:t xml:space="preserve"> </w:t>
      </w:r>
      <w:r>
        <w:rPr>
          <w:i/>
          <w:iCs/>
        </w:rPr>
        <w:t xml:space="preserve">v.</w:t>
      </w:r>
      <w:r>
        <w:rPr>
          <w:i/>
          <w:iCs/>
        </w:rPr>
        <w:t xml:space="preserve"> </w:t>
      </w:r>
      <w:r>
        <w:rPr>
          <w:i/>
          <w:iCs/>
        </w:rPr>
        <w:t xml:space="preserve">Alton</w:t>
      </w:r>
      <w:r>
        <w:rPr>
          <w:i/>
          <w:iCs/>
        </w:rPr>
        <w:t xml:space="preserve"> </w:t>
      </w:r>
      <w:r>
        <w:rPr>
          <w:i/>
          <w:iCs/>
        </w:rPr>
        <w:t xml:space="preserve">Ochsner</w:t>
      </w:r>
      <w:r>
        <w:rPr>
          <w:i/>
          <w:iCs/>
        </w:rPr>
        <w:t xml:space="preserve"> </w:t>
      </w:r>
      <w:r>
        <w:rPr>
          <w:i/>
          <w:iCs/>
        </w:rPr>
        <w:t xml:space="preserve">Med.</w:t>
      </w:r>
      <w:r>
        <w:rPr>
          <w:i/>
          <w:iCs/>
        </w:rPr>
        <w:t xml:space="preserve"> </w:t>
      </w:r>
      <w:r>
        <w:rPr>
          <w:i/>
          <w:iCs/>
        </w:rPr>
        <w:t xml:space="preserve">Found.</w:t>
      </w:r>
      <w:r>
        <w:rPr>
          <w:i/>
          <w:iCs/>
        </w:rPr>
        <w:t xml:space="preserve"> </w:t>
      </w:r>
      <w:r>
        <w:rPr>
          <w:i/>
          <w:iCs/>
        </w:rPr>
        <w:t xml:space="preserve">Hosp.</w:t>
      </w:r>
      <w:r>
        <w:rPr>
          <w:i/>
          <w:iCs/>
        </w:rPr>
        <w:t xml:space="preserve"> </w:t>
      </w:r>
      <w:r>
        <w:rPr>
          <w:i/>
          <w:iCs/>
        </w:rPr>
        <w:t xml:space="preserve">&amp;</w:t>
      </w:r>
      <w:r>
        <w:rPr>
          <w:i/>
          <w:iCs/>
        </w:rPr>
        <w:t xml:space="preserve"> </w:t>
      </w:r>
      <w:r>
        <w:rPr>
          <w:i/>
          <w:iCs/>
        </w:rPr>
        <w:t xml:space="preserve">Clinic</w:t>
      </w:r>
      <w:r>
        <w:t xml:space="preserve"> </w:t>
      </w:r>
      <w:r>
        <w:t xml:space="preserve">85</w:t>
        <w:noBreakHyphen/>
        <w:t xml:space="preserve">0968</w:t>
      </w:r>
      <w:r>
        <w:t xml:space="preserve"> </w:t>
      </w:r>
      <w:r>
        <w:t xml:space="preserve">(La.</w:t>
      </w:r>
      <w:r>
        <w:t xml:space="preserve"> </w:t>
      </w:r>
      <w:r>
        <w:t xml:space="preserve">6/17/85),</w:t>
      </w:r>
      <w:r>
        <w:t xml:space="preserve"> </w:t>
      </w:r>
      <w:r>
        <w:t xml:space="preserve">470</w:t>
      </w:r>
      <w:r>
        <w:t xml:space="preserve"> </w:t>
      </w:r>
      <w:r>
        <w:t xml:space="preserve">So.</w:t>
      </w:r>
      <w:r>
        <w:t xml:space="preserve"> </w:t>
      </w:r>
      <w:r>
        <w:t xml:space="preserve">2d 878</w:t>
      </w:r>
      <w:r>
        <w:t xml:space="preserve">   </w:t>
      </w:r>
      <w:r>
        <w:tab/>
      </w:r>
      <w:r>
        <w:t xml:space="preserve">23</w:t>
      </w:r>
    </w:p>
    <w:p>
      <w:pPr>
        <w:keepLines/>
        <w:tabs>
          <w:tab w:val="right" w:leader="dot" w:pos="9360"/>
        </w:tabs>
        <w:spacing w:before="144" w:after="0" w:line="276" w:lineRule="exact"/>
        <w:ind w:left="576" w:right="1120" w:hanging="576"/>
      </w:pPr>
      <w:r>
        <w:rPr>
          <w:i/>
          <w:iCs/>
        </w:rPr>
        <w:t xml:space="preserve">Grubbs</w:t>
      </w:r>
      <w:r>
        <w:rPr>
          <w:i/>
          <w:iCs/>
        </w:rPr>
        <w:t xml:space="preserve"> </w:t>
      </w:r>
      <w:r>
        <w:rPr>
          <w:i/>
          <w:iCs/>
        </w:rPr>
        <w:t xml:space="preserve">v.</w:t>
      </w:r>
      <w:r>
        <w:rPr>
          <w:i/>
          <w:iCs/>
        </w:rPr>
        <w:t xml:space="preserve"> </w:t>
      </w:r>
      <w:r>
        <w:rPr>
          <w:i/>
          <w:iCs/>
        </w:rPr>
        <w:t xml:space="preserve">Gulf</w:t>
      </w:r>
      <w:r>
        <w:rPr>
          <w:i/>
          <w:iCs/>
        </w:rPr>
        <w:t xml:space="preserve"> </w:t>
      </w:r>
      <w:r>
        <w:rPr>
          <w:i/>
          <w:iCs/>
        </w:rPr>
        <w:t xml:space="preserve">Int’l</w:t>
      </w:r>
      <w:r>
        <w:rPr>
          <w:i/>
          <w:iCs/>
        </w:rPr>
        <w:t xml:space="preserve"> </w:t>
      </w:r>
      <w:r>
        <w:rPr>
          <w:i/>
          <w:iCs/>
        </w:rPr>
        <w:t xml:space="preserve">Marine,</w:t>
      </w:r>
      <w:r>
        <w:rPr>
          <w:i/>
          <w:iCs/>
        </w:rPr>
        <w:t xml:space="preserve"> </w:t>
      </w:r>
      <w:r>
        <w:rPr>
          <w:i/>
          <w:iCs/>
        </w:rPr>
        <w:t xml:space="preserve">Inc.</w:t>
      </w:r>
      <w:r>
        <w:t xml:space="preserve"> </w:t>
      </w:r>
      <w:r>
        <w:t xml:space="preserve">93</w:t>
        <w:noBreakHyphen/>
        <w:t xml:space="preserve">0583</w:t>
      </w:r>
      <w:r>
        <w:t xml:space="preserve"> </w:t>
      </w:r>
      <w:r>
        <w:t xml:space="preserve">(La.</w:t>
      </w:r>
      <w:r>
        <w:t xml:space="preserve"> </w:t>
      </w:r>
      <w:r>
        <w:t xml:space="preserve">10/18/1993),</w:t>
      </w:r>
      <w:r>
        <w:t xml:space="preserve"> </w:t>
      </w:r>
      <w:r>
        <w:t xml:space="preserve">625</w:t>
      </w:r>
      <w:r>
        <w:t xml:space="preserve"> </w:t>
      </w:r>
      <w:r>
        <w:t xml:space="preserve">So.</w:t>
      </w:r>
      <w:r>
        <w:t xml:space="preserve"> </w:t>
      </w:r>
      <w:r>
        <w:t xml:space="preserve">2d</w:t>
      </w:r>
      <w:r>
        <w:t xml:space="preserve"> </w:t>
      </w:r>
      <w:r>
        <w:t xml:space="preserve">495</w:t>
      </w:r>
      <w:r>
        <w:t xml:space="preserve">   </w:t>
      </w:r>
      <w:r>
        <w:tab/>
      </w:r>
      <w:r>
        <w:t xml:space="preserve">18</w:t>
      </w:r>
    </w:p>
    <w:p>
      <w:pPr>
        <w:keepLines/>
        <w:tabs>
          <w:tab w:val="right" w:leader="dot" w:pos="9360"/>
        </w:tabs>
        <w:spacing w:before="144" w:after="0" w:line="276" w:lineRule="exact"/>
        <w:ind w:left="576" w:right="1120" w:hanging="576"/>
      </w:pPr>
      <w:r>
        <w:rPr>
          <w:i/>
          <w:iCs/>
        </w:rPr>
        <w:t xml:space="preserve">Herlitz</w:t>
      </w:r>
      <w:r>
        <w:rPr>
          <w:i/>
          <w:iCs/>
        </w:rPr>
        <w:t xml:space="preserve"> </w:t>
      </w:r>
      <w:r>
        <w:rPr>
          <w:i/>
          <w:iCs/>
        </w:rPr>
        <w:t xml:space="preserve">Const.</w:t>
      </w:r>
      <w:r>
        <w:rPr>
          <w:i/>
          <w:iCs/>
        </w:rPr>
        <w:t xml:space="preserve"> </w:t>
      </w:r>
      <w:r>
        <w:rPr>
          <w:i/>
          <w:iCs/>
        </w:rPr>
        <w:t xml:space="preserve">Co.</w:t>
      </w:r>
      <w:r>
        <w:rPr>
          <w:i/>
          <w:iCs/>
        </w:rPr>
        <w:t xml:space="preserve"> </w:t>
      </w:r>
      <w:r>
        <w:rPr>
          <w:i/>
          <w:iCs/>
        </w:rPr>
        <w:t xml:space="preserve">v.</w:t>
      </w:r>
      <w:r>
        <w:rPr>
          <w:i/>
          <w:iCs/>
        </w:rPr>
        <w:t xml:space="preserve"> </w:t>
      </w:r>
      <w:r>
        <w:rPr>
          <w:i/>
          <w:iCs/>
        </w:rPr>
        <w:t xml:space="preserve">Hotel</w:t>
      </w:r>
      <w:r>
        <w:rPr>
          <w:i/>
          <w:iCs/>
        </w:rPr>
        <w:t xml:space="preserve"> </w:t>
      </w:r>
      <w:r>
        <w:rPr>
          <w:i/>
          <w:iCs/>
        </w:rPr>
        <w:t xml:space="preserve">Inv’rs.</w:t>
      </w:r>
      <w:r>
        <w:rPr>
          <w:i/>
          <w:iCs/>
        </w:rPr>
        <w:t xml:space="preserve"> </w:t>
      </w:r>
      <w:r>
        <w:rPr>
          <w:i/>
          <w:iCs/>
        </w:rPr>
        <w:t xml:space="preserve">of</w:t>
      </w:r>
      <w:r>
        <w:rPr>
          <w:i/>
          <w:iCs/>
        </w:rPr>
        <w:t xml:space="preserve"> </w:t>
      </w:r>
      <w:r>
        <w:rPr>
          <w:i/>
          <w:iCs/>
        </w:rPr>
        <w:t xml:space="preserve">New</w:t>
      </w:r>
      <w:r>
        <w:rPr>
          <w:i/>
          <w:iCs/>
        </w:rPr>
        <w:t xml:space="preserve"> </w:t>
      </w:r>
      <w:r>
        <w:rPr>
          <w:i/>
          <w:iCs/>
        </w:rPr>
        <w:t xml:space="preserve">Iberia,</w:t>
      </w:r>
      <w:r>
        <w:rPr>
          <w:i/>
          <w:iCs/>
        </w:rPr>
        <w:t xml:space="preserve"> </w:t>
      </w:r>
      <w:r>
        <w:rPr>
          <w:i/>
          <w:iCs/>
        </w:rPr>
        <w:t xml:space="preserve">Inc.</w:t>
      </w:r>
      <w:r>
        <w:t xml:space="preserve"> </w:t>
      </w:r>
      <w:r>
        <w:t xml:space="preserve">81</w:t>
        <w:noBreakHyphen/>
        <w:t xml:space="preserve">231</w:t>
      </w:r>
      <w:r>
        <w:t xml:space="preserve"> </w:t>
      </w:r>
      <w:r>
        <w:t xml:space="preserve">(La.</w:t>
      </w:r>
      <w:r>
        <w:t xml:space="preserve"> </w:t>
      </w:r>
      <w:r>
        <w:t xml:space="preserve">03/30/81),</w:t>
      </w:r>
      <w:r>
        <w:t xml:space="preserve"> </w:t>
      </w:r>
      <w:r>
        <w:t xml:space="preserve">396</w:t>
      </w:r>
      <w:r>
        <w:t xml:space="preserve"> </w:t>
      </w:r>
      <w:r>
        <w:t xml:space="preserve">So.</w:t>
      </w:r>
      <w:r>
        <w:t xml:space="preserve"> </w:t>
      </w:r>
      <w:r>
        <w:t xml:space="preserve">2d 878</w:t>
      </w:r>
      <w:r>
        <w:t xml:space="preserve">   </w:t>
      </w:r>
      <w:r>
        <w:tab/>
      </w:r>
      <w:r>
        <w:t xml:space="preserve">5</w:t>
      </w:r>
    </w:p>
    <w:p>
      <w:pPr>
        <w:keepLines/>
        <w:tabs>
          <w:tab w:val="right" w:leader="dot" w:pos="9360"/>
        </w:tabs>
        <w:spacing w:before="144" w:after="0" w:line="276" w:lineRule="exact"/>
        <w:ind w:left="576" w:right="1120" w:hanging="576"/>
      </w:pPr>
      <w:r>
        <w:rPr>
          <w:i/>
          <w:iCs/>
        </w:rPr>
        <w:t xml:space="preserve">Hopkins</w:t>
      </w:r>
      <w:r>
        <w:rPr>
          <w:i/>
          <w:iCs/>
        </w:rPr>
        <w:t xml:space="preserve"> </w:t>
      </w:r>
      <w:r>
        <w:rPr>
          <w:i/>
          <w:iCs/>
        </w:rPr>
        <w:t xml:space="preserve">v.</w:t>
      </w:r>
      <w:r>
        <w:rPr>
          <w:i/>
          <w:iCs/>
        </w:rPr>
        <w:t xml:space="preserve"> </w:t>
      </w:r>
      <w:r>
        <w:rPr>
          <w:i/>
          <w:iCs/>
        </w:rPr>
        <w:t xml:space="preserve">Howard</w:t>
      </w:r>
      <w:r>
        <w:t xml:space="preserve"> </w:t>
      </w:r>
      <w:r>
        <w:t xml:space="preserve">05</w:t>
        <w:noBreakHyphen/>
        <w:t xml:space="preserve">0732</w:t>
      </w:r>
      <w:r>
        <w:t xml:space="preserve"> </w:t>
      </w:r>
      <w:r>
        <w:t xml:space="preserve">(La.</w:t>
      </w:r>
      <w:r>
        <w:t xml:space="preserve"> </w:t>
      </w:r>
      <w:r>
        <w:t xml:space="preserve">App.</w:t>
      </w:r>
      <w:r>
        <w:t xml:space="preserve"> </w:t>
      </w:r>
      <w:r>
        <w:t xml:space="preserve">4th</w:t>
      </w:r>
      <w:r>
        <w:t xml:space="preserve"> </w:t>
      </w:r>
      <w:r>
        <w:t xml:space="preserve">Cir.</w:t>
      </w:r>
      <w:r>
        <w:t xml:space="preserve"> </w:t>
      </w:r>
      <w:r>
        <w:t xml:space="preserve">4/5/06),</w:t>
      </w:r>
      <w:r>
        <w:t xml:space="preserve"> </w:t>
      </w:r>
      <w:r>
        <w:t xml:space="preserve">930</w:t>
      </w:r>
      <w:r>
        <w:t xml:space="preserve"> </w:t>
      </w:r>
      <w:r>
        <w:t xml:space="preserve">So.</w:t>
      </w:r>
      <w:r>
        <w:t xml:space="preserve"> </w:t>
      </w:r>
      <w:r>
        <w:t xml:space="preserve">2d</w:t>
      </w:r>
      <w:r>
        <w:t xml:space="preserve"> </w:t>
      </w:r>
      <w:r>
        <w:t xml:space="preserve">999</w:t>
      </w:r>
      <w:r>
        <w:t xml:space="preserve">   </w:t>
      </w:r>
      <w:r>
        <w:tab/>
      </w:r>
      <w:r>
        <w:t xml:space="preserve">18</w:t>
      </w:r>
    </w:p>
    <w:p>
      <w:pPr>
        <w:keepLines/>
        <w:tabs>
          <w:tab w:val="right" w:leader="dot" w:pos="9360"/>
        </w:tabs>
        <w:spacing w:before="144" w:after="0" w:line="276" w:lineRule="exact"/>
        <w:ind w:left="576" w:right="1120" w:hanging="576"/>
      </w:pPr>
      <w:r>
        <w:rPr>
          <w:i/>
          <w:iCs/>
        </w:rPr>
        <w:t xml:space="preserve">Johno</w:t>
      </w:r>
      <w:r>
        <w:rPr>
          <w:i/>
          <w:iCs/>
        </w:rPr>
        <w:t xml:space="preserve"> </w:t>
      </w:r>
      <w:r>
        <w:rPr>
          <w:i/>
          <w:iCs/>
        </w:rPr>
        <w:t xml:space="preserve">v.</w:t>
      </w:r>
      <w:r>
        <w:rPr>
          <w:i/>
          <w:iCs/>
        </w:rPr>
        <w:t xml:space="preserve"> </w:t>
      </w:r>
      <w:r>
        <w:rPr>
          <w:i/>
          <w:iCs/>
        </w:rPr>
        <w:t xml:space="preserve">Doe</w:t>
      </w:r>
      <w:r>
        <w:t xml:space="preserve"> </w:t>
      </w:r>
      <w:r>
        <w:t xml:space="preserve">16</w:t>
        <w:noBreakHyphen/>
        <w:t xml:space="preserve">0087</w:t>
      </w:r>
      <w:r>
        <w:t xml:space="preserve"> </w:t>
      </w:r>
      <w:r>
        <w:t xml:space="preserve">(La.</w:t>
      </w:r>
      <w:r>
        <w:t xml:space="preserve"> </w:t>
      </w:r>
      <w:r>
        <w:t xml:space="preserve">12/6/16),</w:t>
      </w:r>
      <w:r>
        <w:t xml:space="preserve"> </w:t>
      </w:r>
      <w:r>
        <w:t xml:space="preserve">218</w:t>
      </w:r>
      <w:r>
        <w:t xml:space="preserve"> </w:t>
      </w:r>
      <w:r>
        <w:t xml:space="preserve">So.</w:t>
      </w:r>
      <w:r>
        <w:t xml:space="preserve"> </w:t>
      </w:r>
      <w:r>
        <w:t xml:space="preserve">3d</w:t>
      </w:r>
      <w:r>
        <w:t xml:space="preserve"> </w:t>
      </w:r>
      <w:r>
        <w:t xml:space="preserve">1004</w:t>
      </w:r>
      <w:r>
        <w:t xml:space="preserve">   </w:t>
      </w:r>
      <w:r>
        <w:tab/>
      </w:r>
      <w:r>
        <w:t xml:space="preserve">23</w:t>
      </w:r>
    </w:p>
    <w:p>
      <w:pPr>
        <w:keepLines/>
        <w:tabs>
          <w:tab w:val="right" w:leader="dot" w:pos="9360"/>
        </w:tabs>
        <w:spacing w:before="144" w:after="0" w:line="276" w:lineRule="exact"/>
        <w:ind w:left="576" w:right="1560" w:hanging="576"/>
      </w:pPr>
      <w:r>
        <w:rPr>
          <w:i/>
          <w:iCs/>
        </w:rPr>
        <w:t xml:space="preserve">Kimball</w:t>
      </w:r>
      <w:r>
        <w:rPr>
          <w:i/>
          <w:iCs/>
        </w:rPr>
        <w:t xml:space="preserve"> </w:t>
      </w:r>
      <w:r>
        <w:rPr>
          <w:i/>
          <w:iCs/>
        </w:rPr>
        <w:t xml:space="preserve">v.</w:t>
      </w:r>
      <w:r>
        <w:rPr>
          <w:i/>
          <w:iCs/>
        </w:rPr>
        <w:t xml:space="preserve"> </w:t>
      </w:r>
      <w:r>
        <w:rPr>
          <w:i/>
          <w:iCs/>
        </w:rPr>
        <w:t xml:space="preserve">Allstate</w:t>
      </w:r>
      <w:r>
        <w:rPr>
          <w:i/>
          <w:iCs/>
        </w:rPr>
        <w:t xml:space="preserve"> </w:t>
      </w:r>
      <w:r>
        <w:rPr>
          <w:i/>
          <w:iCs/>
        </w:rPr>
        <w:t xml:space="preserve">Ins.</w:t>
      </w:r>
      <w:r>
        <w:rPr>
          <w:i/>
          <w:iCs/>
        </w:rPr>
        <w:t xml:space="preserve"> </w:t>
      </w:r>
      <w:r>
        <w:rPr>
          <w:i/>
          <w:iCs/>
        </w:rPr>
        <w:t xml:space="preserve">Co.</w:t>
      </w:r>
      <w:r>
        <w:t xml:space="preserve"> </w:t>
      </w:r>
      <w:r>
        <w:t xml:space="preserve">97</w:t>
        <w:noBreakHyphen/>
        <w:t xml:space="preserve">2885,</w:t>
      </w:r>
      <w:r>
        <w:t xml:space="preserve"> </w:t>
      </w:r>
      <w:r>
        <w:t xml:space="preserve">97</w:t>
        <w:noBreakHyphen/>
        <w:t xml:space="preserve">2956</w:t>
      </w:r>
      <w:r>
        <w:t xml:space="preserve"> </w:t>
      </w:r>
      <w:r>
        <w:t xml:space="preserve">(La.</w:t>
      </w:r>
      <w:r>
        <w:t xml:space="preserve"> </w:t>
      </w:r>
      <w:r>
        <w:t xml:space="preserve">4/14/98),</w:t>
      </w:r>
      <w:r>
        <w:t xml:space="preserve"> </w:t>
      </w:r>
      <w:r>
        <w:t xml:space="preserve">712</w:t>
      </w:r>
      <w:r>
        <w:t xml:space="preserve"> </w:t>
      </w:r>
      <w:r>
        <w:t xml:space="preserve">So.</w:t>
      </w:r>
      <w:r>
        <w:t xml:space="preserve"> </w:t>
      </w:r>
      <w:r>
        <w:t xml:space="preserve">2d</w:t>
      </w:r>
      <w:r>
        <w:t xml:space="preserve"> </w:t>
      </w:r>
      <w:r>
        <w:t xml:space="preserve">46</w:t>
      </w:r>
      <w:r>
        <w:t xml:space="preserve">   </w:t>
      </w:r>
      <w:r>
        <w:tab/>
      </w:r>
      <w:r>
        <w:t xml:space="preserve">5, 14, 20, 21, 22</w:t>
      </w:r>
    </w:p>
    <w:p>
      <w:pPr>
        <w:keepLines/>
        <w:tabs>
          <w:tab w:val="right" w:leader="dot" w:pos="9360"/>
        </w:tabs>
        <w:spacing w:before="144" w:after="0" w:line="276" w:lineRule="exact"/>
        <w:ind w:left="576" w:right="1120" w:hanging="576"/>
      </w:pPr>
      <w:r>
        <w:rPr>
          <w:i/>
          <w:iCs/>
        </w:rPr>
        <w:t xml:space="preserve">La.</w:t>
      </w:r>
      <w:r>
        <w:rPr>
          <w:i/>
          <w:iCs/>
        </w:rPr>
        <w:t xml:space="preserve"> </w:t>
      </w:r>
      <w:r>
        <w:rPr>
          <w:i/>
          <w:iCs/>
        </w:rPr>
        <w:t xml:space="preserve">High</w:t>
      </w:r>
      <w:r>
        <w:rPr>
          <w:i/>
          <w:iCs/>
        </w:rPr>
        <w:t xml:space="preserve"> </w:t>
      </w:r>
      <w:r>
        <w:rPr>
          <w:i/>
          <w:iCs/>
        </w:rPr>
        <w:t xml:space="preserve">Sch.</w:t>
      </w:r>
      <w:r>
        <w:rPr>
          <w:i/>
          <w:iCs/>
        </w:rPr>
        <w:t xml:space="preserve"> </w:t>
      </w:r>
      <w:r>
        <w:rPr>
          <w:i/>
          <w:iCs/>
        </w:rPr>
        <w:t xml:space="preserve">Athletics</w:t>
      </w:r>
      <w:r>
        <w:rPr>
          <w:i/>
          <w:iCs/>
        </w:rPr>
        <w:t xml:space="preserve"> </w:t>
      </w:r>
      <w:r>
        <w:rPr>
          <w:i/>
          <w:iCs/>
        </w:rPr>
        <w:t xml:space="preserve">Ass’n,</w:t>
      </w:r>
      <w:r>
        <w:rPr>
          <w:i/>
          <w:iCs/>
        </w:rPr>
        <w:t xml:space="preserve"> </w:t>
      </w:r>
      <w:r>
        <w:rPr>
          <w:i/>
          <w:iCs/>
        </w:rPr>
        <w:t xml:space="preserve">Inc.</w:t>
      </w:r>
      <w:r>
        <w:rPr>
          <w:i/>
          <w:iCs/>
        </w:rPr>
        <w:t xml:space="preserve"> </w:t>
      </w:r>
      <w:r>
        <w:rPr>
          <w:i/>
          <w:iCs/>
        </w:rPr>
        <w:t xml:space="preserve">v.</w:t>
      </w:r>
      <w:r>
        <w:rPr>
          <w:i/>
          <w:iCs/>
        </w:rPr>
        <w:t xml:space="preserve"> </w:t>
      </w:r>
      <w:r>
        <w:rPr>
          <w:i/>
          <w:iCs/>
        </w:rPr>
        <w:t xml:space="preserve">State</w:t>
      </w:r>
      <w:r>
        <w:t xml:space="preserve"> </w:t>
      </w:r>
      <w:r>
        <w:t xml:space="preserve">12</w:t>
        <w:noBreakHyphen/>
        <w:t xml:space="preserve">1471</w:t>
      </w:r>
      <w:r>
        <w:t xml:space="preserve"> </w:t>
      </w:r>
      <w:r>
        <w:t xml:space="preserve">(La.</w:t>
      </w:r>
      <w:r>
        <w:t xml:space="preserve"> </w:t>
      </w:r>
      <w:r>
        <w:t xml:space="preserve">1/29/13),</w:t>
      </w:r>
      <w:r>
        <w:t xml:space="preserve"> </w:t>
      </w:r>
      <w:r>
        <w:t xml:space="preserve">107</w:t>
      </w:r>
      <w:r>
        <w:t xml:space="preserve"> </w:t>
      </w:r>
      <w:r>
        <w:t xml:space="preserve">So.</w:t>
      </w:r>
      <w:r>
        <w:t xml:space="preserve"> </w:t>
      </w:r>
      <w:r>
        <w:t xml:space="preserve">3d</w:t>
      </w:r>
      <w:r>
        <w:t xml:space="preserve"> </w:t>
      </w:r>
      <w:r>
        <w:t xml:space="preserve">583</w:t>
      </w:r>
      <w:r>
        <w:t xml:space="preserve">   </w:t>
      </w:r>
      <w:r>
        <w:tab/>
      </w:r>
      <w:r>
        <w:t xml:space="preserve">21, 22</w:t>
      </w:r>
    </w:p>
    <w:p>
      <w:pPr>
        <w:keepLines/>
        <w:tabs>
          <w:tab w:val="right" w:leader="dot" w:pos="9360"/>
        </w:tabs>
        <w:spacing w:before="144" w:after="0" w:line="276" w:lineRule="exact"/>
        <w:ind w:left="576" w:right="1440" w:hanging="576"/>
      </w:pPr>
      <w:r>
        <w:rPr>
          <w:i/>
          <w:iCs/>
        </w:rPr>
        <w:t xml:space="preserve">La.</w:t>
      </w:r>
      <w:r>
        <w:rPr>
          <w:i/>
          <w:iCs/>
        </w:rPr>
        <w:t xml:space="preserve"> </w:t>
      </w:r>
      <w:r>
        <w:rPr>
          <w:i/>
          <w:iCs/>
        </w:rPr>
        <w:t xml:space="preserve">Paddlewheels</w:t>
      </w:r>
      <w:r>
        <w:rPr>
          <w:i/>
          <w:iCs/>
        </w:rPr>
        <w:t xml:space="preserve"> </w:t>
      </w:r>
      <w:r>
        <w:rPr>
          <w:i/>
          <w:iCs/>
        </w:rPr>
        <w:t xml:space="preserve">v.</w:t>
      </w:r>
      <w:r>
        <w:rPr>
          <w:i/>
          <w:iCs/>
        </w:rPr>
        <w:t xml:space="preserve"> </w:t>
      </w:r>
      <w:r>
        <w:rPr>
          <w:i/>
          <w:iCs/>
        </w:rPr>
        <w:t xml:space="preserve">La.</w:t>
      </w:r>
      <w:r>
        <w:rPr>
          <w:i/>
          <w:iCs/>
        </w:rPr>
        <w:t xml:space="preserve"> </w:t>
      </w:r>
      <w:r>
        <w:rPr>
          <w:i/>
          <w:iCs/>
        </w:rPr>
        <w:t xml:space="preserve">Riverboat</w:t>
      </w:r>
      <w:r>
        <w:rPr>
          <w:i/>
          <w:iCs/>
        </w:rPr>
        <w:t xml:space="preserve"> </w:t>
      </w:r>
      <w:r>
        <w:rPr>
          <w:i/>
          <w:iCs/>
        </w:rPr>
        <w:t xml:space="preserve">Gaming</w:t>
      </w:r>
      <w:r>
        <w:rPr>
          <w:i/>
          <w:iCs/>
        </w:rPr>
        <w:t xml:space="preserve"> </w:t>
      </w:r>
      <w:r>
        <w:rPr>
          <w:i/>
          <w:iCs/>
        </w:rPr>
        <w:t xml:space="preserve">Comm’n</w:t>
      </w:r>
      <w:r>
        <w:t xml:space="preserve"> </w:t>
      </w:r>
      <w:r>
        <w:t xml:space="preserve">94</w:t>
        <w:noBreakHyphen/>
        <w:t xml:space="preserve">2015</w:t>
      </w:r>
      <w:r>
        <w:t xml:space="preserve"> </w:t>
      </w:r>
      <w:r>
        <w:t xml:space="preserve">(La.</w:t>
      </w:r>
      <w:r>
        <w:t xml:space="preserve"> </w:t>
      </w:r>
      <w:r>
        <w:t xml:space="preserve">11/30/94),</w:t>
      </w:r>
      <w:r>
        <w:t xml:space="preserve"> </w:t>
      </w:r>
      <w:r>
        <w:t xml:space="preserve">646</w:t>
      </w:r>
      <w:r>
        <w:t xml:space="preserve"> </w:t>
      </w:r>
      <w:r>
        <w:t xml:space="preserve">So.</w:t>
      </w:r>
      <w:r>
        <w:t xml:space="preserve"> </w:t>
      </w:r>
      <w:r>
        <w:t xml:space="preserve">2d</w:t>
      </w:r>
      <w:r>
        <w:t xml:space="preserve"> </w:t>
      </w:r>
      <w:r>
        <w:t xml:space="preserve">885</w:t>
      </w:r>
      <w:r>
        <w:t xml:space="preserve">   </w:t>
      </w:r>
      <w:r>
        <w:tab/>
      </w:r>
      <w:r>
        <w:t xml:space="preserve">7, 8, 16, 18, 26</w:t>
      </w:r>
    </w:p>
    <w:p>
      <w:pPr>
        <w:keepLines/>
        <w:tabs>
          <w:tab w:val="right" w:leader="dot" w:pos="9360"/>
        </w:tabs>
        <w:spacing w:before="144" w:after="0" w:line="276" w:lineRule="exact"/>
        <w:ind w:left="576" w:right="1120" w:hanging="576"/>
      </w:pPr>
      <w:r>
        <w:rPr>
          <w:i/>
          <w:iCs/>
        </w:rPr>
        <w:t xml:space="preserve">La.</w:t>
      </w:r>
      <w:r>
        <w:rPr>
          <w:i/>
          <w:iCs/>
        </w:rPr>
        <w:t xml:space="preserve"> </w:t>
      </w:r>
      <w:r>
        <w:rPr>
          <w:i/>
          <w:iCs/>
        </w:rPr>
        <w:t xml:space="preserve">Workers’</w:t>
      </w:r>
      <w:r>
        <w:rPr>
          <w:i/>
          <w:iCs/>
        </w:rPr>
        <w:t xml:space="preserve"> </w:t>
      </w:r>
      <w:r>
        <w:rPr>
          <w:i/>
          <w:iCs/>
        </w:rPr>
        <w:t xml:space="preserve">Comp.</w:t>
      </w:r>
      <w:r>
        <w:rPr>
          <w:i/>
          <w:iCs/>
        </w:rPr>
        <w:t xml:space="preserve"> </w:t>
      </w:r>
      <w:r>
        <w:rPr>
          <w:i/>
          <w:iCs/>
        </w:rPr>
        <w:t xml:space="preserve">Corp.</w:t>
      </w:r>
      <w:r>
        <w:rPr>
          <w:i/>
          <w:iCs/>
        </w:rPr>
        <w:t xml:space="preserve"> </w:t>
      </w:r>
      <w:r>
        <w:rPr>
          <w:i/>
          <w:iCs/>
        </w:rPr>
        <w:t xml:space="preserve">v.</w:t>
      </w:r>
      <w:r>
        <w:rPr>
          <w:i/>
          <w:iCs/>
        </w:rPr>
        <w:t xml:space="preserve"> </w:t>
      </w:r>
      <w:r>
        <w:rPr>
          <w:i/>
          <w:iCs/>
        </w:rPr>
        <w:t xml:space="preserve">La.</w:t>
      </w:r>
      <w:r>
        <w:rPr>
          <w:i/>
          <w:iCs/>
        </w:rPr>
        <w:t xml:space="preserve"> </w:t>
      </w:r>
      <w:r>
        <w:rPr>
          <w:i/>
          <w:iCs/>
        </w:rPr>
        <w:t xml:space="preserve">Ins.</w:t>
      </w:r>
      <w:r>
        <w:rPr>
          <w:i/>
          <w:iCs/>
        </w:rPr>
        <w:t xml:space="preserve"> </w:t>
      </w:r>
      <w:r>
        <w:rPr>
          <w:i/>
          <w:iCs/>
        </w:rPr>
        <w:t xml:space="preserve">Guar.</w:t>
      </w:r>
      <w:r>
        <w:rPr>
          <w:i/>
          <w:iCs/>
        </w:rPr>
        <w:t xml:space="preserve"> </w:t>
      </w:r>
      <w:r>
        <w:rPr>
          <w:i/>
          <w:iCs/>
        </w:rPr>
        <w:t xml:space="preserve">Ass’n</w:t>
      </w:r>
      <w:r>
        <w:t xml:space="preserve"> </w:t>
      </w:r>
      <w:r>
        <w:t xml:space="preserve">08</w:t>
        <w:noBreakHyphen/>
        <w:t xml:space="preserve">0885</w:t>
      </w:r>
      <w:r>
        <w:t xml:space="preserve"> </w:t>
      </w:r>
      <w:r>
        <w:t xml:space="preserve">(La.</w:t>
      </w:r>
      <w:r>
        <w:t xml:space="preserve"> </w:t>
      </w:r>
      <w:r>
        <w:t xml:space="preserve">App.</w:t>
      </w:r>
      <w:r>
        <w:t xml:space="preserve"> </w:t>
      </w:r>
      <w:r>
        <w:t xml:space="preserve">1st</w:t>
      </w:r>
      <w:r>
        <w:t xml:space="preserve"> </w:t>
      </w:r>
      <w:r>
        <w:t xml:space="preserve">Cir.</w:t>
      </w:r>
      <w:r>
        <w:t xml:space="preserve"> </w:t>
      </w:r>
      <w:r>
        <w:t xml:space="preserve">5/13/09),</w:t>
      </w:r>
      <w:r>
        <w:t xml:space="preserve"> </w:t>
      </w:r>
      <w:r>
        <w:t xml:space="preserve">20</w:t>
      </w:r>
      <w:r>
        <w:t xml:space="preserve"> </w:t>
      </w:r>
      <w:r>
        <w:t xml:space="preserve">So.</w:t>
      </w:r>
      <w:r>
        <w:t xml:space="preserve"> </w:t>
      </w:r>
      <w:r>
        <w:t xml:space="preserve">3d</w:t>
      </w:r>
      <w:r>
        <w:t xml:space="preserve"> </w:t>
      </w:r>
      <w:r>
        <w:t xml:space="preserve">1047</w:t>
      </w:r>
      <w:r>
        <w:t xml:space="preserve">   </w:t>
      </w:r>
      <w:r>
        <w:tab/>
      </w:r>
      <w:r>
        <w:t xml:space="preserve">18</w:t>
      </w:r>
    </w:p>
    <w:p>
      <w:pPr>
        <w:keepLines/>
        <w:tabs>
          <w:tab w:val="right" w:leader="dot" w:pos="9360"/>
        </w:tabs>
        <w:spacing w:before="144" w:after="0" w:line="276" w:lineRule="exact"/>
        <w:ind w:left="576" w:right="1120" w:hanging="576"/>
      </w:pPr>
      <w:r>
        <w:rPr>
          <w:i/>
          <w:iCs/>
        </w:rPr>
        <w:t xml:space="preserve">Landry</w:t>
      </w:r>
      <w:r>
        <w:rPr>
          <w:i/>
          <w:iCs/>
        </w:rPr>
        <w:t xml:space="preserve"> </w:t>
      </w:r>
      <w:r>
        <w:rPr>
          <w:i/>
          <w:iCs/>
        </w:rPr>
        <w:t xml:space="preserve">v.</w:t>
      </w:r>
      <w:r>
        <w:rPr>
          <w:i/>
          <w:iCs/>
        </w:rPr>
        <w:t xml:space="preserve"> </w:t>
      </w:r>
      <w:r>
        <w:rPr>
          <w:i/>
          <w:iCs/>
        </w:rPr>
        <w:t xml:space="preserve">La.</w:t>
      </w:r>
      <w:r>
        <w:rPr>
          <w:i/>
          <w:iCs/>
        </w:rPr>
        <w:t xml:space="preserve"> </w:t>
      </w:r>
      <w:r>
        <w:rPr>
          <w:i/>
          <w:iCs/>
        </w:rPr>
        <w:t xml:space="preserve">Citizens</w:t>
      </w:r>
      <w:r>
        <w:rPr>
          <w:i/>
          <w:iCs/>
        </w:rPr>
        <w:t xml:space="preserve"> </w:t>
      </w:r>
      <w:r>
        <w:rPr>
          <w:i/>
          <w:iCs/>
        </w:rPr>
        <w:t xml:space="preserve">Prop.</w:t>
      </w:r>
      <w:r>
        <w:rPr>
          <w:i/>
          <w:iCs/>
        </w:rPr>
        <w:t xml:space="preserve"> </w:t>
      </w:r>
      <w:r>
        <w:rPr>
          <w:i/>
          <w:iCs/>
        </w:rPr>
        <w:t xml:space="preserve">Ins.</w:t>
      </w:r>
      <w:r>
        <w:rPr>
          <w:i/>
          <w:iCs/>
        </w:rPr>
        <w:t xml:space="preserve"> </w:t>
      </w:r>
      <w:r>
        <w:rPr>
          <w:i/>
          <w:iCs/>
        </w:rPr>
        <w:t xml:space="preserve">Co.</w:t>
      </w:r>
      <w:r>
        <w:t xml:space="preserve"> </w:t>
      </w:r>
      <w:r>
        <w:t xml:space="preserve">07</w:t>
        <w:noBreakHyphen/>
        <w:t xml:space="preserve">1907,</w:t>
      </w:r>
      <w:r>
        <w:t xml:space="preserve"> </w:t>
      </w:r>
      <w:r>
        <w:t xml:space="preserve">2007</w:t>
        <w:noBreakHyphen/>
        <w:t xml:space="preserve">1908</w:t>
      </w:r>
      <w:r>
        <w:t xml:space="preserve"> </w:t>
      </w:r>
      <w:r>
        <w:t xml:space="preserve">(La.</w:t>
      </w:r>
      <w:r>
        <w:t xml:space="preserve"> </w:t>
      </w:r>
      <w:r>
        <w:t xml:space="preserve">5/21/08),</w:t>
      </w:r>
      <w:r>
        <w:t xml:space="preserve"> </w:t>
      </w:r>
      <w:r>
        <w:t xml:space="preserve">983</w:t>
      </w:r>
      <w:r>
        <w:t xml:space="preserve"> </w:t>
      </w:r>
      <w:r>
        <w:t xml:space="preserve">So.</w:t>
      </w:r>
      <w:r>
        <w:t xml:space="preserve"> </w:t>
      </w:r>
      <w:r>
        <w:t xml:space="preserve">2d</w:t>
      </w:r>
      <w:r>
        <w:t xml:space="preserve"> </w:t>
      </w:r>
      <w:r>
        <w:t xml:space="preserve">66</w:t>
      </w:r>
      <w:r>
        <w:t xml:space="preserve">   </w:t>
      </w:r>
      <w:r>
        <w:tab/>
      </w:r>
      <w:r>
        <w:t xml:space="preserve">18</w:t>
      </w:r>
    </w:p>
    <w:p>
      <w:pPr>
        <w:keepLines/>
        <w:tabs>
          <w:tab w:val="right" w:leader="dot" w:pos="9360"/>
        </w:tabs>
        <w:spacing w:before="144" w:after="0" w:line="276" w:lineRule="exact"/>
        <w:ind w:left="576" w:right="1120" w:hanging="576"/>
      </w:pPr>
      <w:r>
        <w:rPr>
          <w:i/>
          <w:iCs/>
        </w:rPr>
        <w:t xml:space="preserve">Michel</w:t>
      </w:r>
      <w:r>
        <w:rPr>
          <w:i/>
          <w:iCs/>
        </w:rPr>
        <w:t xml:space="preserve"> </w:t>
      </w:r>
      <w:r>
        <w:rPr>
          <w:i/>
          <w:iCs/>
        </w:rPr>
        <w:t xml:space="preserve">v.</w:t>
      </w:r>
      <w:r>
        <w:rPr>
          <w:i/>
          <w:iCs/>
        </w:rPr>
        <w:t xml:space="preserve"> </w:t>
      </w:r>
      <w:r>
        <w:rPr>
          <w:i/>
          <w:iCs/>
        </w:rPr>
        <w:t xml:space="preserve">State,</w:t>
      </w:r>
      <w:r>
        <w:rPr>
          <w:i/>
          <w:iCs/>
        </w:rPr>
        <w:t xml:space="preserve"> </w:t>
      </w:r>
      <w:r>
        <w:rPr>
          <w:i/>
          <w:iCs/>
        </w:rPr>
        <w:t xml:space="preserve">Div.</w:t>
      </w:r>
      <w:r>
        <w:rPr>
          <w:i/>
          <w:iCs/>
        </w:rPr>
        <w:t xml:space="preserve"> </w:t>
      </w:r>
      <w:r>
        <w:rPr>
          <w:i/>
          <w:iCs/>
        </w:rPr>
        <w:t xml:space="preserve">of</w:t>
      </w:r>
      <w:r>
        <w:rPr>
          <w:i/>
          <w:iCs/>
        </w:rPr>
        <w:t xml:space="preserve"> </w:t>
      </w:r>
      <w:r>
        <w:rPr>
          <w:i/>
          <w:iCs/>
        </w:rPr>
        <w:t xml:space="preserve">Admin.</w:t>
      </w:r>
      <w:r>
        <w:rPr>
          <w:i/>
          <w:iCs/>
        </w:rPr>
        <w:t xml:space="preserve"> </w:t>
      </w:r>
      <w:r>
        <w:rPr>
          <w:i/>
          <w:iCs/>
        </w:rPr>
        <w:t xml:space="preserve">Law</w:t>
      </w:r>
      <w:r>
        <w:t xml:space="preserve"> </w:t>
      </w:r>
      <w:r>
        <w:t xml:space="preserve">13</w:t>
        <w:noBreakHyphen/>
        <w:t xml:space="preserve">1419</w:t>
      </w:r>
      <w:r>
        <w:t xml:space="preserve"> </w:t>
      </w:r>
      <w:r>
        <w:t xml:space="preserve">(La.</w:t>
      </w:r>
      <w:r>
        <w:t xml:space="preserve"> </w:t>
      </w:r>
      <w:r>
        <w:t xml:space="preserve">App.</w:t>
      </w:r>
      <w:r>
        <w:t xml:space="preserve"> </w:t>
      </w:r>
      <w:r>
        <w:t xml:space="preserve">1st</w:t>
      </w:r>
      <w:r>
        <w:t xml:space="preserve"> </w:t>
      </w:r>
      <w:r>
        <w:t xml:space="preserve">Cir.</w:t>
      </w:r>
      <w:r>
        <w:t xml:space="preserve"> </w:t>
      </w:r>
      <w:r>
        <w:t xml:space="preserve">11/03/14),</w:t>
      </w:r>
      <w:r>
        <w:t xml:space="preserve"> </w:t>
      </w:r>
      <w:r>
        <w:t xml:space="preserve">167</w:t>
      </w:r>
      <w:r>
        <w:t xml:space="preserve"> </w:t>
      </w:r>
      <w:r>
        <w:t xml:space="preserve">So.</w:t>
      </w:r>
      <w:r>
        <w:t xml:space="preserve"> </w:t>
      </w:r>
      <w:r>
        <w:t xml:space="preserve">3d</w:t>
      </w:r>
      <w:r>
        <w:t xml:space="preserve"> </w:t>
      </w:r>
      <w:r>
        <w:t xml:space="preserve">654</w:t>
      </w:r>
      <w:r>
        <w:t xml:space="preserve">   </w:t>
      </w:r>
      <w:r>
        <w:tab/>
      </w:r>
      <w:r>
        <w:t xml:space="preserve">24</w:t>
      </w:r>
    </w:p>
    <w:p>
      <w:pPr>
        <w:keepLines/>
        <w:tabs>
          <w:tab w:val="right" w:leader="dot" w:pos="9360"/>
        </w:tabs>
        <w:spacing w:before="144" w:after="0" w:line="276" w:lineRule="exact"/>
        <w:ind w:left="576" w:right="1120" w:hanging="576"/>
      </w:pPr>
      <w:r>
        <w:rPr>
          <w:i/>
          <w:iCs/>
        </w:rPr>
        <w:t xml:space="preserve">Morrell</w:t>
      </w:r>
      <w:r>
        <w:rPr>
          <w:i/>
          <w:iCs/>
        </w:rPr>
        <w:t xml:space="preserve"> </w:t>
      </w:r>
      <w:r>
        <w:rPr>
          <w:i/>
          <w:iCs/>
        </w:rPr>
        <w:t xml:space="preserve">v.</w:t>
      </w:r>
      <w:r>
        <w:rPr>
          <w:i/>
          <w:iCs/>
        </w:rPr>
        <w:t xml:space="preserve"> </w:t>
      </w:r>
      <w:r>
        <w:rPr>
          <w:i/>
          <w:iCs/>
        </w:rPr>
        <w:t xml:space="preserve">Harris</w:t>
      </w:r>
      <w:r>
        <w:t xml:space="preserve"> </w:t>
      </w:r>
      <w:r>
        <w:t xml:space="preserve">505</w:t>
      </w:r>
      <w:r>
        <w:t xml:space="preserve"> </w:t>
      </w:r>
      <w:r>
        <w:t xml:space="preserve">F.</w:t>
      </w:r>
      <w:r>
        <w:t xml:space="preserve"> </w:t>
      </w:r>
      <w:r>
        <w:t xml:space="preserve">Supp.</w:t>
      </w:r>
      <w:r>
        <w:t xml:space="preserve"> </w:t>
      </w:r>
      <w:r>
        <w:t xml:space="preserve">1063</w:t>
      </w:r>
      <w:r>
        <w:t xml:space="preserve"> </w:t>
      </w:r>
      <w:r>
        <w:t xml:space="preserve">(E.D.</w:t>
      </w:r>
      <w:r>
        <w:t xml:space="preserve"> </w:t>
      </w:r>
      <w:r>
        <w:t xml:space="preserve">Pa.</w:t>
      </w:r>
      <w:r>
        <w:t xml:space="preserve"> </w:t>
      </w:r>
      <w:r>
        <w:t xml:space="preserve">1981)</w:t>
      </w:r>
      <w:r>
        <w:t xml:space="preserve">   </w:t>
      </w:r>
      <w:r>
        <w:tab/>
      </w:r>
      <w:r>
        <w:t xml:space="preserve">18</w:t>
      </w:r>
    </w:p>
    <w:p>
      <w:pPr>
        <w:keepLines/>
        <w:tabs>
          <w:tab w:val="right" w:leader="dot" w:pos="9360"/>
        </w:tabs>
        <w:spacing w:before="144" w:after="0" w:line="276" w:lineRule="exact"/>
        <w:ind w:left="576" w:right="1200" w:hanging="576"/>
      </w:pPr>
      <w:r>
        <w:rPr>
          <w:i/>
          <w:iCs/>
        </w:rPr>
        <w:t xml:space="preserve">Occidental</w:t>
      </w:r>
      <w:r>
        <w:rPr>
          <w:i/>
          <w:iCs/>
        </w:rPr>
        <w:t xml:space="preserve"> </w:t>
      </w:r>
      <w:r>
        <w:rPr>
          <w:i/>
          <w:iCs/>
        </w:rPr>
        <w:t xml:space="preserve">Chem.</w:t>
      </w:r>
      <w:r>
        <w:rPr>
          <w:i/>
          <w:iCs/>
        </w:rPr>
        <w:t xml:space="preserve"> </w:t>
      </w:r>
      <w:r>
        <w:rPr>
          <w:i/>
          <w:iCs/>
        </w:rPr>
        <w:t xml:space="preserve">Corp.</w:t>
      </w:r>
      <w:r>
        <w:rPr>
          <w:i/>
          <w:iCs/>
        </w:rPr>
        <w:t xml:space="preserve"> </w:t>
      </w:r>
      <w:r>
        <w:rPr>
          <w:i/>
          <w:iCs/>
        </w:rPr>
        <w:t xml:space="preserve">v.</w:t>
      </w:r>
      <w:r>
        <w:rPr>
          <w:i/>
          <w:iCs/>
        </w:rPr>
        <w:t xml:space="preserve"> </w:t>
      </w:r>
      <w:r>
        <w:rPr>
          <w:i/>
          <w:iCs/>
        </w:rPr>
        <w:t xml:space="preserve">Louisiana</w:t>
      </w:r>
      <w:r>
        <w:rPr>
          <w:i/>
          <w:iCs/>
        </w:rPr>
        <w:t xml:space="preserve"> </w:t>
      </w:r>
      <w:r>
        <w:rPr>
          <w:i/>
          <w:iCs/>
        </w:rPr>
        <w:t xml:space="preserve">Pub.</w:t>
      </w:r>
      <w:r>
        <w:rPr>
          <w:i/>
          <w:iCs/>
        </w:rPr>
        <w:t xml:space="preserve"> </w:t>
      </w:r>
      <w:r>
        <w:rPr>
          <w:i/>
          <w:iCs/>
        </w:rPr>
        <w:t xml:space="preserve">Serv.</w:t>
      </w:r>
      <w:r>
        <w:rPr>
          <w:i/>
          <w:iCs/>
        </w:rPr>
        <w:t xml:space="preserve"> </w:t>
      </w:r>
      <w:r>
        <w:rPr>
          <w:i/>
          <w:iCs/>
        </w:rPr>
        <w:t xml:space="preserve">Comm’n</w:t>
      </w:r>
      <w:r>
        <w:t xml:space="preserve"> </w:t>
      </w:r>
      <w:r>
        <w:t xml:space="preserve">810</w:t>
      </w:r>
      <w:r>
        <w:t xml:space="preserve"> </w:t>
      </w:r>
      <w:r>
        <w:t xml:space="preserve">F.3d</w:t>
      </w:r>
      <w:r>
        <w:t xml:space="preserve"> </w:t>
      </w:r>
      <w:r>
        <w:t xml:space="preserve">299</w:t>
      </w:r>
      <w:r>
        <w:t xml:space="preserve"> </w:t>
      </w:r>
      <w:r>
        <w:t xml:space="preserve">(5th</w:t>
      </w:r>
      <w:r>
        <w:t xml:space="preserve"> </w:t>
      </w:r>
      <w:r>
        <w:t xml:space="preserve">Cir.</w:t>
      </w:r>
      <w:r>
        <w:t xml:space="preserve"> </w:t>
      </w:r>
      <w:r>
        <w:t xml:space="preserve">2016)</w:t>
      </w:r>
      <w:r>
        <w:t xml:space="preserve">   </w:t>
      </w:r>
      <w:r>
        <w:tab/>
      </w:r>
      <w:r>
        <w:t xml:space="preserve">4, 18, 19, 20</w:t>
      </w:r>
    </w:p>
    <w:p>
      <w:pPr>
        <w:keepLines/>
        <w:tabs>
          <w:tab w:val="right" w:leader="dot" w:pos="9360"/>
        </w:tabs>
        <w:spacing w:before="144" w:after="0" w:line="276" w:lineRule="exact"/>
        <w:ind w:left="576" w:right="1120" w:hanging="576"/>
      </w:pPr>
      <w:r>
        <w:rPr>
          <w:i/>
          <w:iCs/>
        </w:rPr>
        <w:t xml:space="preserve">Sierra</w:t>
      </w:r>
      <w:r>
        <w:rPr>
          <w:i/>
          <w:iCs/>
        </w:rPr>
        <w:t xml:space="preserve"> </w:t>
      </w:r>
      <w:r>
        <w:rPr>
          <w:i/>
          <w:iCs/>
        </w:rPr>
        <w:t xml:space="preserve">v.</w:t>
      </w:r>
      <w:r>
        <w:rPr>
          <w:i/>
          <w:iCs/>
        </w:rPr>
        <w:t xml:space="preserve"> </w:t>
      </w:r>
      <w:r>
        <w:rPr>
          <w:i/>
          <w:iCs/>
        </w:rPr>
        <w:t xml:space="preserve">City</w:t>
      </w:r>
      <w:r>
        <w:rPr>
          <w:i/>
          <w:iCs/>
        </w:rPr>
        <w:t xml:space="preserve"> </w:t>
      </w:r>
      <w:r>
        <w:rPr>
          <w:i/>
          <w:iCs/>
        </w:rPr>
        <w:t xml:space="preserve">of</w:t>
      </w:r>
      <w:r>
        <w:rPr>
          <w:i/>
          <w:iCs/>
        </w:rPr>
        <w:t xml:space="preserve"> </w:t>
      </w:r>
      <w:r>
        <w:rPr>
          <w:i/>
          <w:iCs/>
        </w:rPr>
        <w:t xml:space="preserve">Hallandale</w:t>
      </w:r>
      <w:r>
        <w:rPr>
          <w:i/>
          <w:iCs/>
        </w:rPr>
        <w:t xml:space="preserve"> </w:t>
      </w:r>
      <w:r>
        <w:rPr>
          <w:i/>
          <w:iCs/>
        </w:rPr>
        <w:t xml:space="preserve">Beach,</w:t>
      </w:r>
      <w:r>
        <w:rPr>
          <w:i/>
          <w:iCs/>
        </w:rPr>
        <w:t xml:space="preserve"> </w:t>
      </w:r>
      <w:r>
        <w:rPr>
          <w:i/>
          <w:iCs/>
        </w:rPr>
        <w:t xml:space="preserve">Fla.</w:t>
      </w:r>
      <w:r>
        <w:t xml:space="preserve"> </w:t>
      </w:r>
      <w:r>
        <w:t xml:space="preserve">904</w:t>
      </w:r>
      <w:r>
        <w:t xml:space="preserve"> </w:t>
      </w:r>
      <w:r>
        <w:t xml:space="preserve">F.3d</w:t>
      </w:r>
      <w:r>
        <w:t xml:space="preserve"> </w:t>
      </w:r>
      <w:r>
        <w:t xml:space="preserve">1343</w:t>
      </w:r>
      <w:r>
        <w:t xml:space="preserve"> </w:t>
      </w:r>
      <w:r>
        <w:t xml:space="preserve">(11th</w:t>
      </w:r>
      <w:r>
        <w:t xml:space="preserve"> </w:t>
      </w:r>
      <w:r>
        <w:t xml:space="preserve">Cir.</w:t>
      </w:r>
      <w:r>
        <w:t xml:space="preserve"> </w:t>
      </w:r>
      <w:r>
        <w:t xml:space="preserve">2018)</w:t>
      </w:r>
      <w:r>
        <w:t xml:space="preserve">   </w:t>
      </w:r>
      <w:r>
        <w:tab/>
      </w:r>
      <w:r>
        <w:t xml:space="preserve">19</w:t>
      </w:r>
    </w:p>
    <w:p>
      <w:pPr>
        <w:keepLines/>
        <w:tabs>
          <w:tab w:val="right" w:leader="dot" w:pos="9360"/>
        </w:tabs>
        <w:spacing w:before="144" w:after="0" w:line="276" w:lineRule="exact"/>
        <w:ind w:left="576" w:right="1120" w:hanging="576"/>
      </w:pPr>
      <w:r>
        <w:rPr>
          <w:i/>
          <w:iCs/>
        </w:rPr>
        <w:t xml:space="preserve">St.</w:t>
      </w:r>
      <w:r>
        <w:rPr>
          <w:i/>
          <w:iCs/>
        </w:rPr>
        <w:t xml:space="preserve"> </w:t>
      </w:r>
      <w:r>
        <w:rPr>
          <w:i/>
          <w:iCs/>
        </w:rPr>
        <w:t xml:space="preserve">Charles</w:t>
      </w:r>
      <w:r>
        <w:rPr>
          <w:i/>
          <w:iCs/>
        </w:rPr>
        <w:t xml:space="preserve"> </w:t>
      </w:r>
      <w:r>
        <w:rPr>
          <w:i/>
          <w:iCs/>
        </w:rPr>
        <w:t xml:space="preserve">Par.</w:t>
      </w:r>
      <w:r>
        <w:rPr>
          <w:i/>
          <w:iCs/>
        </w:rPr>
        <w:t xml:space="preserve"> </w:t>
      </w:r>
      <w:r>
        <w:rPr>
          <w:i/>
          <w:iCs/>
        </w:rPr>
        <w:t xml:space="preserve">Sch.</w:t>
      </w:r>
      <w:r>
        <w:rPr>
          <w:i/>
          <w:iCs/>
        </w:rPr>
        <w:t xml:space="preserve"> </w:t>
      </w:r>
      <w:r>
        <w:rPr>
          <w:i/>
          <w:iCs/>
        </w:rPr>
        <w:t xml:space="preserve">Bd.</w:t>
      </w:r>
      <w:r>
        <w:rPr>
          <w:i/>
          <w:iCs/>
        </w:rPr>
        <w:t xml:space="preserve"> </w:t>
      </w:r>
      <w:r>
        <w:rPr>
          <w:i/>
          <w:iCs/>
        </w:rPr>
        <w:t xml:space="preserve">v.</w:t>
      </w:r>
      <w:r>
        <w:rPr>
          <w:i/>
          <w:iCs/>
        </w:rPr>
        <w:t xml:space="preserve"> </w:t>
      </w:r>
      <w:r>
        <w:rPr>
          <w:i/>
          <w:iCs/>
        </w:rPr>
        <w:t xml:space="preserve">GAF</w:t>
      </w:r>
      <w:r>
        <w:rPr>
          <w:i/>
          <w:iCs/>
        </w:rPr>
        <w:t xml:space="preserve"> </w:t>
      </w:r>
      <w:r>
        <w:rPr>
          <w:i/>
          <w:iCs/>
        </w:rPr>
        <w:t xml:space="preserve">Corp.</w:t>
      </w:r>
      <w:r>
        <w:t xml:space="preserve"> </w:t>
      </w:r>
      <w:r>
        <w:t xml:space="preserve">85</w:t>
        <w:noBreakHyphen/>
        <w:t xml:space="preserve">2334</w:t>
      </w:r>
      <w:r>
        <w:t xml:space="preserve"> </w:t>
      </w:r>
      <w:r>
        <w:t xml:space="preserve">(La.</w:t>
      </w:r>
      <w:r>
        <w:t xml:space="preserve"> </w:t>
      </w:r>
      <w:r>
        <w:t xml:space="preserve">08/07/87),</w:t>
      </w:r>
      <w:r>
        <w:t xml:space="preserve"> </w:t>
      </w:r>
      <w:r>
        <w:t xml:space="preserve">512</w:t>
      </w:r>
      <w:r>
        <w:t xml:space="preserve"> </w:t>
      </w:r>
      <w:r>
        <w:t xml:space="preserve">So.</w:t>
      </w:r>
      <w:r>
        <w:t xml:space="preserve"> </w:t>
      </w:r>
      <w:r>
        <w:t xml:space="preserve">2d</w:t>
      </w:r>
      <w:r>
        <w:t xml:space="preserve"> </w:t>
      </w:r>
      <w:r>
        <w:t xml:space="preserve">1165</w:t>
      </w:r>
      <w:r>
        <w:t xml:space="preserve">   </w:t>
      </w:r>
      <w:r>
        <w:tab/>
      </w:r>
      <w:r>
        <w:t xml:space="preserve">25</w:t>
      </w:r>
    </w:p>
    <w:p>
      <w:pPr>
        <w:keepLines/>
        <w:tabs>
          <w:tab w:val="right" w:leader="dot" w:pos="9360"/>
        </w:tabs>
        <w:spacing w:before="144" w:after="0" w:line="276" w:lineRule="exact"/>
        <w:ind w:left="576" w:right="1120" w:hanging="576"/>
      </w:pPr>
      <w:r>
        <w:rPr>
          <w:i/>
          <w:iCs/>
        </w:rPr>
        <w:t xml:space="preserve">State</w:t>
      </w:r>
      <w:r>
        <w:rPr>
          <w:i/>
          <w:iCs/>
        </w:rPr>
        <w:t xml:space="preserve"> </w:t>
      </w:r>
      <w:r>
        <w:rPr>
          <w:i/>
          <w:iCs/>
        </w:rPr>
        <w:t xml:space="preserve">ex</w:t>
      </w:r>
      <w:r>
        <w:rPr>
          <w:i/>
          <w:iCs/>
        </w:rPr>
        <w:t xml:space="preserve"> </w:t>
      </w:r>
      <w:r>
        <w:rPr>
          <w:i/>
          <w:iCs/>
        </w:rPr>
        <w:t xml:space="preserve">rel.</w:t>
      </w:r>
      <w:r>
        <w:rPr>
          <w:i/>
          <w:iCs/>
        </w:rPr>
        <w:t xml:space="preserve"> </w:t>
      </w:r>
      <w:r>
        <w:rPr>
          <w:i/>
          <w:iCs/>
        </w:rPr>
        <w:t xml:space="preserve">Ward</w:t>
      </w:r>
      <w:r>
        <w:rPr>
          <w:i/>
          <w:iCs/>
        </w:rPr>
        <w:t xml:space="preserve"> </w:t>
      </w:r>
      <w:r>
        <w:rPr>
          <w:i/>
          <w:iCs/>
        </w:rPr>
        <w:t xml:space="preserve">v.</w:t>
      </w:r>
      <w:r>
        <w:rPr>
          <w:i/>
          <w:iCs/>
        </w:rPr>
        <w:t xml:space="preserve"> </w:t>
      </w:r>
      <w:r>
        <w:rPr>
          <w:i/>
          <w:iCs/>
        </w:rPr>
        <w:t xml:space="preserve">Bd.</w:t>
      </w:r>
      <w:r>
        <w:rPr>
          <w:i/>
          <w:iCs/>
        </w:rPr>
        <w:t xml:space="preserve"> </w:t>
      </w:r>
      <w:r>
        <w:rPr>
          <w:i/>
          <w:iCs/>
        </w:rPr>
        <w:t xml:space="preserve">of</w:t>
      </w:r>
      <w:r>
        <w:rPr>
          <w:i/>
          <w:iCs/>
        </w:rPr>
        <w:t xml:space="preserve"> </w:t>
      </w:r>
      <w:r>
        <w:rPr>
          <w:i/>
          <w:iCs/>
        </w:rPr>
        <w:t xml:space="preserve">Sup’rs</w:t>
      </w:r>
      <w:r>
        <w:rPr>
          <w:i/>
          <w:iCs/>
        </w:rPr>
        <w:t xml:space="preserve"> </w:t>
      </w:r>
      <w:r>
        <w:rPr>
          <w:i/>
          <w:iCs/>
        </w:rPr>
        <w:t xml:space="preserve">of</w:t>
      </w:r>
      <w:r>
        <w:rPr>
          <w:i/>
          <w:iCs/>
        </w:rPr>
        <w:t xml:space="preserve"> </w:t>
      </w:r>
      <w:r>
        <w:rPr>
          <w:i/>
          <w:iCs/>
        </w:rPr>
        <w:t xml:space="preserve">Elections,</w:t>
      </w:r>
      <w:r>
        <w:rPr>
          <w:i/>
          <w:iCs/>
        </w:rPr>
        <w:t xml:space="preserve"> </w:t>
      </w:r>
      <w:r>
        <w:rPr>
          <w:i/>
          <w:iCs/>
        </w:rPr>
        <w:t xml:space="preserve">Par.</w:t>
      </w:r>
      <w:r>
        <w:rPr>
          <w:i/>
          <w:iCs/>
        </w:rPr>
        <w:t xml:space="preserve"> </w:t>
      </w:r>
      <w:r>
        <w:rPr>
          <w:i/>
          <w:iCs/>
        </w:rPr>
        <w:t xml:space="preserve">of</w:t>
      </w:r>
      <w:r>
        <w:rPr>
          <w:i/>
          <w:iCs/>
        </w:rPr>
        <w:t xml:space="preserve"> </w:t>
      </w:r>
      <w:r>
        <w:rPr>
          <w:i/>
          <w:iCs/>
        </w:rPr>
        <w:t xml:space="preserve">Rapides</w:t>
      </w:r>
      <w:r>
        <w:t xml:space="preserve"> </w:t>
      </w:r>
      <w:r>
        <w:t xml:space="preserve">34314</w:t>
      </w:r>
      <w:r>
        <w:t xml:space="preserve"> </w:t>
      </w:r>
      <w:r>
        <w:t xml:space="preserve">(La.</w:t>
      </w:r>
      <w:r>
        <w:t xml:space="preserve"> </w:t>
      </w:r>
      <w:r>
        <w:t xml:space="preserve">3/22/37),</w:t>
      </w:r>
      <w:r>
        <w:t xml:space="preserve"> </w:t>
      </w:r>
      <w:r>
        <w:t xml:space="preserve">173</w:t>
      </w:r>
      <w:r>
        <w:t xml:space="preserve"> </w:t>
      </w:r>
      <w:r>
        <w:t xml:space="preserve">So.</w:t>
      </w:r>
      <w:r>
        <w:t xml:space="preserve"> </w:t>
      </w:r>
      <w:r>
        <w:t xml:space="preserve">726</w:t>
      </w:r>
      <w:r>
        <w:t xml:space="preserve">   </w:t>
      </w:r>
      <w:r>
        <w:tab/>
      </w:r>
      <w:r>
        <w:t xml:space="preserve">17</w:t>
      </w:r>
    </w:p>
    <w:p>
      <w:pPr>
        <w:keepLines/>
        <w:tabs>
          <w:tab w:val="right" w:leader="dot" w:pos="9360"/>
        </w:tabs>
        <w:spacing w:before="144" w:after="0" w:line="276" w:lineRule="exact"/>
        <w:ind w:left="576" w:right="1120" w:hanging="576"/>
      </w:pPr>
      <w:r>
        <w:rPr>
          <w:i/>
          <w:iCs/>
        </w:rPr>
        <w:t xml:space="preserve">State</w:t>
      </w:r>
      <w:r>
        <w:rPr>
          <w:i/>
          <w:iCs/>
        </w:rPr>
        <w:t xml:space="preserve"> </w:t>
      </w:r>
      <w:r>
        <w:rPr>
          <w:i/>
          <w:iCs/>
        </w:rPr>
        <w:t xml:space="preserve">Through</w:t>
      </w:r>
      <w:r>
        <w:rPr>
          <w:i/>
          <w:iCs/>
        </w:rPr>
        <w:t xml:space="preserve"> </w:t>
      </w:r>
      <w:r>
        <w:rPr>
          <w:i/>
          <w:iCs/>
        </w:rPr>
        <w:t xml:space="preserve">Dep’t</w:t>
      </w:r>
      <w:r>
        <w:rPr>
          <w:i/>
          <w:iCs/>
        </w:rPr>
        <w:t xml:space="preserve"> </w:t>
      </w:r>
      <w:r>
        <w:rPr>
          <w:i/>
          <w:iCs/>
        </w:rPr>
        <w:t xml:space="preserve">of</w:t>
      </w:r>
      <w:r>
        <w:rPr>
          <w:i/>
          <w:iCs/>
        </w:rPr>
        <w:t xml:space="preserve"> </w:t>
      </w:r>
      <w:r>
        <w:rPr>
          <w:i/>
          <w:iCs/>
        </w:rPr>
        <w:t xml:space="preserve">Highways</w:t>
      </w:r>
      <w:r>
        <w:rPr>
          <w:i/>
          <w:iCs/>
        </w:rPr>
        <w:t xml:space="preserve"> </w:t>
      </w:r>
      <w:r>
        <w:rPr>
          <w:i/>
          <w:iCs/>
        </w:rPr>
        <w:t xml:space="preserve">v.</w:t>
      </w:r>
      <w:r>
        <w:rPr>
          <w:i/>
          <w:iCs/>
        </w:rPr>
        <w:t xml:space="preserve"> </w:t>
      </w:r>
      <w:r>
        <w:rPr>
          <w:i/>
          <w:iCs/>
        </w:rPr>
        <w:t xml:space="preserve">Terral</w:t>
      </w:r>
      <w:r>
        <w:t xml:space="preserve"> </w:t>
      </w:r>
      <w:r>
        <w:t xml:space="preserve">206</w:t>
      </w:r>
      <w:r>
        <w:t xml:space="preserve"> </w:t>
      </w:r>
      <w:r>
        <w:t xml:space="preserve">So.</w:t>
      </w:r>
      <w:r>
        <w:t xml:space="preserve"> </w:t>
      </w:r>
      <w:r>
        <w:t xml:space="preserve">2d</w:t>
      </w:r>
      <w:r>
        <w:t xml:space="preserve"> </w:t>
      </w:r>
      <w:r>
        <w:t xml:space="preserve">307</w:t>
      </w:r>
      <w:r>
        <w:t xml:space="preserve"> </w:t>
      </w:r>
      <w:r>
        <w:t xml:space="preserve">(La.</w:t>
      </w:r>
      <w:r>
        <w:t xml:space="preserve"> </w:t>
      </w:r>
      <w:r>
        <w:t xml:space="preserve">App.</w:t>
      </w:r>
      <w:r>
        <w:t xml:space="preserve"> </w:t>
      </w:r>
      <w:r>
        <w:t xml:space="preserve">3d</w:t>
      </w:r>
      <w:r>
        <w:t xml:space="preserve"> </w:t>
      </w:r>
      <w:r>
        <w:t xml:space="preserve">Cir.</w:t>
      </w:r>
      <w:r>
        <w:t xml:space="preserve"> </w:t>
      </w:r>
      <w:r>
        <w:t xml:space="preserve">1968)</w:t>
      </w:r>
      <w:r>
        <w:t xml:space="preserve">   </w:t>
      </w:r>
      <w:r>
        <w:tab/>
      </w:r>
      <w:r>
        <w:t xml:space="preserve">22</w:t>
      </w:r>
    </w:p>
    <w:p>
      <w:pPr>
        <w:keepLines/>
        <w:tabs>
          <w:tab w:val="right" w:leader="dot" w:pos="9360"/>
        </w:tabs>
        <w:spacing w:before="144" w:after="0" w:line="276" w:lineRule="exact"/>
        <w:ind w:left="576" w:right="1120" w:hanging="576"/>
      </w:pPr>
      <w:r>
        <w:rPr>
          <w:i/>
          <w:iCs/>
        </w:rPr>
        <w:t xml:space="preserve">State</w:t>
      </w:r>
      <w:r>
        <w:rPr>
          <w:i/>
          <w:iCs/>
        </w:rPr>
        <w:t xml:space="preserve"> </w:t>
      </w:r>
      <w:r>
        <w:rPr>
          <w:i/>
          <w:iCs/>
        </w:rPr>
        <w:t xml:space="preserve">v.</w:t>
      </w:r>
      <w:r>
        <w:rPr>
          <w:i/>
          <w:iCs/>
        </w:rPr>
        <w:t xml:space="preserve"> </w:t>
      </w:r>
      <w:r>
        <w:rPr>
          <w:i/>
          <w:iCs/>
        </w:rPr>
        <w:t xml:space="preserve">McCue</w:t>
      </w:r>
      <w:r>
        <w:t xml:space="preserve"> </w:t>
      </w:r>
      <w:r>
        <w:t xml:space="preserve">75</w:t>
      </w:r>
      <w:r>
        <w:t xml:space="preserve"> </w:t>
      </w:r>
      <w:r>
        <w:t xml:space="preserve">So.</w:t>
      </w:r>
      <w:r>
        <w:t xml:space="preserve"> </w:t>
      </w:r>
      <w:r>
        <w:t xml:space="preserve">100</w:t>
      </w:r>
      <w:r>
        <w:t xml:space="preserve"> </w:t>
      </w:r>
      <w:r>
        <w:t xml:space="preserve">(La.</w:t>
      </w:r>
      <w:r>
        <w:t xml:space="preserve"> </w:t>
      </w:r>
      <w:r>
        <w:t xml:space="preserve">1917)</w:t>
      </w:r>
      <w:r>
        <w:t xml:space="preserve">   </w:t>
      </w:r>
      <w:r>
        <w:tab/>
      </w:r>
      <w:r>
        <w:t xml:space="preserve">22</w:t>
      </w:r>
    </w:p>
    <w:p>
      <w:pPr>
        <w:keepLines/>
        <w:tabs>
          <w:tab w:val="right" w:leader="dot" w:pos="9360"/>
        </w:tabs>
        <w:spacing w:before="144" w:after="0" w:line="276" w:lineRule="exact"/>
        <w:ind w:left="576" w:right="1120" w:hanging="576"/>
      </w:pPr>
      <w:r>
        <w:rPr>
          <w:i/>
          <w:iCs/>
        </w:rPr>
        <w:t xml:space="preserve">State</w:t>
      </w:r>
      <w:r>
        <w:rPr>
          <w:i/>
          <w:iCs/>
        </w:rPr>
        <w:t xml:space="preserve"> </w:t>
      </w:r>
      <w:r>
        <w:rPr>
          <w:i/>
          <w:iCs/>
        </w:rPr>
        <w:t xml:space="preserve">v.</w:t>
      </w:r>
      <w:r>
        <w:rPr>
          <w:i/>
          <w:iCs/>
        </w:rPr>
        <w:t xml:space="preserve"> </w:t>
      </w:r>
      <w:r>
        <w:rPr>
          <w:i/>
          <w:iCs/>
        </w:rPr>
        <w:t xml:space="preserve">Sprint</w:t>
      </w:r>
      <w:r>
        <w:rPr>
          <w:i/>
          <w:iCs/>
        </w:rPr>
        <w:t xml:space="preserve"> </w:t>
      </w:r>
      <w:r>
        <w:rPr>
          <w:i/>
          <w:iCs/>
        </w:rPr>
        <w:t xml:space="preserve">Commc’ns</w:t>
      </w:r>
      <w:r>
        <w:rPr>
          <w:i/>
          <w:iCs/>
        </w:rPr>
        <w:t xml:space="preserve"> </w:t>
      </w:r>
      <w:r>
        <w:rPr>
          <w:i/>
          <w:iCs/>
        </w:rPr>
        <w:t xml:space="preserve">Co.,</w:t>
      </w:r>
      <w:r>
        <w:rPr>
          <w:i/>
          <w:iCs/>
        </w:rPr>
        <w:t xml:space="preserve"> </w:t>
      </w:r>
      <w:r>
        <w:rPr>
          <w:i/>
          <w:iCs/>
        </w:rPr>
        <w:t xml:space="preserve">L.P.</w:t>
      </w:r>
      <w:r>
        <w:t xml:space="preserve"> </w:t>
      </w:r>
      <w:r>
        <w:t xml:space="preserve">96</w:t>
        <w:noBreakHyphen/>
        <w:t xml:space="preserve">1931</w:t>
      </w:r>
      <w:r>
        <w:t xml:space="preserve"> </w:t>
      </w:r>
      <w:r>
        <w:t xml:space="preserve">(La.</w:t>
      </w:r>
      <w:r>
        <w:t xml:space="preserve"> </w:t>
      </w:r>
      <w:r>
        <w:t xml:space="preserve">9/13/96),</w:t>
      </w:r>
      <w:r>
        <w:t xml:space="preserve"> </w:t>
      </w:r>
      <w:r>
        <w:t xml:space="preserve">679</w:t>
      </w:r>
      <w:r>
        <w:t xml:space="preserve"> </w:t>
      </w:r>
      <w:r>
        <w:t xml:space="preserve">So.</w:t>
      </w:r>
      <w:r>
        <w:t xml:space="preserve"> </w:t>
      </w:r>
      <w:r>
        <w:t xml:space="preserve">2d</w:t>
      </w:r>
      <w:r>
        <w:t xml:space="preserve"> </w:t>
      </w:r>
      <w:r>
        <w:t xml:space="preserve">382</w:t>
      </w:r>
      <w:r>
        <w:t xml:space="preserve">   </w:t>
      </w:r>
      <w:r>
        <w:tab/>
      </w:r>
      <w:r>
        <w:t xml:space="preserve">5</w:t>
      </w:r>
    </w:p>
    <w:p>
      <w:pPr>
        <w:keepLines/>
        <w:tabs>
          <w:tab w:val="right" w:leader="dot" w:pos="9360"/>
        </w:tabs>
        <w:spacing w:before="144" w:after="0" w:line="276" w:lineRule="exact"/>
        <w:ind w:left="576" w:right="1120" w:hanging="576"/>
      </w:pPr>
      <w:r>
        <w:rPr>
          <w:i/>
          <w:iCs/>
        </w:rPr>
        <w:t xml:space="preserve">Ulrich</w:t>
      </w:r>
      <w:r>
        <w:rPr>
          <w:i/>
          <w:iCs/>
        </w:rPr>
        <w:t xml:space="preserve"> </w:t>
      </w:r>
      <w:r>
        <w:rPr>
          <w:i/>
          <w:iCs/>
        </w:rPr>
        <w:t xml:space="preserve">v.</w:t>
      </w:r>
      <w:r>
        <w:rPr>
          <w:i/>
          <w:iCs/>
        </w:rPr>
        <w:t xml:space="preserve"> </w:t>
      </w:r>
      <w:r>
        <w:rPr>
          <w:i/>
          <w:iCs/>
        </w:rPr>
        <w:t xml:space="preserve">Robinson</w:t>
      </w:r>
      <w:r>
        <w:t xml:space="preserve"> </w:t>
      </w:r>
      <w:r>
        <w:t xml:space="preserve">2018</w:t>
        <w:noBreakHyphen/>
        <w:t xml:space="preserve">0534</w:t>
      </w:r>
      <w:r>
        <w:t xml:space="preserve"> </w:t>
      </w:r>
      <w:r>
        <w:t xml:space="preserve">(La.</w:t>
      </w:r>
      <w:r>
        <w:t xml:space="preserve"> </w:t>
      </w:r>
      <w:r>
        <w:t xml:space="preserve">3/26/19),</w:t>
      </w:r>
      <w:r>
        <w:t xml:space="preserve"> </w:t>
      </w:r>
      <w:r>
        <w:t xml:space="preserve">282</w:t>
      </w:r>
      <w:r>
        <w:t xml:space="preserve"> </w:t>
      </w:r>
      <w:r>
        <w:t xml:space="preserve">So.</w:t>
      </w:r>
      <w:r>
        <w:t xml:space="preserve"> </w:t>
      </w:r>
      <w:r>
        <w:t xml:space="preserve">3d</w:t>
      </w:r>
      <w:r>
        <w:t xml:space="preserve"> </w:t>
      </w:r>
      <w:r>
        <w:t xml:space="preserve">180</w:t>
      </w:r>
      <w:r>
        <w:t xml:space="preserve">   </w:t>
      </w:r>
      <w:r>
        <w:tab/>
      </w:r>
      <w:r>
        <w:t xml:space="preserve">25</w:t>
      </w:r>
    </w:p>
    <w:p>
      <w:pPr>
        <w:keepNext/>
        <w:keepLines/>
        <w:spacing w:before="264" w:after="120" w:line="276" w:lineRule="exact"/>
        <w:ind w:left="0" w:firstLine="0"/>
        <w:jc w:val="left"/>
      </w:pPr>
      <w:r>
        <w:rPr>
          <w:b/>
          <w:bCs/>
        </w:rPr>
        <w:t xml:space="preserve">STATUTES</w:t>
      </w:r>
    </w:p>
    <w:p>
      <w:pPr>
        <w:keepLines/>
        <w:tabs>
          <w:tab w:val="right" w:leader="dot" w:pos="9360"/>
        </w:tabs>
        <w:spacing w:before="144" w:after="0" w:line="276" w:lineRule="exact"/>
        <w:ind w:left="576" w:right="1120" w:hanging="576"/>
      </w:pPr>
      <w:r>
        <w:t xml:space="preserve">2019</w:t>
      </w:r>
      <w:r>
        <w:t xml:space="preserve"> </w:t>
      </w:r>
      <w:r>
        <w:t xml:space="preserve">La.</w:t>
      </w:r>
      <w:r>
        <w:t xml:space="preserve"> </w:t>
      </w:r>
      <w:r>
        <w:t xml:space="preserve">Act</w:t>
      </w:r>
      <w:r>
        <w:t xml:space="preserve"> </w:t>
      </w:r>
      <w:r>
        <w:t xml:space="preserve">54</w:t>
      </w:r>
      <w:r>
        <w:t xml:space="preserve">   </w:t>
      </w:r>
      <w:r>
        <w:tab/>
      </w:r>
      <w:r>
        <w:t xml:space="preserve">1</w:t>
      </w:r>
    </w:p>
    <w:p>
      <w:pPr>
        <w:keepLines/>
        <w:tabs>
          <w:tab w:val="right" w:leader="dot" w:pos="9360"/>
        </w:tabs>
        <w:spacing w:before="144" w:after="0" w:line="276" w:lineRule="exact"/>
        <w:ind w:left="576" w:right="1120" w:hanging="576"/>
      </w:pPr>
      <w:r>
        <w:t xml:space="preserve">La.</w:t>
      </w:r>
      <w:r>
        <w:t xml:space="preserve"> </w:t>
      </w:r>
      <w:r>
        <w:t xml:space="preserve">Civ.</w:t>
      </w:r>
      <w:r>
        <w:t xml:space="preserve"> </w:t>
      </w:r>
      <w:r>
        <w:t xml:space="preserve">Code</w:t>
      </w:r>
      <w:r>
        <w:t xml:space="preserve"> </w:t>
      </w:r>
      <w:r>
        <w:t xml:space="preserve">Ann.</w:t>
      </w:r>
      <w:r>
        <w:t xml:space="preserve"> </w:t>
      </w:r>
      <w:r>
        <w:t xml:space="preserve">art.</w:t>
      </w:r>
      <w:r>
        <w:t xml:space="preserve"> </w:t>
      </w:r>
      <w:r>
        <w:t xml:space="preserve">1968</w:t>
      </w:r>
      <w:r>
        <w:t xml:space="preserve">   </w:t>
      </w:r>
      <w:r>
        <w:tab/>
      </w:r>
      <w:r>
        <w:t xml:space="preserve">23</w:t>
      </w:r>
    </w:p>
    <w:p>
      <w:pPr>
        <w:keepLines/>
        <w:tabs>
          <w:tab w:val="right" w:leader="dot" w:pos="9360"/>
        </w:tabs>
        <w:spacing w:before="144" w:after="0" w:line="276" w:lineRule="exact"/>
        <w:ind w:left="576" w:right="1120" w:hanging="576"/>
      </w:pPr>
      <w:r>
        <w:t xml:space="preserve">La.</w:t>
      </w:r>
      <w:r>
        <w:t xml:space="preserve"> </w:t>
      </w:r>
      <w:r>
        <w:t xml:space="preserve">Civ.</w:t>
      </w:r>
      <w:r>
        <w:t xml:space="preserve"> </w:t>
      </w:r>
      <w:r>
        <w:t xml:space="preserve">Code</w:t>
      </w:r>
      <w:r>
        <w:t xml:space="preserve"> </w:t>
      </w:r>
      <w:r>
        <w:t xml:space="preserve">Ann.</w:t>
      </w:r>
      <w:r>
        <w:t xml:space="preserve"> </w:t>
      </w:r>
      <w:r>
        <w:t xml:space="preserve">art.</w:t>
      </w:r>
      <w:r>
        <w:t xml:space="preserve"> </w:t>
      </w:r>
      <w:r>
        <w:t xml:space="preserve">2033</w:t>
      </w:r>
      <w:r>
        <w:t xml:space="preserve">   </w:t>
      </w:r>
      <w:r>
        <w:tab/>
      </w:r>
      <w:r>
        <w:t xml:space="preserve">24</w:t>
      </w:r>
    </w:p>
    <w:p>
      <w:pPr>
        <w:keepLines/>
        <w:tabs>
          <w:tab w:val="right" w:leader="dot" w:pos="9360"/>
        </w:tabs>
        <w:spacing w:before="144" w:after="0" w:line="276" w:lineRule="exact"/>
        <w:ind w:left="576" w:right="1120" w:hanging="576"/>
      </w:pPr>
      <w:r>
        <w:t xml:space="preserve">La.</w:t>
      </w:r>
      <w:r>
        <w:t xml:space="preserve"> </w:t>
      </w:r>
      <w:r>
        <w:t xml:space="preserve">Civ.</w:t>
      </w:r>
      <w:r>
        <w:t xml:space="preserve"> </w:t>
      </w:r>
      <w:r>
        <w:t xml:space="preserve">Code</w:t>
      </w:r>
      <w:r>
        <w:t xml:space="preserve"> </w:t>
      </w:r>
      <w:r>
        <w:t xml:space="preserve">Ann.</w:t>
      </w:r>
      <w:r>
        <w:t xml:space="preserve"> </w:t>
      </w:r>
      <w:r>
        <w:t xml:space="preserve">art.</w:t>
      </w:r>
      <w:r>
        <w:t xml:space="preserve"> </w:t>
      </w:r>
      <w:r>
        <w:t xml:space="preserve">7</w:t>
      </w:r>
      <w:r>
        <w:t xml:space="preserve">   </w:t>
      </w:r>
      <w:r>
        <w:tab/>
      </w:r>
      <w:r>
        <w:t xml:space="preserve">23</w:t>
      </w:r>
    </w:p>
    <w:p>
      <w:pPr>
        <w:keepLines/>
        <w:tabs>
          <w:tab w:val="right" w:leader="dot" w:pos="9360"/>
        </w:tabs>
        <w:spacing w:before="144" w:after="0" w:line="276" w:lineRule="exact"/>
        <w:ind w:left="576" w:right="1120" w:hanging="576"/>
      </w:pPr>
      <w:r>
        <w:t xml:space="preserve">La.</w:t>
      </w:r>
      <w:r>
        <w:t xml:space="preserve"> </w:t>
      </w:r>
      <w:r>
        <w:t xml:space="preserve">Const.</w:t>
      </w:r>
      <w:r>
        <w:t xml:space="preserve"> </w:t>
      </w:r>
      <w:r>
        <w:t xml:space="preserve">art.</w:t>
      </w:r>
      <w:r>
        <w:t xml:space="preserve"> </w:t>
      </w:r>
      <w:r>
        <w:t xml:space="preserve">III,</w:t>
      </w:r>
      <w:r>
        <w:t xml:space="preserve"> </w:t>
      </w:r>
      <w:r>
        <w:t xml:space="preserve">§</w:t>
      </w:r>
      <w:r>
        <w:t xml:space="preserve"> </w:t>
      </w:r>
      <w:r>
        <w:t xml:space="preserve">12</w:t>
      </w:r>
      <w:r>
        <w:t xml:space="preserve">   </w:t>
      </w:r>
      <w:r>
        <w:tab/>
      </w:r>
      <w:r>
        <w:t xml:space="preserve">5, 6, 22</w:t>
      </w:r>
    </w:p>
    <w:p>
      <w:pPr>
        <w:keepLines/>
        <w:tabs>
          <w:tab w:val="right" w:leader="dot" w:pos="9360"/>
        </w:tabs>
        <w:spacing w:before="144" w:after="0" w:line="276" w:lineRule="exact"/>
        <w:ind w:left="576" w:right="1120" w:hanging="576"/>
      </w:pPr>
      <w:r>
        <w:t xml:space="preserve">La.</w:t>
      </w:r>
      <w:r>
        <w:t xml:space="preserve"> </w:t>
      </w:r>
      <w:r>
        <w:t xml:space="preserve">Rev.</w:t>
      </w:r>
      <w:r>
        <w:t xml:space="preserve"> </w:t>
      </w:r>
      <w:r>
        <w:t xml:space="preserve">Stat.</w:t>
      </w:r>
      <w:r>
        <w:t xml:space="preserve"> </w:t>
      </w:r>
      <w:r>
        <w:t xml:space="preserve">§</w:t>
      </w:r>
      <w:r>
        <w:t xml:space="preserve"> </w:t>
      </w:r>
      <w:r>
        <w:t xml:space="preserve">13:718(I)⁠(2)</w:t>
      </w:r>
      <w:r>
        <w:t xml:space="preserve">   </w:t>
      </w:r>
      <w:r>
        <w:tab/>
      </w:r>
      <w:r>
        <w:t xml:space="preserve">8</w:t>
      </w:r>
    </w:p>
    <w:p>
      <w:pPr>
        <w:keepLines/>
        <w:tabs>
          <w:tab w:val="right" w:leader="dot" w:pos="9360"/>
        </w:tabs>
        <w:spacing w:before="144" w:after="0" w:line="276" w:lineRule="exact"/>
        <w:ind w:left="576" w:right="1120" w:hanging="576"/>
      </w:pPr>
      <w:r>
        <w:t xml:space="preserve">La.</w:t>
      </w:r>
      <w:r>
        <w:t xml:space="preserve"> </w:t>
      </w:r>
      <w:r>
        <w:t xml:space="preserve">Rev.</w:t>
      </w:r>
      <w:r>
        <w:t xml:space="preserve"> </w:t>
      </w:r>
      <w:r>
        <w:t xml:space="preserve">Stat.</w:t>
      </w:r>
      <w:r>
        <w:t xml:space="preserve"> </w:t>
      </w:r>
      <w:r>
        <w:t xml:space="preserve">§</w:t>
      </w:r>
      <w:r>
        <w:t xml:space="preserve"> </w:t>
      </w:r>
      <w:r>
        <w:t xml:space="preserve">22:1065.1</w:t>
      </w:r>
      <w:r>
        <w:t xml:space="preserve">   </w:t>
      </w:r>
      <w:r>
        <w:tab/>
      </w:r>
      <w:r>
        <w:t xml:space="preserve">9</w:t>
      </w:r>
    </w:p>
    <w:p>
      <w:pPr>
        <w:keepLines/>
        <w:tabs>
          <w:tab w:val="right" w:leader="dot" w:pos="9360"/>
        </w:tabs>
        <w:spacing w:before="144" w:after="0" w:line="276" w:lineRule="exact"/>
        <w:ind w:left="576" w:right="1120" w:hanging="576"/>
      </w:pPr>
      <w:r>
        <w:t xml:space="preserve">La.</w:t>
      </w:r>
      <w:r>
        <w:t xml:space="preserve"> </w:t>
      </w:r>
      <w:r>
        <w:t xml:space="preserve">Rev.</w:t>
      </w:r>
      <w:r>
        <w:t xml:space="preserve"> </w:t>
      </w:r>
      <w:r>
        <w:t xml:space="preserve">Stat.</w:t>
      </w:r>
      <w:r>
        <w:t xml:space="preserve"> </w:t>
      </w:r>
      <w:r>
        <w:t xml:space="preserve">§</w:t>
      </w:r>
      <w:r>
        <w:t xml:space="preserve"> </w:t>
      </w:r>
      <w:r>
        <w:t xml:space="preserve">22:1379(3)⁠(f)</w:t>
      </w:r>
      <w:r>
        <w:t xml:space="preserve">   </w:t>
      </w:r>
      <w:r>
        <w:tab/>
      </w:r>
      <w:r>
        <w:t xml:space="preserve">18</w:t>
      </w:r>
    </w:p>
    <w:p>
      <w:pPr>
        <w:keepLines/>
        <w:tabs>
          <w:tab w:val="right" w:leader="dot" w:pos="9360"/>
        </w:tabs>
        <w:spacing w:before="144" w:after="0" w:line="276" w:lineRule="exact"/>
        <w:ind w:left="576" w:right="1120" w:hanging="576"/>
      </w:pPr>
      <w:r>
        <w:t xml:space="preserve">La.</w:t>
      </w:r>
      <w:r>
        <w:t xml:space="preserve"> </w:t>
      </w:r>
      <w:r>
        <w:t xml:space="preserve">Rev.</w:t>
      </w:r>
      <w:r>
        <w:t xml:space="preserve"> </w:t>
      </w:r>
      <w:r>
        <w:t xml:space="preserve">Stat.</w:t>
      </w:r>
      <w:r>
        <w:t xml:space="preserve"> </w:t>
      </w:r>
      <w:r>
        <w:t xml:space="preserve">§</w:t>
      </w:r>
      <w:r>
        <w:t xml:space="preserve"> </w:t>
      </w:r>
      <w:r>
        <w:t xml:space="preserve">22:1443</w:t>
      </w:r>
      <w:r>
        <w:t xml:space="preserve">   </w:t>
      </w:r>
      <w:r>
        <w:tab/>
      </w:r>
      <w:r>
        <w:rPr>
          <w:i/>
          <w:iCs/>
        </w:rPr>
        <w:t xml:space="preserve">passim</w:t>
      </w:r>
    </w:p>
    <w:p>
      <w:pPr>
        <w:keepLines/>
        <w:tabs>
          <w:tab w:val="right" w:leader="dot" w:pos="9360"/>
        </w:tabs>
        <w:spacing w:before="144" w:after="0" w:line="276" w:lineRule="exact"/>
        <w:ind w:left="576" w:right="1120" w:hanging="576"/>
      </w:pPr>
      <w:r>
        <w:t xml:space="preserve">La.</w:t>
      </w:r>
      <w:r>
        <w:t xml:space="preserve"> </w:t>
      </w:r>
      <w:r>
        <w:t xml:space="preserve">Rev.</w:t>
      </w:r>
      <w:r>
        <w:t xml:space="preserve"> </w:t>
      </w:r>
      <w:r>
        <w:t xml:space="preserve">Stat.</w:t>
      </w:r>
      <w:r>
        <w:t xml:space="preserve"> </w:t>
      </w:r>
      <w:r>
        <w:t xml:space="preserve">§</w:t>
      </w:r>
      <w:r>
        <w:t xml:space="preserve"> </w:t>
      </w:r>
      <w:r>
        <w:t xml:space="preserve">22:2191(A)⁠(2)</w:t>
      </w:r>
      <w:r>
        <w:t xml:space="preserve">   </w:t>
      </w:r>
      <w:r>
        <w:tab/>
      </w:r>
      <w:r>
        <w:t xml:space="preserve">10</w:t>
      </w:r>
    </w:p>
    <w:p>
      <w:pPr>
        <w:keepLines/>
        <w:tabs>
          <w:tab w:val="right" w:leader="dot" w:pos="9360"/>
        </w:tabs>
        <w:spacing w:before="144" w:after="0" w:line="276" w:lineRule="exact"/>
        <w:ind w:left="576" w:right="1120" w:hanging="576"/>
      </w:pPr>
      <w:r>
        <w:t xml:space="preserve">La.</w:t>
      </w:r>
      <w:r>
        <w:t xml:space="preserve"> </w:t>
      </w:r>
      <w:r>
        <w:t xml:space="preserve">Rev.</w:t>
      </w:r>
      <w:r>
        <w:t xml:space="preserve"> </w:t>
      </w:r>
      <w:r>
        <w:t xml:space="preserve">Stat.</w:t>
      </w:r>
      <w:r>
        <w:t xml:space="preserve"> </w:t>
      </w:r>
      <w:r>
        <w:t xml:space="preserve">§</w:t>
      </w:r>
      <w:r>
        <w:t xml:space="preserve"> </w:t>
      </w:r>
      <w:r>
        <w:t xml:space="preserve">22:6(13)⁠(e)</w:t>
      </w:r>
      <w:r>
        <w:t xml:space="preserve">   </w:t>
      </w:r>
      <w:r>
        <w:tab/>
      </w:r>
      <w:r>
        <w:t xml:space="preserve">18</w:t>
      </w:r>
    </w:p>
    <w:p>
      <w:pPr>
        <w:keepLines/>
        <w:tabs>
          <w:tab w:val="right" w:leader="dot" w:pos="9360"/>
        </w:tabs>
        <w:spacing w:before="144" w:after="0" w:line="276" w:lineRule="exact"/>
        <w:ind w:left="576" w:right="1120" w:hanging="576"/>
      </w:pPr>
      <w:r>
        <w:t xml:space="preserve">La.</w:t>
      </w:r>
      <w:r>
        <w:t xml:space="preserve"> </w:t>
      </w:r>
      <w:r>
        <w:t xml:space="preserve">Rev.</w:t>
      </w:r>
      <w:r>
        <w:t xml:space="preserve"> </w:t>
      </w:r>
      <w:r>
        <w:t xml:space="preserve">Stat.</w:t>
      </w:r>
      <w:r>
        <w:t xml:space="preserve"> </w:t>
      </w:r>
      <w:r>
        <w:t xml:space="preserve">§</w:t>
      </w:r>
      <w:r>
        <w:t xml:space="preserve"> </w:t>
      </w:r>
      <w:r>
        <w:t xml:space="preserve">22:695</w:t>
      </w:r>
      <w:r>
        <w:t xml:space="preserve">   </w:t>
      </w:r>
      <w:r>
        <w:tab/>
      </w:r>
      <w:r>
        <w:t xml:space="preserve">18</w:t>
      </w:r>
    </w:p>
    <w:p>
      <w:pPr>
        <w:keepLines/>
        <w:tabs>
          <w:tab w:val="right" w:leader="dot" w:pos="9360"/>
        </w:tabs>
        <w:spacing w:before="144" w:after="0" w:line="276" w:lineRule="exact"/>
        <w:ind w:left="576" w:right="1120" w:hanging="576"/>
      </w:pPr>
      <w:r>
        <w:t xml:space="preserve">La.</w:t>
      </w:r>
      <w:r>
        <w:t xml:space="preserve"> </w:t>
      </w:r>
      <w:r>
        <w:t xml:space="preserve">Rev.</w:t>
      </w:r>
      <w:r>
        <w:t xml:space="preserve"> </w:t>
      </w:r>
      <w:r>
        <w:t xml:space="preserve">Stat.</w:t>
      </w:r>
      <w:r>
        <w:t xml:space="preserve"> </w:t>
      </w:r>
      <w:r>
        <w:t xml:space="preserve">§</w:t>
      </w:r>
      <w:r>
        <w:t xml:space="preserve"> </w:t>
      </w:r>
      <w:r>
        <w:t xml:space="preserve">22:822</w:t>
      </w:r>
      <w:r>
        <w:t xml:space="preserve">   </w:t>
      </w:r>
      <w:r>
        <w:tab/>
      </w:r>
      <w:r>
        <w:t xml:space="preserve">9</w:t>
      </w:r>
    </w:p>
    <w:p>
      <w:pPr>
        <w:keepLines/>
        <w:tabs>
          <w:tab w:val="right" w:leader="dot" w:pos="9360"/>
        </w:tabs>
        <w:spacing w:before="144" w:after="0" w:line="276" w:lineRule="exact"/>
        <w:ind w:left="576" w:right="1440" w:hanging="576"/>
      </w:pPr>
      <w:r>
        <w:t xml:space="preserve">La.</w:t>
      </w:r>
      <w:r>
        <w:t xml:space="preserve"> </w:t>
      </w:r>
      <w:r>
        <w:t xml:space="preserve">Rev.</w:t>
      </w:r>
      <w:r>
        <w:t xml:space="preserve"> </w:t>
      </w:r>
      <w:r>
        <w:t xml:space="preserve">Stat.</w:t>
      </w:r>
      <w:r>
        <w:t xml:space="preserve"> </w:t>
      </w:r>
      <w:r>
        <w:t xml:space="preserve">§</w:t>
      </w:r>
      <w:r>
        <w:t xml:space="preserve"> </w:t>
      </w:r>
      <w:r>
        <w:t xml:space="preserve">22:855(E)</w:t>
      </w:r>
      <w:r>
        <w:t xml:space="preserve">   </w:t>
      </w:r>
      <w:r>
        <w:tab/>
      </w:r>
      <w:r>
        <w:t xml:space="preserve">4, 6, 23, 24, 25</w:t>
      </w:r>
    </w:p>
    <w:p>
      <w:pPr>
        <w:keepLines/>
        <w:tabs>
          <w:tab w:val="right" w:leader="dot" w:pos="9360"/>
        </w:tabs>
        <w:spacing w:before="144" w:after="0" w:line="276" w:lineRule="exact"/>
        <w:ind w:left="576" w:right="1120" w:hanging="576"/>
      </w:pPr>
      <w:r>
        <w:t xml:space="preserve">La.</w:t>
      </w:r>
      <w:r>
        <w:t xml:space="preserve"> </w:t>
      </w:r>
      <w:r>
        <w:t xml:space="preserve">Rev.</w:t>
      </w:r>
      <w:r>
        <w:t xml:space="preserve"> </w:t>
      </w:r>
      <w:r>
        <w:t xml:space="preserve">Stat.</w:t>
      </w:r>
      <w:r>
        <w:t xml:space="preserve"> </w:t>
      </w:r>
      <w:r>
        <w:t xml:space="preserve">§</w:t>
      </w:r>
      <w:r>
        <w:t xml:space="preserve"> </w:t>
      </w:r>
      <w:r>
        <w:t xml:space="preserve">23:1395(D)</w:t>
      </w:r>
      <w:r>
        <w:t xml:space="preserve">   </w:t>
      </w:r>
      <w:r>
        <w:tab/>
      </w:r>
      <w:r>
        <w:t xml:space="preserve">18</w:t>
      </w:r>
    </w:p>
    <w:p>
      <w:pPr>
        <w:keepLines/>
        <w:tabs>
          <w:tab w:val="right" w:leader="dot" w:pos="9360"/>
        </w:tabs>
        <w:spacing w:before="144" w:after="0" w:line="276" w:lineRule="exact"/>
        <w:ind w:left="576" w:right="1120" w:hanging="576"/>
      </w:pPr>
      <w:r>
        <w:t xml:space="preserve">La.</w:t>
      </w:r>
      <w:r>
        <w:t xml:space="preserve"> </w:t>
      </w:r>
      <w:r>
        <w:t xml:space="preserve">Rev.</w:t>
      </w:r>
      <w:r>
        <w:t xml:space="preserve"> </w:t>
      </w:r>
      <w:r>
        <w:t xml:space="preserve">Stat.</w:t>
      </w:r>
      <w:r>
        <w:t xml:space="preserve"> </w:t>
      </w:r>
      <w:r>
        <w:t xml:space="preserve">§</w:t>
      </w:r>
      <w:r>
        <w:t xml:space="preserve"> </w:t>
      </w:r>
      <w:r>
        <w:t xml:space="preserve">49:959</w:t>
      </w:r>
      <w:r>
        <w:t xml:space="preserve">   </w:t>
      </w:r>
      <w:r>
        <w:tab/>
      </w:r>
      <w:r>
        <w:t xml:space="preserve">11</w:t>
      </w:r>
    </w:p>
    <w:p>
      <w:pPr>
        <w:keepLines/>
        <w:tabs>
          <w:tab w:val="right" w:leader="dot" w:pos="9360"/>
        </w:tabs>
        <w:spacing w:before="144" w:after="0" w:line="276" w:lineRule="exact"/>
        <w:ind w:left="576" w:right="1120" w:hanging="576"/>
      </w:pPr>
      <w:r>
        <w:t xml:space="preserve">La.</w:t>
      </w:r>
      <w:r>
        <w:t xml:space="preserve"> </w:t>
      </w:r>
      <w:r>
        <w:t xml:space="preserve">Rev.</w:t>
      </w:r>
      <w:r>
        <w:t xml:space="preserve"> </w:t>
      </w:r>
      <w:r>
        <w:t xml:space="preserve">Stat.</w:t>
      </w:r>
      <w:r>
        <w:t xml:space="preserve"> </w:t>
      </w:r>
      <w:r>
        <w:t xml:space="preserve">§</w:t>
      </w:r>
      <w:r>
        <w:t xml:space="preserve"> </w:t>
      </w:r>
      <w:r>
        <w:t xml:space="preserve">49:964(A)⁠(1)</w:t>
      </w:r>
      <w:r>
        <w:t xml:space="preserve">   </w:t>
      </w:r>
      <w:r>
        <w:tab/>
      </w:r>
      <w:r>
        <w:t xml:space="preserve">11</w:t>
      </w:r>
    </w:p>
    <w:p>
      <w:pPr>
        <w:keepLines/>
        <w:tabs>
          <w:tab w:val="right" w:leader="dot" w:pos="9360"/>
        </w:tabs>
        <w:spacing w:before="144" w:after="0" w:line="276" w:lineRule="exact"/>
        <w:ind w:left="576" w:right="1120" w:hanging="576"/>
      </w:pPr>
      <w:r>
        <w:t xml:space="preserve">La.</w:t>
      </w:r>
      <w:r>
        <w:t xml:space="preserve"> </w:t>
      </w:r>
      <w:r>
        <w:t xml:space="preserve">Rev.</w:t>
      </w:r>
      <w:r>
        <w:t xml:space="preserve"> </w:t>
      </w:r>
      <w:r>
        <w:t xml:space="preserve">Stat.</w:t>
      </w:r>
      <w:r>
        <w:t xml:space="preserve"> </w:t>
      </w:r>
      <w:r>
        <w:t xml:space="preserve">§</w:t>
      </w:r>
      <w:r>
        <w:t xml:space="preserve"> </w:t>
      </w:r>
      <w:r>
        <w:t xml:space="preserve">49:964(A)⁠(2)⁠(a)</w:t>
      </w:r>
      <w:r>
        <w:t xml:space="preserve">   </w:t>
      </w:r>
      <w:r>
        <w:tab/>
      </w:r>
      <w:r>
        <w:t xml:space="preserve">5</w:t>
      </w:r>
    </w:p>
    <w:p>
      <w:pPr>
        <w:keepLines/>
        <w:tabs>
          <w:tab w:val="right" w:leader="dot" w:pos="9360"/>
        </w:tabs>
        <w:spacing w:before="144" w:after="0" w:line="276" w:lineRule="exact"/>
        <w:ind w:left="576" w:right="1120" w:hanging="576"/>
      </w:pPr>
      <w:r>
        <w:t xml:space="preserve">La.</w:t>
      </w:r>
      <w:r>
        <w:t xml:space="preserve"> </w:t>
      </w:r>
      <w:r>
        <w:t xml:space="preserve">Stat.</w:t>
      </w:r>
      <w:r>
        <w:t xml:space="preserve"> </w:t>
      </w:r>
      <w:r>
        <w:t xml:space="preserve">Ann.</w:t>
      </w:r>
      <w:r>
        <w:t xml:space="preserve"> </w:t>
      </w:r>
      <w:r>
        <w:t xml:space="preserve">§</w:t>
      </w:r>
      <w:r>
        <w:t xml:space="preserve"> </w:t>
      </w:r>
      <w:r>
        <w:t xml:space="preserve">49:964(B)</w:t>
      </w:r>
      <w:r>
        <w:t xml:space="preserve">   </w:t>
      </w:r>
      <w:r>
        <w:tab/>
      </w:r>
      <w:r>
        <w:t xml:space="preserve">4, 11</w:t>
      </w:r>
    </w:p>
    <w:p>
      <w:pPr>
        <w:keepNext/>
        <w:keepLines/>
        <w:spacing w:before="264" w:after="120" w:line="276" w:lineRule="exact"/>
        <w:ind w:left="0" w:firstLine="0"/>
        <w:jc w:val="left"/>
      </w:pPr>
      <w:r>
        <w:rPr>
          <w:b/>
          <w:bCs/>
        </w:rPr>
        <w:t xml:space="preserve">RULES</w:t>
      </w:r>
    </w:p>
    <w:p>
      <w:pPr>
        <w:keepLines/>
        <w:tabs>
          <w:tab w:val="right" w:leader="dot" w:pos="9360"/>
        </w:tabs>
        <w:spacing w:before="144" w:after="0" w:line="276" w:lineRule="exact"/>
        <w:ind w:left="576" w:right="1120" w:hanging="576"/>
      </w:pPr>
      <w:r>
        <w:t xml:space="preserve">Louisiana</w:t>
      </w:r>
      <w:r>
        <w:t xml:space="preserve"> </w:t>
      </w:r>
      <w:r>
        <w:t xml:space="preserve">Supreme</w:t>
      </w:r>
      <w:r>
        <w:t xml:space="preserve"> </w:t>
      </w:r>
      <w:r>
        <w:t xml:space="preserve">Court</w:t>
      </w:r>
      <w:r>
        <w:t xml:space="preserve"> </w:t>
      </w:r>
      <w:r>
        <w:t xml:space="preserve">Rule</w:t>
      </w:r>
      <w:r>
        <w:t xml:space="preserve"> </w:t>
      </w:r>
      <w:r>
        <w:t xml:space="preserve">X</w:t>
      </w:r>
      <w:r>
        <w:t xml:space="preserve">   </w:t>
      </w:r>
      <w:r>
        <w:tab/>
      </w:r>
      <w:r>
        <w:t xml:space="preserve">2, 3</w:t>
      </w:r>
    </w:p>
    <w:p>
      <w:pPr>
        <w:keepNext/>
        <w:keepLines/>
        <w:spacing w:before="264" w:after="120" w:line="276" w:lineRule="exact"/>
        <w:ind w:left="0" w:firstLine="0"/>
        <w:jc w:val="left"/>
      </w:pPr>
      <w:r>
        <w:rPr>
          <w:b/>
          <w:bCs/>
        </w:rPr>
        <w:t xml:space="preserve">OTHER</w:t>
      </w:r>
      <w:r>
        <w:rPr>
          <w:b/>
          <w:bCs/>
        </w:rPr>
        <w:t xml:space="preserve"> </w:t>
      </w:r>
      <w:r>
        <w:rPr>
          <w:b/>
          <w:bCs/>
        </w:rPr>
        <w:t xml:space="preserve">AUTHORITIES</w:t>
      </w:r>
    </w:p>
    <w:p>
      <w:pPr>
        <w:keepLines/>
        <w:tabs>
          <w:tab w:val="right" w:leader="dot" w:pos="9360"/>
        </w:tabs>
        <w:spacing w:before="144" w:after="0" w:line="276" w:lineRule="exact"/>
        <w:ind w:left="576" w:right="1120" w:hanging="576"/>
      </w:pPr>
      <w:r>
        <w:t xml:space="preserve">InJustice</w:t>
      </w:r>
      <w:r>
        <w:t xml:space="preserve"> </w:t>
      </w:r>
      <w:r>
        <w:t xml:space="preserve">Watch,</w:t>
      </w:r>
      <w:r>
        <w:t xml:space="preserve"> </w:t>
      </w:r>
      <w:r>
        <w:t xml:space="preserve">Around</w:t>
      </w:r>
      <w:r>
        <w:t xml:space="preserve"> </w:t>
      </w:r>
      <w:r>
        <w:t xml:space="preserve">the</w:t>
      </w:r>
      <w:r>
        <w:t xml:space="preserve"> </w:t>
      </w:r>
      <w:r>
        <w:t xml:space="preserve">country</w:t>
      </w:r>
      <w:r>
        <w:t xml:space="preserve"> </w:t>
      </w:r>
      <w:r>
        <w:t xml:space="preserve">bail</w:t>
      </w:r>
      <w:r>
        <w:t xml:space="preserve"> </w:t>
      </w:r>
      <w:r>
        <w:t xml:space="preserve">bondsmen’s</w:t>
      </w:r>
      <w:r>
        <w:t xml:space="preserve"> </w:t>
      </w:r>
      <w:r>
        <w:t xml:space="preserve">political</w:t>
      </w:r>
      <w:r>
        <w:t xml:space="preserve"> </w:t>
      </w:r>
      <w:r>
        <w:t xml:space="preserve">muscle</w:t>
      </w:r>
      <w:r>
        <w:t xml:space="preserve"> </w:t>
      </w:r>
      <w:r>
        <w:t xml:space="preserve">works</w:t>
      </w:r>
      <w:r>
        <w:t xml:space="preserve"> </w:t>
      </w:r>
      <w:r>
        <w:t xml:space="preserve">overtime</w:t>
      </w:r>
      <w:r>
        <w:t xml:space="preserve"> </w:t>
      </w:r>
      <w:r>
        <w:t xml:space="preserve">against</w:t>
      </w:r>
      <w:r>
        <w:t xml:space="preserve"> </w:t>
      </w:r>
      <w:r>
        <w:t xml:space="preserve">reform</w:t>
      </w:r>
      <w:r>
        <w:t xml:space="preserve"> </w:t>
      </w:r>
      <w:r>
        <w:t xml:space="preserve">efforts,</w:t>
      </w:r>
      <w:r>
        <w:t xml:space="preserve"> </w:t>
      </w:r>
      <w:r>
        <w:t xml:space="preserve">(Dec.</w:t>
      </w:r>
      <w:r>
        <w:t xml:space="preserve"> </w:t>
      </w:r>
      <w:r>
        <w:t xml:space="preserve">14,</w:t>
      </w:r>
      <w:r>
        <w:t xml:space="preserve"> </w:t>
      </w:r>
      <w:r>
        <w:t xml:space="preserve">2016)</w:t>
      </w:r>
      <w:r>
        <w:t xml:space="preserve">   </w:t>
      </w:r>
      <w:r>
        <w:tab/>
      </w:r>
      <w:r>
        <w:t xml:space="preserve">1</w:t>
      </w:r>
    </w:p>
    <w:p>
      <w:pPr>
        <w:keepLines/>
        <w:tabs>
          <w:tab w:val="right" w:leader="dot" w:pos="9360"/>
        </w:tabs>
        <w:spacing w:before="144" w:after="0" w:line="276" w:lineRule="exact"/>
        <w:ind w:left="576" w:right="1120" w:hanging="576"/>
      </w:pPr>
      <w:r>
        <w:t xml:space="preserve">Jessica</w:t>
      </w:r>
      <w:r>
        <w:t xml:space="preserve"> </w:t>
      </w:r>
      <w:r>
        <w:t xml:space="preserve">Williams,</w:t>
      </w:r>
      <w:r>
        <w:t xml:space="preserve"> </w:t>
      </w:r>
      <w:r>
        <w:t xml:space="preserve">Facing</w:t>
      </w:r>
      <w:r>
        <w:t xml:space="preserve"> </w:t>
      </w:r>
      <w:r>
        <w:t xml:space="preserve">little</w:t>
      </w:r>
      <w:r>
        <w:t xml:space="preserve"> </w:t>
      </w:r>
      <w:r>
        <w:t xml:space="preserve">competition</w:t>
      </w:r>
      <w:r>
        <w:t xml:space="preserve"> </w:t>
      </w:r>
      <w:r>
        <w:t xml:space="preserve">for</w:t>
      </w:r>
      <w:r>
        <w:t xml:space="preserve"> </w:t>
      </w:r>
      <w:r>
        <w:t xml:space="preserve">seat</w:t>
      </w:r>
      <w:r>
        <w:t xml:space="preserve"> </w:t>
      </w:r>
      <w:r>
        <w:t xml:space="preserve">in</w:t>
      </w:r>
      <w:r>
        <w:t xml:space="preserve"> </w:t>
      </w:r>
      <w:r>
        <w:t xml:space="preserve">Congress,</w:t>
      </w:r>
      <w:r>
        <w:t xml:space="preserve"> </w:t>
      </w:r>
      <w:r>
        <w:t xml:space="preserve">Cedric</w:t>
      </w:r>
      <w:r>
        <w:t xml:space="preserve"> </w:t>
      </w:r>
      <w:r>
        <w:t xml:space="preserve">Richmond</w:t>
      </w:r>
      <w:r>
        <w:t xml:space="preserve"> </w:t>
      </w:r>
      <w:r>
        <w:t xml:space="preserve">has</w:t>
      </w:r>
      <w:r>
        <w:t xml:space="preserve"> </w:t>
      </w:r>
      <w:r>
        <w:t xml:space="preserve">begun</w:t>
      </w:r>
      <w:r>
        <w:t xml:space="preserve"> </w:t>
      </w:r>
      <w:r>
        <w:t xml:space="preserve">to</w:t>
      </w:r>
      <w:r>
        <w:t xml:space="preserve"> </w:t>
      </w:r>
      <w:r>
        <w:t xml:space="preserve">broaden</w:t>
      </w:r>
      <w:r>
        <w:t xml:space="preserve"> </w:t>
      </w:r>
      <w:r>
        <w:t xml:space="preserve">his</w:t>
      </w:r>
      <w:r>
        <w:t xml:space="preserve"> </w:t>
      </w:r>
      <w:r>
        <w:t xml:space="preserve">power</w:t>
      </w:r>
      <w:r>
        <w:t xml:space="preserve"> </w:t>
      </w:r>
      <w:r>
        <w:t xml:space="preserve">base,</w:t>
      </w:r>
      <w:r>
        <w:t xml:space="preserve"> </w:t>
      </w:r>
      <w:r>
        <w:t xml:space="preserve">(Dec.</w:t>
      </w:r>
      <w:r>
        <w:t xml:space="preserve"> </w:t>
      </w:r>
      <w:r>
        <w:t xml:space="preserve">4,</w:t>
      </w:r>
      <w:r>
        <w:t xml:space="preserve"> </w:t>
      </w:r>
      <w:r>
        <w:t xml:space="preserve">2016)</w:t>
      </w:r>
      <w:r>
        <w:t xml:space="preserve">   </w:t>
      </w:r>
      <w:r>
        <w:tab/>
      </w:r>
      <w:r>
        <w:t xml:space="preserve">1</w:t>
      </w:r>
    </w:p>
    <w:p>
      <w:pPr>
        <w:keepLines/>
        <w:tabs>
          <w:tab w:val="right" w:leader="dot" w:pos="9360"/>
        </w:tabs>
        <w:spacing w:before="144" w:after="0" w:line="276" w:lineRule="exact"/>
        <w:ind w:left="576" w:right="1120" w:hanging="576"/>
      </w:pPr>
      <w:r>
        <w:t xml:space="preserve">La.</w:t>
      </w:r>
      <w:r>
        <w:t xml:space="preserve"> </w:t>
      </w:r>
      <w:r>
        <w:t xml:space="preserve">Att’y</w:t>
      </w:r>
      <w:r>
        <w:t xml:space="preserve"> </w:t>
      </w:r>
      <w:r>
        <w:t xml:space="preserve">Gen.</w:t>
      </w:r>
      <w:r>
        <w:t xml:space="preserve"> </w:t>
      </w:r>
      <w:r>
        <w:t xml:space="preserve">Op.,</w:t>
      </w:r>
      <w:r>
        <w:t xml:space="preserve"> </w:t>
      </w:r>
      <w:r>
        <w:t xml:space="preserve">No.</w:t>
      </w:r>
      <w:r>
        <w:t xml:space="preserve"> </w:t>
      </w:r>
      <w:r>
        <w:t xml:space="preserve">05</w:t>
        <w:noBreakHyphen/>
        <w:t xml:space="preserve">0171,</w:t>
      </w:r>
      <w:r>
        <w:t xml:space="preserve"> </w:t>
      </w:r>
      <w:r>
        <w:t xml:space="preserve">2006</w:t>
      </w:r>
      <w:r>
        <w:t xml:space="preserve"> </w:t>
      </w:r>
      <w:r>
        <w:t xml:space="preserve">WL</w:t>
      </w:r>
      <w:r>
        <w:t xml:space="preserve"> </w:t>
      </w:r>
      <w:r>
        <w:t xml:space="preserve">1670246</w:t>
      </w:r>
      <w:r>
        <w:t xml:space="preserve"> </w:t>
      </w:r>
      <w:r>
        <w:t xml:space="preserve">(May</w:t>
      </w:r>
      <w:r>
        <w:t xml:space="preserve"> </w:t>
      </w:r>
      <w:r>
        <w:t xml:space="preserve">25,</w:t>
      </w:r>
      <w:r>
        <w:t xml:space="preserve"> </w:t>
      </w:r>
      <w:r>
        <w:t xml:space="preserve">2006)</w:t>
      </w:r>
      <w:r>
        <w:t xml:space="preserve">   </w:t>
      </w:r>
      <w:r>
        <w:tab/>
      </w:r>
      <w:r>
        <w:t xml:space="preserve">24</w:t>
      </w:r>
    </w:p>
    <w:p>
      <w:pPr>
        <w:spacing w:before="0" w:after="0" w:line="1" w:lineRule="exact"/>
        <w:sectPr>
          <w:footerReference w:type="default" r:id="rIdXdPage"/>
          <w:pgSz w:w="12240" w:h="20160"/>
          <w:pgMar w:top="2160" w:right="1440" w:bottom="1440" w:left="1440" w:header="720" w:footer="732" w:gutter="0"/>
          <w:pgNumType w:fmt="lowerRoman" w:start="1"/>
        </w:sectPr>
      </w:pPr>
    </w:p>
    <w:p>
      <w:pPr>
        <w:keepNext/>
        <w:keepLines/>
        <w:spacing w:before="0" w:after="240" w:line="276" w:lineRule="exact"/>
        <w:ind w:left="0" w:firstLine="0"/>
        <w:jc w:val="center"/>
      </w:pPr>
      <w:r>
        <w:rPr>
          <w:b/>
          <w:bCs/>
        </w:rPr>
        <w:t xml:space="preserve">I.</w:t>
      </w:r>
      <w:r>
        <w:rPr>
          <w:b/>
          <w:bCs/>
        </w:rPr>
        <w:t xml:space="preserve"> </w:t>
      </w:r>
      <w:r>
        <w:rPr>
          <w:b/>
          <w:bCs/>
        </w:rPr>
        <w:t xml:space="preserve">STATEMENT</w:t>
      </w:r>
      <w:r>
        <w:rPr>
          <w:b/>
          <w:bCs/>
        </w:rPr>
        <w:t xml:space="preserve"> </w:t>
      </w:r>
      <w:r>
        <w:rPr>
          <w:b/>
          <w:bCs/>
        </w:rPr>
        <w:t xml:space="preserve">OF</w:t>
      </w:r>
      <w:r>
        <w:rPr>
          <w:b/>
          <w:bCs/>
        </w:rPr>
        <w:t xml:space="preserve"> </w:t>
      </w:r>
      <w:r>
        <w:rPr>
          <w:b/>
          <w:bCs/>
        </w:rPr>
        <w:t xml:space="preserve">CONSIDERATIONS</w:t>
      </w:r>
      <w:r>
        <w:rPr>
          <w:b/>
          <w:bCs/>
        </w:rPr>
        <w:t xml:space="preserve"> </w:t>
      </w:r>
      <w:r>
        <w:rPr>
          <w:b/>
          <w:bCs/>
        </w:rPr>
        <w:t xml:space="preserve">FOR</w:t>
      </w:r>
      <w:r>
        <w:rPr>
          <w:b/>
          <w:bCs/>
        </w:rPr>
        <w:t xml:space="preserve"> </w:t>
      </w:r>
      <w:r>
        <w:rPr>
          <w:b/>
          <w:bCs/>
        </w:rPr>
        <w:t xml:space="preserve">GRANTING</w:t>
      </w:r>
      <w:r>
        <w:rPr>
          <w:b/>
          <w:bCs/>
        </w:rPr>
        <w:t xml:space="preserve"> </w:t>
      </w:r>
      <w:r>
        <w:rPr>
          <w:b/>
          <w:bCs/>
        </w:rPr>
        <w:t xml:space="preserve">THE</w:t>
      </w:r>
      <w:r>
        <w:rPr>
          <w:b/>
          <w:bCs/>
        </w:rPr>
        <w:t xml:space="preserve"> </w:t>
      </w:r>
      <w:r>
        <w:rPr>
          <w:b/>
          <w:bCs/>
        </w:rPr>
        <w:t xml:space="preserve">WRIT</w:t>
      </w:r>
    </w:p>
    <w:p>
      <w:pPr>
        <w:pStyle w:val="BodyText"/>
      </w:pPr>
      <w:r>
        <w:t xml:space="preserve">The outcome of this appeal impacts as many as 50,000 New Orleans families who collectively overpaid, among others, Defendants Blair’s Bail Bonds, L.L.C. (“Blair’s”) and Bankers Insurance Company, Inc. (“Bankers”) (“Defendants”) about $5 million. Under La.</w:t>
      </w:r>
      <w:r>
        <w:t xml:space="preserve"> </w:t>
      </w:r>
      <w:r>
        <w:t xml:space="preserve">Rev. Stat. § 22:1443, the Louisiana legislature established that “the rate for all commercial surety underwriters writing criminal bail bonds in the state of Louisiana shall be twelve percent of the face amount of the bond ⁠. ⁠. ⁠. ⁠.” Nevertheless, Defendants charged Plaintiff-Applicant Jerome Morgan—and the putative class he represents—a thirteen percent premium for a bail bond during a fourteen-year period between 2005 and 2019.</w:t>
      </w:r>
    </w:p>
    <w:p>
      <w:pPr>
        <w:pStyle w:val="BodyText"/>
      </w:pPr>
      <w:r>
        <w:t xml:space="preserve">After being informed about Defendants’ actions, the Commissioner of Insurance (“Commissioner”) issued Directive 214 (“Directive”) in 2019, which ordered Defendants to refund Morgan and tens of thousands of other New Orleans families that Defendants collectively wronged for more than a decade. The purpose of the Directive was to force Defendants to comply with the law and to provide compensation to New Orleans families who, among other harms, deferred mortgage, rent, utility, or other bills to pay illegal premium or languished in jail until they could borrow or save enough money to do so.</w:t>
      </w:r>
    </w:p>
    <w:p>
      <w:pPr>
        <w:pStyle w:val="BodyTextNote"/>
      </w:pPr>
      <w:r>
        <w:t xml:space="preserve">Blair Boutte, the owner of Blair’s, is also an influential political consultant for Democratic legislators in Louisiana. He operates B</w:t>
      </w:r>
      <w:r>
        <w:noBreakHyphen/>
      </w:r>
      <w:r>
        <w:t xml:space="preserve">3 Consulting, a political consulting business, whose clients include many Democratic members of the state legislature, the governor, and judges.</w:t>
      </w:r>
      <w:r>
        <w:rPr>
          <w:rStyle w:val="FootnoteReference"/>
        </w:rPr>
        <w:footnoteReference w:id="9"/>
      </w:r>
      <w:r>
        <w:t xml:space="preserve"> </w:t>
      </w:r>
      <w:r>
        <w:t xml:space="preserve">The New Orleans bail bond industry, which includes Defendants, successfully lobbied the legislature to pass 2019</w:t>
      </w:r>
      <w:r>
        <w:t xml:space="preserve"> </w:t>
      </w:r>
      <w:r>
        <w:t xml:space="preserve">La. Act 54 (“Act 54”) to overturn the Directive and to prohibit any compensation to New Orleans families. Act 54 states that “to the extent an additional one percent [premium] has been collected ⁠. ⁠. ⁠. ⁠, no repayment of overcollections ⁠. ⁠. ⁠. shall be required nor shall such [overcollections] be considered a violation of R.S. 22:855 or R.S. 22:1443.”</w:t>
      </w:r>
    </w:p>
    <w:p>
      <w:pPr>
        <w:pStyle w:val="BodyTextNote"/>
      </w:pPr>
      <w:r>
        <w:t xml:space="preserve">Following Act 54’s enactment, Defendants argued in the DAL—where they had initiated proceedings to challenge the Directive’s validity—that the new law rendered the Directive unlawful and “of no effect.” Bankers’ Mot. Sum. Jud. at 7.</w:t>
      </w:r>
      <w:r>
        <w:rPr>
          <w:rStyle w:val="FootnoteReference"/>
        </w:rPr>
        <w:footnoteReference w:id="10"/>
      </w:r>
      <w:r>
        <w:t xml:space="preserve"> </w:t>
      </w:r>
      <w:r>
        <w:t xml:space="preserve">Morgan—a community activist who spent twenty years in prison for a crime that he did not commit—did not dispute that Act 54 invalidated the Directive but asked the DAL to stay the administrative proceedings to allow Morgan to challenge Act 54’s constitutionality. Morgan simultaneously filed this action in the Orleans Parish Civil District Court alleging that Act 54 violates due process and is a prohibited local and special law. These constitutional protections—which prohibit the legislature from retroactively immunizing Defendants from liability and from stripping New Orleans families of any remedy—are important bulwarks against the powerful capturing the legislative process at the expense of those with fewer political connections.</w:t>
      </w:r>
    </w:p>
    <w:p>
      <w:pPr>
        <w:pStyle w:val="BodyText"/>
      </w:pPr>
      <w:r>
        <w:t xml:space="preserve">The DAL stayed the administrative proceedings because “administrative agencies lack the power to hold statutory provisions unconstitutional,”</w:t>
      </w:r>
      <w:r>
        <w:t xml:space="preserve"> </w:t>
      </w:r>
      <w:r>
        <w:rPr>
          <w:i/>
          <w:iCs/>
        </w:rPr>
        <w:t xml:space="preserve">Able</w:t>
      </w:r>
      <w:r>
        <w:rPr>
          <w:i/>
          <w:iCs/>
        </w:rPr>
        <w:t xml:space="preserve"> </w:t>
      </w:r>
      <w:r>
        <w:rPr>
          <w:i/>
          <w:iCs/>
        </w:rPr>
        <w:t xml:space="preserve">v. La. Workers’ Comp. Corp.</w:t>
      </w:r>
      <w:r>
        <w:t xml:space="preserve">, 97</w:t>
      </w:r>
      <w:r>
        <w:noBreakHyphen/>
      </w:r>
      <w:r>
        <w:t xml:space="preserve">0581 (La. 10/21/97), 700 So. 2d 824, 827, and until the state courts determine Act 54’s constitutionality.</w:t>
      </w:r>
      <w:r>
        <w:t xml:space="preserve"> </w:t>
      </w:r>
      <w:r>
        <w:rPr>
          <w:i/>
          <w:iCs/>
        </w:rPr>
        <w:t xml:space="preserve">See</w:t>
      </w:r>
      <w:r>
        <w:t xml:space="preserve"> </w:t>
      </w:r>
      <w:r>
        <w:t xml:space="preserve">Bankers Mot. Sum. Jud. Tr. 21:14–16 (“Wouldn’t it be a little premature for me to say what the law is until the Supreme Court tells me what the law is and what’s valid or not?”).</w:t>
      </w:r>
    </w:p>
    <w:p>
      <w:pPr>
        <w:pStyle w:val="BodyText"/>
      </w:pPr>
      <w:r>
        <w:t xml:space="preserve">Defendants then changed their position in the district court to avoid a ruling on Act 54’s constitutionality. Contradicting their position in the DAL, Defendants argued that the DAL should ignore Act 54 and evaluate the Directive’s legality as if the legislature did not give Act 54 retroactive effect. But the DAL cannot ignore the passage of Act 54 without violating fundamental principles of justiciability. Doing so would be a prohibited hypothetical exercise because Act 54 retroactively amended the laws upon which the Commissioner based the Directive, exempts Defendants from complying with the law, and eliminates any compensation for wrongdoing. Nevertheless, the district court—invoking the primary jurisdiction doctrine—agreed to stay Morgan’s constitutional claims and referred the dispute to the DAL to determine the validity of the Directive. The district court’s reasons for its judgment included only a single sentence: “Determining the validity of Directive 214 is a necessary predicate to any constitutional challenge to Act 54.” Trial Court Written Reasons for Judgment. The district court did not offer any explanation why it believed this to be true or how the DAL should examine the Directive’s validity given that the DAL is limited to deciding justiciable questions.</w:t>
      </w:r>
    </w:p>
    <w:p>
      <w:pPr>
        <w:pStyle w:val="BodyText"/>
      </w:pPr>
      <w:r>
        <w:t xml:space="preserve">The district court’s judgment creates a catch</w:t>
      </w:r>
      <w:r>
        <w:noBreakHyphen/>
      </w:r>
      <w:r>
        <w:t xml:space="preserve">22: the district court held that it cannot evaluate Morgan’s constitutional claims without the DAL first affirming the Directive’s validity. But the DAL can only affirm the Directive’s validity if the district court first finds Act 54 to be unconstitutional. In other words, unless the district court declares Act 54 to be unconstitutional, the only justiciable question that the DAL can answer is that Act 54 invalidates the Directive (an answer that no party disputes). For the reasons discussed below, Act 54’s constitutionality is the actual threshold question and there are no predicate issues that the DAL must first decide before the district court can adjudicate that question.</w:t>
      </w:r>
    </w:p>
    <w:p>
      <w:pPr>
        <w:pStyle w:val="BodyText"/>
      </w:pPr>
      <w:r>
        <w:t xml:space="preserve">More than two years have passed since the Commissioner issued the Directive intended to compensate about 50,000 New Orleans families for being overcharged. Those families deserve to know without any further delay whether the legislature violated Louisiana’s Constitution by passing legislation intended to strip them of this compensation and to insulate the bail bond industry from any liability. As discussed herein, this Court should order the district court to adjudicate Morgan’s constitutional claims before the DAL resolves the Directive’s validity because the constitutionality of Act 54 is the threshold question, the DAL does not have jurisdiction to resolve that question, and there is nothing within the DAL’s special expertise that it must decide before the district court can adjudicate Morgan’s constitutional claims.</w:t>
      </w:r>
    </w:p>
    <w:p>
      <w:pPr>
        <w:keepNext/>
        <w:keepLines/>
        <w:spacing w:before="288" w:after="192" w:line="276" w:lineRule="exact"/>
        <w:ind w:left="0" w:firstLine="0"/>
        <w:jc w:val="left"/>
      </w:pPr>
      <w:r>
        <w:rPr>
          <w:b/>
          <w:bCs/>
        </w:rPr>
        <w:t xml:space="preserve">A.</w:t>
      </w:r>
      <w:r>
        <w:rPr>
          <w:b/>
          <w:bCs/>
        </w:rPr>
        <w:t xml:space="preserve"> </w:t>
      </w:r>
      <w:r>
        <w:rPr>
          <w:b/>
          <w:bCs/>
        </w:rPr>
        <w:t xml:space="preserve">This</w:t>
      </w:r>
      <w:r>
        <w:rPr>
          <w:b/>
          <w:bCs/>
        </w:rPr>
        <w:t xml:space="preserve"> </w:t>
      </w:r>
      <w:r>
        <w:rPr>
          <w:b/>
          <w:bCs/>
        </w:rPr>
        <w:t xml:space="preserve">Court</w:t>
      </w:r>
      <w:r>
        <w:rPr>
          <w:b/>
          <w:bCs/>
        </w:rPr>
        <w:t xml:space="preserve"> </w:t>
      </w:r>
      <w:r>
        <w:rPr>
          <w:b/>
          <w:bCs/>
        </w:rPr>
        <w:t xml:space="preserve">should</w:t>
      </w:r>
      <w:r>
        <w:rPr>
          <w:b/>
          <w:bCs/>
        </w:rPr>
        <w:t xml:space="preserve"> </w:t>
      </w:r>
      <w:r>
        <w:rPr>
          <w:b/>
          <w:bCs/>
        </w:rPr>
        <w:t xml:space="preserve">exercise</w:t>
      </w:r>
      <w:r>
        <w:rPr>
          <w:b/>
          <w:bCs/>
        </w:rPr>
        <w:t xml:space="preserve"> </w:t>
      </w:r>
      <w:r>
        <w:rPr>
          <w:b/>
          <w:bCs/>
        </w:rPr>
        <w:t xml:space="preserve">its</w:t>
      </w:r>
      <w:r>
        <w:rPr>
          <w:b/>
          <w:bCs/>
        </w:rPr>
        <w:t xml:space="preserve"> </w:t>
      </w:r>
      <w:r>
        <w:rPr>
          <w:b/>
          <w:bCs/>
        </w:rPr>
        <w:t xml:space="preserve">jurisdiction</w:t>
      </w:r>
      <w:r>
        <w:rPr>
          <w:b/>
          <w:bCs/>
        </w:rPr>
        <w:t xml:space="preserve"> </w:t>
      </w:r>
      <w:r>
        <w:rPr>
          <w:b/>
          <w:bCs/>
        </w:rPr>
        <w:t xml:space="preserve">to</w:t>
      </w:r>
      <w:r>
        <w:rPr>
          <w:b/>
          <w:bCs/>
        </w:rPr>
        <w:t xml:space="preserve"> </w:t>
      </w:r>
      <w:r>
        <w:rPr>
          <w:b/>
          <w:bCs/>
        </w:rPr>
        <w:t xml:space="preserve">clarify</w:t>
      </w:r>
      <w:r>
        <w:rPr>
          <w:b/>
          <w:bCs/>
        </w:rPr>
        <w:t xml:space="preserve"> </w:t>
      </w:r>
      <w:r>
        <w:rPr>
          <w:b/>
          <w:bCs/>
        </w:rPr>
        <w:t xml:space="preserve">the</w:t>
      </w:r>
      <w:r>
        <w:rPr>
          <w:b/>
          <w:bCs/>
        </w:rPr>
        <w:t xml:space="preserve"> </w:t>
      </w:r>
      <w:r>
        <w:rPr>
          <w:b/>
          <w:bCs/>
        </w:rPr>
        <w:t xml:space="preserve">scope</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primary</w:t>
      </w:r>
      <w:r>
        <w:rPr>
          <w:b/>
          <w:bCs/>
        </w:rPr>
        <w:t xml:space="preserve"> </w:t>
      </w:r>
      <w:r>
        <w:rPr>
          <w:b/>
          <w:bCs/>
        </w:rPr>
        <w:t xml:space="preserve">jurisdiction</w:t>
      </w:r>
      <w:r>
        <w:rPr>
          <w:b/>
          <w:bCs/>
        </w:rPr>
        <w:t xml:space="preserve"> </w:t>
      </w:r>
      <w:r>
        <w:rPr>
          <w:b/>
          <w:bCs/>
        </w:rPr>
        <w:t xml:space="preserve">doctrine.</w:t>
      </w:r>
    </w:p>
    <w:p>
      <w:pPr>
        <w:pStyle w:val="BodyText"/>
      </w:pPr>
      <w:r>
        <w:t xml:space="preserve">Supreme</w:t>
      </w:r>
      <w:r>
        <w:t xml:space="preserve"> </w:t>
      </w:r>
      <w:r>
        <w:t xml:space="preserve">Court Rule X, Section 1(a)⁠(2) authorizes this Court to exercise jurisdiction if a case involves “significant unresolved issues of law.” This case presents an appropriate vehicle to resolve significant questions about the scope of the primary jurisdiction doctrine—the basis for the district court’s decision to stay Morgan’s constitutional claims—which “has not been, but should be, resolved by this court.” Supreme</w:t>
      </w:r>
      <w:r>
        <w:t xml:space="preserve"> </w:t>
      </w:r>
      <w:r>
        <w:t xml:space="preserve">Court Rule X, § 1(a)⁠(2).</w:t>
      </w:r>
    </w:p>
    <w:p>
      <w:pPr>
        <w:pStyle w:val="BodyText"/>
      </w:pPr>
      <w:r>
        <w:t xml:space="preserve">The primary jurisdiction doctrine applies only when “(1) the court has original jurisdiction over the claim before it; (2) the adjudication of that claim requires the resolution of predicate issues or the making of preliminary findings; and (3) the legislature has established a regulatory scheme whereby it has committed the resolution of those issues or the making of those findings to an administrative body.”</w:t>
      </w:r>
      <w:r>
        <w:t xml:space="preserve"> </w:t>
      </w:r>
      <w:r>
        <w:rPr>
          <w:i/>
          <w:iCs/>
        </w:rPr>
        <w:t xml:space="preserve">Apalachicola</w:t>
      </w:r>
      <w:r>
        <w:rPr>
          <w:i/>
          <w:iCs/>
        </w:rPr>
        <w:t xml:space="preserve"> </w:t>
      </w:r>
      <w:r>
        <w:rPr>
          <w:i/>
          <w:iCs/>
        </w:rPr>
        <w:t xml:space="preserve">Riverkeeper v. Taylor Energy Co., LLC</w:t>
      </w:r>
      <w:r>
        <w:t xml:space="preserve">, 954 F. Supp. 2d 448, 460 n.25 (E.D. La. 2013) (quotation marks and citation omitted). This Court has had only a few opportunities to address the scope of the primary jurisdiction doctrine and this Court’s most extensive discussion about the doctrine is in a concurring opinion.</w:t>
      </w:r>
      <w:r>
        <w:t xml:space="preserve"> </w:t>
      </w:r>
      <w:r>
        <w:rPr>
          <w:i/>
          <w:iCs/>
        </w:rPr>
        <w:t xml:space="preserve">Cent.</w:t>
      </w:r>
      <w:r>
        <w:rPr>
          <w:i/>
          <w:iCs/>
        </w:rPr>
        <w:t xml:space="preserve"> </w:t>
      </w:r>
      <w:r>
        <w:rPr>
          <w:i/>
          <w:iCs/>
        </w:rPr>
        <w:t xml:space="preserve">La. Elec. Co. v. Louisiana Pub. Serv. Comm’n</w:t>
      </w:r>
      <w:r>
        <w:t xml:space="preserve">, 92</w:t>
      </w:r>
      <w:r>
        <w:noBreakHyphen/>
      </w:r>
      <w:r>
        <w:t xml:space="preserve">0988, 92</w:t>
      </w:r>
      <w:r>
        <w:noBreakHyphen/>
      </w:r>
      <w:r>
        <w:t xml:space="preserve">1001 (La. 01/19/93), 601 So. 2d 1383, 1388 (Lemmon, Justice, concurring). In one of this Court’s most recent decisions about the primary jurisdiction doctrine, it acknowledged that litigants view the doctrine as “confusing” and a “tool[] of less than surgical precision.”</w:t>
      </w:r>
      <w:r>
        <w:t xml:space="preserve"> </w:t>
      </w:r>
      <w:r>
        <w:rPr>
          <w:i/>
          <w:iCs/>
        </w:rPr>
        <w:t xml:space="preserve">Daily</w:t>
      </w:r>
      <w:r>
        <w:rPr>
          <w:i/>
          <w:iCs/>
        </w:rPr>
        <w:t xml:space="preserve"> </w:t>
      </w:r>
      <w:r>
        <w:rPr>
          <w:i/>
          <w:iCs/>
        </w:rPr>
        <w:t xml:space="preserve">Advertiser v. Trans-La, a Div. of Atmos Energy Corp.</w:t>
      </w:r>
      <w:r>
        <w:t xml:space="preserve">, 92</w:t>
      </w:r>
      <w:r>
        <w:noBreakHyphen/>
      </w:r>
      <w:r>
        <w:t xml:space="preserve">0988, 92</w:t>
      </w:r>
      <w:r>
        <w:noBreakHyphen/>
      </w:r>
      <w:r>
        <w:t xml:space="preserve">1001 (01/19/93), 612 So. 2d 7, 27 n.31 (citation and quotation marks omitted).</w:t>
      </w:r>
    </w:p>
    <w:p>
      <w:pPr>
        <w:pStyle w:val="BodyText"/>
      </w:pPr>
      <w:r>
        <w:t xml:space="preserve">This case is no exception. The district court conceded that it struggled with its decision, describing the issue as “a little bit more challenging than some of the things I normally [] have on my docket,” Bankers’ Exceptions Tr. 30:32</w:t>
      </w:r>
      <w:r>
        <w:noBreakHyphen/>
      </w:r>
      <w:r>
        <w:t xml:space="preserve">31:2. This case presents an opportunity to provide much needed clarity to courts about the factors that courts should consider before issuing a stay in deference to an agency—including whether abstention is appropriate when (1) the agency itself stayed the administrative proceedings because it believed that the state courts must decide a preliminary legal question about an Act’s constitutionality; (2) the dispute “is strictly a legal one, involving neither the agency’s particular expertise, no its fact finding prowess”; and (3) the legal dispute is “within the conventional competence of the courts.”</w:t>
      </w:r>
      <w:r>
        <w:t xml:space="preserve"> </w:t>
      </w:r>
      <w:r>
        <w:rPr>
          <w:i/>
          <w:iCs/>
        </w:rPr>
        <w:t xml:space="preserve">See</w:t>
      </w:r>
      <w:r>
        <w:t xml:space="preserve"> </w:t>
      </w:r>
      <w:r>
        <w:rPr>
          <w:i/>
          <w:iCs/>
        </w:rPr>
        <w:t xml:space="preserve">Occidental</w:t>
      </w:r>
      <w:r>
        <w:rPr>
          <w:i/>
          <w:iCs/>
        </w:rPr>
        <w:t xml:space="preserve"> </w:t>
      </w:r>
      <w:r>
        <w:rPr>
          <w:i/>
          <w:iCs/>
        </w:rPr>
        <w:t xml:space="preserve">Chem. Corp. v. Louisiana Pub. Serv. Comm’n</w:t>
      </w:r>
      <w:r>
        <w:t xml:space="preserve">, 810 F.3d 299, 309 (5th Cir. 2016).</w:t>
      </w:r>
    </w:p>
    <w:p>
      <w:pPr>
        <w:pStyle w:val="BodyTextNote"/>
      </w:pPr>
      <w:r>
        <w:t xml:space="preserve">A supervisory writ application is the appropriate vehicle to seek review. The district court’s conclusion that Morgan’s constitutional claims cannot be evaluated unless the DAL affirms the Directive’s validity cannot be corrected after the completion of the DAL proceedings: the Nineteenth Judicial District Court (where a party appealing an adverse administrative decision must file)</w:t>
      </w:r>
      <w:r>
        <w:rPr>
          <w:rStyle w:val="FootnoteReference"/>
        </w:rPr>
        <w:footnoteReference w:id="11"/>
      </w:r>
      <w:r>
        <w:t xml:space="preserve"> </w:t>
      </w:r>
      <w:r>
        <w:t xml:space="preserve">does not have appellate jurisdiction over the Orleans Parish Civil District Court and, even if it did, the completion of the administrative proceedings will have mooted this dispute over which questions are threshold and which forum must proceed first.</w:t>
      </w:r>
      <w:r>
        <w:t xml:space="preserve"> </w:t>
      </w:r>
      <w:r>
        <w:rPr>
          <w:i/>
          <w:iCs/>
        </w:rPr>
        <w:t xml:space="preserve">Herlitz</w:t>
      </w:r>
      <w:r>
        <w:rPr>
          <w:i/>
          <w:iCs/>
        </w:rPr>
        <w:t xml:space="preserve"> </w:t>
      </w:r>
      <w:r>
        <w:rPr>
          <w:i/>
          <w:iCs/>
        </w:rPr>
        <w:t xml:space="preserve">Const. Co. v. Hotel Inv’rs. of New Iberia, Inc.</w:t>
      </w:r>
      <w:r>
        <w:t xml:space="preserve">, 81</w:t>
      </w:r>
      <w:r>
        <w:noBreakHyphen/>
      </w:r>
      <w:r>
        <w:t xml:space="preserve">231 (La. 03/30/81), 396 So. 2d 878 n.1 (exercise of supervisory jurisdiction appropriate if trial court overrules an exception to venue because “an appellate court has no practical means of correcting the error on appeal” if “the case is tried on the merits in the wrong venue”);</w:t>
      </w:r>
      <w:r>
        <w:t xml:space="preserve"> </w:t>
      </w:r>
      <w:r>
        <w:rPr>
          <w:i/>
          <w:iCs/>
        </w:rPr>
        <w:t xml:space="preserve">State</w:t>
      </w:r>
      <w:r>
        <w:rPr>
          <w:i/>
          <w:iCs/>
        </w:rPr>
        <w:t xml:space="preserve"> </w:t>
      </w:r>
      <w:r>
        <w:rPr>
          <w:i/>
          <w:iCs/>
        </w:rPr>
        <w:t xml:space="preserve">v. Sprint Commc’ns Co., L.P.</w:t>
      </w:r>
      <w:r>
        <w:t xml:space="preserve">, 96</w:t>
      </w:r>
      <w:r>
        <w:noBreakHyphen/>
      </w:r>
      <w:r>
        <w:t xml:space="preserve">1931 (La. 9/13/96), 679 So. 2d 382, 383 (granting supervisory writ application concerning “denial of a stay” because the ruling could not as a practical matter be corrected on appeal).</w:t>
      </w:r>
    </w:p>
    <w:p>
      <w:pPr>
        <w:pStyle w:val="BodyText"/>
      </w:pPr>
      <w:r>
        <w:t xml:space="preserve">The dispute over which forum must proceed first has profound implications. The DAL would be required to invalidate the Directive if the DAL lifted the stay because the only justiciable action that the DAL could take is to invalidate the Directive because of Act 54. The DAL’s decision invalidating the Directive would also be final as to the Commissioner because state statute prohibits the Commissioner from appealing any adverse decision from the DAL.</w:t>
      </w:r>
      <w:r>
        <w:t xml:space="preserve"> </w:t>
      </w:r>
      <w:r>
        <w:rPr>
          <w:i/>
          <w:iCs/>
        </w:rPr>
        <w:t xml:space="preserve">See</w:t>
      </w:r>
      <w:r>
        <w:t xml:space="preserve"> </w:t>
      </w:r>
      <w:r>
        <w:t xml:space="preserve">La.</w:t>
      </w:r>
      <w:r>
        <w:t xml:space="preserve"> </w:t>
      </w:r>
      <w:r>
        <w:t xml:space="preserve">Rev. Stat. § 49:964(A)⁠(2)⁠(a) (“No agency or official thereof ⁠. ⁠. ⁠. shall be entitled to judicial review.”). Those outcomes would cause material injustice to the families who were overcharged and who would be left without any opportunity for the courts to determine whether the legislature violated the Constitution by retroactively stripping those families of any possible compensation.</w:t>
      </w:r>
    </w:p>
    <w:p>
      <w:pPr>
        <w:keepNext/>
        <w:keepLines/>
        <w:spacing w:before="288" w:after="192" w:line="276" w:lineRule="exact"/>
        <w:ind w:left="0" w:firstLine="0"/>
        <w:jc w:val="left"/>
      </w:pPr>
      <w:r>
        <w:rPr>
          <w:b/>
          <w:bCs/>
        </w:rPr>
        <w:t xml:space="preserve">B.</w:t>
      </w:r>
      <w:r>
        <w:rPr>
          <w:b/>
          <w:bCs/>
        </w:rPr>
        <w:t xml:space="preserve"> </w:t>
      </w:r>
      <w:r>
        <w:rPr>
          <w:b/>
          <w:bCs/>
        </w:rPr>
        <w:t xml:space="preserve">The</w:t>
      </w:r>
      <w:r>
        <w:rPr>
          <w:b/>
          <w:bCs/>
        </w:rPr>
        <w:t xml:space="preserve"> </w:t>
      </w:r>
      <w:r>
        <w:rPr>
          <w:b/>
          <w:bCs/>
        </w:rPr>
        <w:t xml:space="preserve">court</w:t>
      </w:r>
      <w:r>
        <w:rPr>
          <w:b/>
          <w:bCs/>
        </w:rPr>
        <w:t xml:space="preserve"> </w:t>
      </w:r>
      <w:r>
        <w:rPr>
          <w:b/>
          <w:bCs/>
        </w:rPr>
        <w:t xml:space="preserve">of</w:t>
      </w:r>
      <w:r>
        <w:rPr>
          <w:b/>
          <w:bCs/>
        </w:rPr>
        <w:t xml:space="preserve"> </w:t>
      </w:r>
      <w:r>
        <w:rPr>
          <w:b/>
          <w:bCs/>
        </w:rPr>
        <w:t xml:space="preserve">appeal</w:t>
      </w:r>
      <w:r>
        <w:rPr>
          <w:b/>
          <w:bCs/>
        </w:rPr>
        <w:t xml:space="preserve"> </w:t>
      </w:r>
      <w:r>
        <w:rPr>
          <w:b/>
          <w:bCs/>
        </w:rPr>
        <w:t xml:space="preserve">erroneously</w:t>
      </w:r>
      <w:r>
        <w:rPr>
          <w:b/>
          <w:bCs/>
        </w:rPr>
        <w:t xml:space="preserve"> </w:t>
      </w:r>
      <w:r>
        <w:rPr>
          <w:b/>
          <w:bCs/>
        </w:rPr>
        <w:t xml:space="preserve">applied</w:t>
      </w:r>
      <w:r>
        <w:rPr>
          <w:b/>
          <w:bCs/>
        </w:rPr>
        <w:t xml:space="preserve"> </w:t>
      </w:r>
      <w:r>
        <w:rPr>
          <w:b/>
          <w:bCs/>
        </w:rPr>
        <w:t xml:space="preserve">La.</w:t>
      </w:r>
      <w:r>
        <w:rPr>
          <w:b/>
          <w:bCs/>
        </w:rPr>
        <w:t xml:space="preserve"> </w:t>
      </w:r>
      <w:r>
        <w:rPr>
          <w:b/>
          <w:bCs/>
        </w:rPr>
        <w:t xml:space="preserve">Const.</w:t>
      </w:r>
      <w:r>
        <w:rPr>
          <w:b/>
          <w:bCs/>
        </w:rPr>
        <w:t xml:space="preserve"> </w:t>
      </w:r>
      <w:r>
        <w:rPr>
          <w:b/>
          <w:bCs/>
        </w:rPr>
        <w:t xml:space="preserve">art.</w:t>
      </w:r>
      <w:r>
        <w:rPr>
          <w:b/>
          <w:bCs/>
        </w:rPr>
        <w:t xml:space="preserve"> </w:t>
      </w:r>
      <w:r>
        <w:rPr>
          <w:b/>
          <w:bCs/>
        </w:rPr>
        <w:t xml:space="preserve">III,</w:t>
      </w:r>
      <w:r>
        <w:rPr>
          <w:b/>
          <w:bCs/>
        </w:rPr>
        <w:t xml:space="preserve"> </w:t>
      </w:r>
      <w:r>
        <w:rPr>
          <w:b/>
          <w:bCs/>
        </w:rPr>
        <w:t xml:space="preserve">§</w:t>
      </w:r>
      <w:r>
        <w:rPr>
          <w:b/>
          <w:bCs/>
        </w:rPr>
        <w:t xml:space="preserve"> </w:t>
      </w:r>
      <w:r>
        <w:rPr>
          <w:b/>
          <w:bCs/>
        </w:rPr>
        <w:t xml:space="preserve">12</w:t>
      </w:r>
      <w:r>
        <w:rPr>
          <w:b/>
          <w:bCs/>
        </w:rPr>
        <w:t xml:space="preserve">.</w:t>
      </w:r>
    </w:p>
    <w:p>
      <w:pPr>
        <w:pStyle w:val="BodyText"/>
      </w:pPr>
      <w:r>
        <w:t xml:space="preserve">The district court invoked the primary jurisdiction doctrine after concluding that the DAL must first determine the Directive’s validity before it can evaluate Morgan’s constitutional claims. Morgan alleges in his second and third claims that Act 54 is an unconstitutional local and special law. In denying a supervisory writ, the court of appeal let stand a decision that improperly applied La.</w:t>
      </w:r>
      <w:r>
        <w:t xml:space="preserve"> </w:t>
      </w:r>
      <w:r>
        <w:t xml:space="preserve">Const. art. III, § 12. Review by this Court is therefore appropriate under Rule X § 1 (a)⁠(4).</w:t>
      </w:r>
    </w:p>
    <w:p>
      <w:pPr>
        <w:pStyle w:val="BodyText"/>
      </w:pPr>
      <w:r>
        <w:t xml:space="preserve">Determining whether a law is an unconstitutional local or special law requires courts to engage in a two-step analysis: first, a court must determine “whether the law is, in fact, local or special. If it is, we must then ascertain whether the law concerns a subject listed in Art. III, § 12(A).”</w:t>
      </w:r>
      <w:r>
        <w:t xml:space="preserve"> </w:t>
      </w:r>
      <w:r>
        <w:rPr>
          <w:i/>
          <w:iCs/>
        </w:rPr>
        <w:t xml:space="preserve">Kimball</w:t>
      </w:r>
      <w:r>
        <w:rPr>
          <w:i/>
          <w:iCs/>
        </w:rPr>
        <w:t xml:space="preserve"> </w:t>
      </w:r>
      <w:r>
        <w:rPr>
          <w:i/>
          <w:iCs/>
        </w:rPr>
        <w:t xml:space="preserve">v. Allstate Ins. Co.</w:t>
      </w:r>
      <w:r>
        <w:t xml:space="preserve">, 97</w:t>
      </w:r>
      <w:r>
        <w:noBreakHyphen/>
      </w:r>
      <w:r>
        <w:t xml:space="preserve">2885, 97</w:t>
      </w:r>
      <w:r>
        <w:noBreakHyphen/>
      </w:r>
      <w:r>
        <w:t xml:space="preserve">2956 (La. 4/14/98), 712 So. 2d 46, 50. Act 54 is a local law on its face because it impacts Orleans Parish only and cannot be extended to other localities. Act 54 is a special law on its face because it retroactively grants Defendants an exception from complying with La.</w:t>
      </w:r>
      <w:r>
        <w:t xml:space="preserve"> </w:t>
      </w:r>
      <w:r>
        <w:t xml:space="preserve">Rev. Stat. § 22:1443. Act 54 addresses a subject matter contained in La.</w:t>
      </w:r>
      <w:r>
        <w:t xml:space="preserve"> </w:t>
      </w:r>
      <w:r>
        <w:t xml:space="preserve">Const. art. III, § 12 because it impacts any “civil action”: Act 54 immunizes Defendants from any liability and forecloses any civil remedy. See Section B.(1), Act 54 (“no repayment of overcollections as determined by the commissioner shall be required nor shall such [overcollections] be considered a violation of R.S. 22:855 or R.S. 22:1443”). No one—not Bankers, the court of appeal, or the district court—have articulated any reason why the district court cannot determine whether Act 54 is an unconstitutional special or local law through a simple facial analysis and must wait for the Commissioner to predetermine the Directive’s validity. For this reason, review is appropriate.</w:t>
      </w:r>
    </w:p>
    <w:p>
      <w:pPr>
        <w:keepNext/>
        <w:keepLines/>
        <w:spacing w:before="288" w:after="192" w:line="276" w:lineRule="exact"/>
        <w:ind w:left="0" w:firstLine="0"/>
        <w:jc w:val="left"/>
      </w:pPr>
      <w:r>
        <w:rPr>
          <w:b/>
          <w:bCs/>
        </w:rPr>
        <w:t xml:space="preserve">C.</w:t>
      </w:r>
      <w:r>
        <w:rPr>
          <w:b/>
          <w:bCs/>
        </w:rPr>
        <w:t xml:space="preserve"> </w:t>
      </w:r>
      <w:r>
        <w:rPr>
          <w:b/>
          <w:bCs/>
        </w:rPr>
        <w:t xml:space="preserve">The</w:t>
      </w:r>
      <w:r>
        <w:rPr>
          <w:b/>
          <w:bCs/>
        </w:rPr>
        <w:t xml:space="preserve"> </w:t>
      </w:r>
      <w:r>
        <w:rPr>
          <w:b/>
          <w:bCs/>
        </w:rPr>
        <w:t xml:space="preserve">district</w:t>
      </w:r>
      <w:r>
        <w:rPr>
          <w:b/>
          <w:bCs/>
        </w:rPr>
        <w:t xml:space="preserve"> </w:t>
      </w:r>
      <w:r>
        <w:rPr>
          <w:b/>
          <w:bCs/>
        </w:rPr>
        <w:t xml:space="preserve">court’s</w:t>
      </w:r>
      <w:r>
        <w:rPr>
          <w:b/>
          <w:bCs/>
        </w:rPr>
        <w:t xml:space="preserve"> </w:t>
      </w:r>
      <w:r>
        <w:rPr>
          <w:b/>
          <w:bCs/>
        </w:rPr>
        <w:t xml:space="preserve">decision</w:t>
      </w:r>
      <w:r>
        <w:rPr>
          <w:b/>
          <w:bCs/>
        </w:rPr>
        <w:t xml:space="preserve"> </w:t>
      </w:r>
      <w:r>
        <w:rPr>
          <w:b/>
          <w:bCs/>
        </w:rPr>
        <w:t xml:space="preserve">conflicts</w:t>
      </w:r>
      <w:r>
        <w:rPr>
          <w:b/>
          <w:bCs/>
        </w:rPr>
        <w:t xml:space="preserve"> </w:t>
      </w:r>
      <w:r>
        <w:rPr>
          <w:b/>
          <w:bCs/>
        </w:rPr>
        <w:t xml:space="preserve">with</w:t>
      </w:r>
      <w:r>
        <w:rPr>
          <w:b/>
          <w:bCs/>
        </w:rPr>
        <w:t xml:space="preserve"> </w:t>
      </w:r>
      <w:r>
        <w:rPr>
          <w:b/>
          <w:bCs/>
        </w:rPr>
        <w:t xml:space="preserve">this</w:t>
      </w:r>
      <w:r>
        <w:rPr>
          <w:b/>
          <w:bCs/>
        </w:rPr>
        <w:t xml:space="preserve"> </w:t>
      </w:r>
      <w:r>
        <w:rPr>
          <w:b/>
          <w:bCs/>
        </w:rPr>
        <w:t xml:space="preserve">Court’s</w:t>
      </w:r>
      <w:r>
        <w:rPr>
          <w:b/>
          <w:bCs/>
        </w:rPr>
        <w:t xml:space="preserve"> </w:t>
      </w:r>
      <w:r>
        <w:rPr>
          <w:b/>
          <w:bCs/>
        </w:rPr>
        <w:t xml:space="preserve">decision</w:t>
      </w:r>
      <w:r>
        <w:rPr>
          <w:b/>
          <w:bCs/>
        </w:rPr>
        <w:t xml:space="preserve"> </w:t>
      </w:r>
      <w:r>
        <w:rPr>
          <w:b/>
          <w:bCs/>
        </w:rPr>
        <w:t xml:space="preserve">in</w:t>
      </w:r>
      <w:r>
        <w:rPr>
          <w:b/>
          <w:bCs/>
        </w:rPr>
        <w:t xml:space="preserve"> </w:t>
      </w:r>
      <w:r>
        <w:rPr>
          <w:b/>
          <w:bCs/>
          <w:i/>
          <w:iCs/>
        </w:rPr>
        <w:t xml:space="preserve">Bourgeois</w:t>
      </w:r>
      <w:r>
        <w:rPr>
          <w:b/>
          <w:bCs/>
          <w:i/>
          <w:iCs/>
        </w:rPr>
        <w:t xml:space="preserve"> </w:t>
      </w:r>
      <w:r>
        <w:rPr>
          <w:b/>
          <w:bCs/>
          <w:i/>
          <w:iCs/>
        </w:rPr>
        <w:t xml:space="preserve">v.</w:t>
      </w:r>
      <w:r>
        <w:rPr>
          <w:b/>
          <w:bCs/>
          <w:i/>
          <w:iCs/>
        </w:rPr>
        <w:t xml:space="preserve"> </w:t>
      </w:r>
      <w:r>
        <w:rPr>
          <w:b/>
          <w:bCs/>
          <w:i/>
          <w:iCs/>
        </w:rPr>
        <w:t xml:space="preserve">A.P.</w:t>
      </w:r>
      <w:r>
        <w:rPr>
          <w:b/>
          <w:bCs/>
          <w:i/>
          <w:iCs/>
        </w:rPr>
        <w:t xml:space="preserve"> </w:t>
      </w:r>
      <w:r>
        <w:rPr>
          <w:b/>
          <w:bCs/>
          <w:i/>
          <w:iCs/>
        </w:rPr>
        <w:t xml:space="preserve">Green</w:t>
      </w:r>
      <w:r>
        <w:rPr>
          <w:b/>
          <w:bCs/>
          <w:i/>
          <w:iCs/>
        </w:rPr>
        <w:t xml:space="preserve"> </w:t>
      </w:r>
      <w:r>
        <w:rPr>
          <w:b/>
          <w:bCs/>
          <w:i/>
          <w:iCs/>
        </w:rPr>
        <w:t xml:space="preserve">Indus.,</w:t>
      </w:r>
      <w:r>
        <w:rPr>
          <w:b/>
          <w:bCs/>
          <w:i/>
          <w:iCs/>
        </w:rPr>
        <w:t xml:space="preserve"> </w:t>
      </w:r>
      <w:r>
        <w:rPr>
          <w:b/>
          <w:bCs/>
          <w:i/>
          <w:iCs/>
        </w:rPr>
        <w:t xml:space="preserve">Inc.</w:t>
      </w:r>
    </w:p>
    <w:p>
      <w:pPr>
        <w:pStyle w:val="BodyTextNote"/>
      </w:pPr>
      <w:r>
        <w:t xml:space="preserve">The district court also concluded that it could not evaluate Morgan’s fourth claim before the DAL evaluates the Directive’s validity. Morgan alleges in his fourth claim that Act 54 violates due process because Act 54 divested Morgan of his “vested” rights by eliminating his contract and administrative remedies under state law after his ability to pursue those remedies had already accrued. Bankers argued that this claim was premature because Morgan’s rights under La.</w:t>
      </w:r>
      <w:r>
        <w:t xml:space="preserve"> </w:t>
      </w:r>
      <w:r>
        <w:t xml:space="preserve">Rev. Stat. § 22:855(E) vest, if at all, only if the Directive is valid. However, rights do not vest only if there is a final enforceable judgment: Morgan’s right to pursue his contract and administrative remedies accrued when he signed his bail bond contract that required him to pay a premium in violation of state law. In denying a supervisory writ, the court of appeal let stand a district court decision that conflicts with</w:t>
      </w:r>
      <w:r>
        <w:t xml:space="preserve"> </w:t>
      </w:r>
      <w:r>
        <w:rPr>
          <w:i/>
          <w:iCs/>
        </w:rPr>
        <w:t xml:space="preserve">Bourgeois</w:t>
      </w:r>
      <w:r>
        <w:rPr>
          <w:i/>
          <w:iCs/>
        </w:rPr>
        <w:t xml:space="preserve"> </w:t>
      </w:r>
      <w:r>
        <w:rPr>
          <w:i/>
          <w:iCs/>
        </w:rPr>
        <w:t xml:space="preserve">v. A.P. Green Indus., Inc.</w:t>
      </w:r>
      <w:r>
        <w:t xml:space="preserve">, 00</w:t>
      </w:r>
      <w:r>
        <w:noBreakHyphen/>
      </w:r>
      <w:r>
        <w:t xml:space="preserve">1528 (La. 4/3/01), 783 So. 2d 1251 (“</w:t>
      </w:r>
      <w:r>
        <w:rPr>
          <w:i/>
          <w:iCs/>
        </w:rPr>
        <w:t xml:space="preserve">Bourgeois II</w:t>
      </w:r>
      <w:r>
        <w:t xml:space="preserve">”). This Court’s review is therefore appropriate under Rule X § 1 (a)⁠(1).</w:t>
      </w:r>
      <w:r>
        <w:rPr>
          <w:rStyle w:val="FootnoteReference"/>
        </w:rPr>
        <w:footnoteReference w:id="12"/>
      </w:r>
    </w:p>
    <w:p>
      <w:pPr>
        <w:pStyle w:val="BodyText"/>
      </w:pPr>
      <w:r>
        <w:t xml:space="preserve">In</w:t>
      </w:r>
      <w:r>
        <w:t xml:space="preserve"> </w:t>
      </w:r>
      <w:r>
        <w:rPr>
          <w:i/>
          <w:iCs/>
        </w:rPr>
        <w:t xml:space="preserve">Bourgeois II</w:t>
      </w:r>
      <w:r>
        <w:t xml:space="preserve">, this Court held that a statute violated due process where, as here, the legislature—intending to overturn a prior Supreme Court decision—enacted a law retroactively eliminating medical monitoring damages. The Court explained that the legislature may not retroactively eliminate a remedy under a cause of action after a plaintiff already had a “vested right” to seek that remedy “prior to the effective date of the Act.”</w:t>
      </w:r>
      <w:r>
        <w:t xml:space="preserve"> </w:t>
      </w:r>
      <w:r>
        <w:rPr>
          <w:i/>
          <w:iCs/>
        </w:rPr>
        <w:t xml:space="preserve">Bourgeois</w:t>
      </w:r>
      <w:r>
        <w:rPr>
          <w:i/>
          <w:iCs/>
        </w:rPr>
        <w:t xml:space="preserve"> </w:t>
      </w:r>
      <w:r>
        <w:rPr>
          <w:i/>
          <w:iCs/>
        </w:rPr>
        <w:t xml:space="preserve">II</w:t>
      </w:r>
      <w:r>
        <w:t xml:space="preserve">, 783 So. 2d at 1259. Morgan’s right to bring a contract action vested when he signed a bail bond contract that required Morgan to pay a premium exceeding what state law required. Pet. ¶¶ 1–⁠3. Morgan’s right to pursue his administrative remedies also vested when he fulfilled his contractual obligations with Defendants and paid a thirteen percent premium for his bail bond. Id. ¶ 16. There are no predicate issues within the DAL’s special expertise that it must first decide before the district court can evaluate Morgan’s due process claim. For this reason, this Court’s review is appropriate.</w:t>
      </w:r>
    </w:p>
    <w:p>
      <w:pPr>
        <w:keepNext/>
        <w:keepLines/>
        <w:spacing w:before="288" w:after="192" w:line="276" w:lineRule="exact"/>
        <w:ind w:left="0" w:firstLine="0"/>
        <w:jc w:val="left"/>
      </w:pPr>
      <w:r>
        <w:rPr>
          <w:b/>
          <w:bCs/>
        </w:rPr>
        <w:t xml:space="preserve">D.</w:t>
      </w:r>
      <w:r>
        <w:rPr>
          <w:b/>
          <w:bCs/>
        </w:rPr>
        <w:t xml:space="preserve"> </w:t>
      </w:r>
      <w:r>
        <w:rPr>
          <w:b/>
          <w:bCs/>
        </w:rPr>
        <w:t xml:space="preserve">The</w:t>
      </w:r>
      <w:r>
        <w:rPr>
          <w:b/>
          <w:bCs/>
        </w:rPr>
        <w:t xml:space="preserve"> </w:t>
      </w:r>
      <w:r>
        <w:rPr>
          <w:b/>
          <w:bCs/>
        </w:rPr>
        <w:t xml:space="preserve">district</w:t>
      </w:r>
      <w:r>
        <w:rPr>
          <w:b/>
          <w:bCs/>
        </w:rPr>
        <w:t xml:space="preserve"> </w:t>
      </w:r>
      <w:r>
        <w:rPr>
          <w:b/>
          <w:bCs/>
        </w:rPr>
        <w:t xml:space="preserve">court’s</w:t>
      </w:r>
      <w:r>
        <w:rPr>
          <w:b/>
          <w:bCs/>
        </w:rPr>
        <w:t xml:space="preserve"> </w:t>
      </w:r>
      <w:r>
        <w:rPr>
          <w:b/>
          <w:bCs/>
        </w:rPr>
        <w:t xml:space="preserve">decision</w:t>
      </w:r>
      <w:r>
        <w:rPr>
          <w:b/>
          <w:bCs/>
        </w:rPr>
        <w:t xml:space="preserve"> </w:t>
      </w:r>
      <w:r>
        <w:rPr>
          <w:b/>
          <w:bCs/>
        </w:rPr>
        <w:t xml:space="preserve">conflicts</w:t>
      </w:r>
      <w:r>
        <w:rPr>
          <w:b/>
          <w:bCs/>
        </w:rPr>
        <w:t xml:space="preserve"> </w:t>
      </w:r>
      <w:r>
        <w:rPr>
          <w:b/>
          <w:bCs/>
        </w:rPr>
        <w:t xml:space="preserve">with</w:t>
      </w:r>
      <w:r>
        <w:rPr>
          <w:b/>
          <w:bCs/>
        </w:rPr>
        <w:t xml:space="preserve"> </w:t>
      </w:r>
      <w:r>
        <w:rPr>
          <w:b/>
          <w:bCs/>
        </w:rPr>
        <w:t xml:space="preserve">this</w:t>
      </w:r>
      <w:r>
        <w:rPr>
          <w:b/>
          <w:bCs/>
        </w:rPr>
        <w:t xml:space="preserve"> </w:t>
      </w:r>
      <w:r>
        <w:rPr>
          <w:b/>
          <w:bCs/>
        </w:rPr>
        <w:t xml:space="preserve">Court’s</w:t>
      </w:r>
      <w:r>
        <w:rPr>
          <w:b/>
          <w:bCs/>
        </w:rPr>
        <w:t xml:space="preserve"> </w:t>
      </w:r>
      <w:r>
        <w:rPr>
          <w:b/>
          <w:bCs/>
        </w:rPr>
        <w:t xml:space="preserve">decision</w:t>
      </w:r>
      <w:r>
        <w:rPr>
          <w:b/>
          <w:bCs/>
        </w:rPr>
        <w:t xml:space="preserve"> </w:t>
      </w:r>
      <w:r>
        <w:rPr>
          <w:b/>
          <w:bCs/>
        </w:rPr>
        <w:t xml:space="preserve">in</w:t>
      </w:r>
      <w:r>
        <w:rPr>
          <w:b/>
          <w:bCs/>
        </w:rPr>
        <w:t xml:space="preserve"> </w:t>
      </w:r>
      <w:r>
        <w:rPr>
          <w:b/>
          <w:bCs/>
          <w:i/>
          <w:iCs/>
        </w:rPr>
        <w:t xml:space="preserve">Cat’s</w:t>
      </w:r>
      <w:r>
        <w:rPr>
          <w:b/>
          <w:bCs/>
          <w:i/>
          <w:iCs/>
        </w:rPr>
        <w:t xml:space="preserve"> </w:t>
      </w:r>
      <w:r>
        <w:rPr>
          <w:b/>
          <w:bCs/>
          <w:i/>
          <w:iCs/>
        </w:rPr>
        <w:t xml:space="preserve">Meow</w:t>
      </w:r>
      <w:r>
        <w:rPr>
          <w:b/>
          <w:bCs/>
        </w:rPr>
        <w:t xml:space="preserve"> </w:t>
      </w:r>
      <w:r>
        <w:rPr>
          <w:b/>
          <w:bCs/>
        </w:rPr>
        <w:t xml:space="preserve">and</w:t>
      </w:r>
      <w:r>
        <w:rPr>
          <w:b/>
          <w:bCs/>
        </w:rPr>
        <w:t xml:space="preserve"> </w:t>
      </w:r>
      <w:r>
        <w:rPr>
          <w:b/>
          <w:bCs/>
          <w:i/>
          <w:iCs/>
        </w:rPr>
        <w:t xml:space="preserve">Louisiana</w:t>
      </w:r>
      <w:r>
        <w:rPr>
          <w:b/>
          <w:bCs/>
          <w:i/>
          <w:iCs/>
        </w:rPr>
        <w:t xml:space="preserve"> </w:t>
      </w:r>
      <w:r>
        <w:rPr>
          <w:b/>
          <w:bCs/>
          <w:i/>
          <w:iCs/>
        </w:rPr>
        <w:t xml:space="preserve">Paddlewheels</w:t>
      </w:r>
      <w:r>
        <w:rPr>
          <w:b/>
          <w:bCs/>
        </w:rPr>
        <w:t xml:space="preserve">.</w:t>
      </w:r>
    </w:p>
    <w:p>
      <w:pPr>
        <w:pStyle w:val="BodyText"/>
      </w:pPr>
      <w:r>
        <w:t xml:space="preserve">The district court referred the Directive back to the DAL to consider the Directive’s validity but did not explain what it expected the DAL to do. There are two options: (1) the DAL could interpret the validity of the Directive by ignoring Act 54, which would involve deciding moot questions; or (2) invalidate the Directive based on Act 54. Both actions would conflict with this Court’s precedent. For this reason, this Court’s review is appropriate under Rule X § 1 (a)⁠(1).</w:t>
      </w:r>
    </w:p>
    <w:p>
      <w:pPr>
        <w:pStyle w:val="BodyText"/>
      </w:pPr>
      <w:r>
        <w:t xml:space="preserve">Defendants argued to the district court that it should avoid ruling on Morgan’s constitutional claims and instead request the DAL to evaluate the Directive’s validity based on statutes that Act 54 retroactively amended. But, to the extent that the district court agreed with Defendants that the DAL could simply evaluate the Directive’s validity as if Act 54 did not exist, it erred. Because Act 54 retroactively amended the laws upon which the Commissioner issued the Directive, the DAL cannot disregard Act 54’s passage without violating fundamental principles of justiciability, as outlined in</w:t>
      </w:r>
      <w:r>
        <w:t xml:space="preserve"> </w:t>
      </w:r>
      <w:r>
        <w:rPr>
          <w:i/>
          <w:iCs/>
        </w:rPr>
        <w:t xml:space="preserve">Cat’s</w:t>
      </w:r>
      <w:r>
        <w:rPr>
          <w:i/>
          <w:iCs/>
        </w:rPr>
        <w:t xml:space="preserve"> </w:t>
      </w:r>
      <w:r>
        <w:rPr>
          <w:i/>
          <w:iCs/>
        </w:rPr>
        <w:t xml:space="preserve">Meow, Inc. v. City of New Orleans Through Dep’t of Fin.</w:t>
      </w:r>
      <w:r>
        <w:t xml:space="preserve">, 98</w:t>
      </w:r>
      <w:r>
        <w:noBreakHyphen/>
      </w:r>
      <w:r>
        <w:t xml:space="preserve">0601 (La. 10/20/98), 720 So. 2d 1186.</w:t>
      </w:r>
    </w:p>
    <w:p>
      <w:pPr>
        <w:pStyle w:val="BodyText"/>
      </w:pPr>
      <w:r>
        <w:t xml:space="preserve">If the legislature amends a statute, it may moot a dispute over the interpretation of the statutes as they existed before the amendments.</w:t>
      </w:r>
      <w:r>
        <w:t xml:space="preserve"> </w:t>
      </w:r>
      <w:r>
        <w:rPr>
          <w:i/>
          <w:iCs/>
        </w:rPr>
        <w:t xml:space="preserve">Cat’s</w:t>
      </w:r>
      <w:r>
        <w:rPr>
          <w:i/>
          <w:iCs/>
        </w:rPr>
        <w:t xml:space="preserve"> </w:t>
      </w:r>
      <w:r>
        <w:rPr>
          <w:i/>
          <w:iCs/>
        </w:rPr>
        <w:t xml:space="preserve">Meow</w:t>
      </w:r>
      <w:r>
        <w:t xml:space="preserve">, 720 So. 2d at 1194. “In such a case, there is no longer an actual controversy for the court to address, and any judicial adjudication on the matter would be an impermissible advisory opinion.”</w:t>
      </w:r>
      <w:r>
        <w:t xml:space="preserve"> </w:t>
      </w:r>
      <w:r>
        <w:rPr>
          <w:i/>
          <w:iCs/>
        </w:rPr>
        <w:t xml:space="preserve">Id.</w:t>
      </w:r>
      <w:r>
        <w:t xml:space="preserve"> </w:t>
      </w:r>
      <w:r>
        <w:t xml:space="preserve">Although an amended statute may not be moot under the collateral consequences exception “when damages or other monetary relief has been claimed on account of former provisions of a challenged ⁠. ⁠. ⁠. statute,” that exception applies only when the amendment or “repeal does not have retroactive effect.”</w:t>
      </w:r>
      <w:r>
        <w:t xml:space="preserve"> </w:t>
      </w:r>
      <w:r>
        <w:rPr>
          <w:i/>
          <w:iCs/>
        </w:rPr>
        <w:t xml:space="preserve">Id.</w:t>
      </w:r>
      <w:r>
        <w:t xml:space="preserve"> </w:t>
      </w:r>
      <w:r>
        <w:t xml:space="preserve">at 1196.</w:t>
      </w:r>
    </w:p>
    <w:p>
      <w:pPr>
        <w:pStyle w:val="BodyText"/>
      </w:pPr>
      <w:r>
        <w:t xml:space="preserve">Act 54 explicitly states that it “shall have retroactive effect,”</w:t>
      </w:r>
      <w:r>
        <w:t xml:space="preserve"> </w:t>
      </w:r>
      <w:r>
        <w:rPr>
          <w:i/>
          <w:iCs/>
        </w:rPr>
        <w:t xml:space="preserve">see</w:t>
      </w:r>
      <w:r>
        <w:t xml:space="preserve"> </w:t>
      </w:r>
      <w:r>
        <w:t xml:space="preserve">Section 2, Act 54, and neither Morgan nor the Commissioner disputes that Act 54—if constitutional—invalidates the Directive. It would be a prohibited advisory opinion for the DAL to disregard the passage of Act 54 and evaluate the Directive’s validity as if Act 54 did not retroactively exempt Defendants from complying with the law and eliminate any compensation for being overcharged.</w:t>
      </w:r>
    </w:p>
    <w:p>
      <w:pPr>
        <w:pStyle w:val="BodyText"/>
      </w:pPr>
      <w:r>
        <w:t xml:space="preserve">Alternatively, the DAL could invalidate the Directive based on Act 54. However, requesting the DAL to invalidate the Directive based on Act 54—without first adjudicating Act 54’s constitutionality—would violate this Court’s holding in</w:t>
      </w:r>
      <w:r>
        <w:t xml:space="preserve"> </w:t>
      </w:r>
      <w:r>
        <w:rPr>
          <w:i/>
          <w:iCs/>
        </w:rPr>
        <w:t xml:space="preserve">Louisiana</w:t>
      </w:r>
      <w:r>
        <w:rPr>
          <w:i/>
          <w:iCs/>
        </w:rPr>
        <w:t xml:space="preserve"> </w:t>
      </w:r>
      <w:r>
        <w:rPr>
          <w:i/>
          <w:iCs/>
        </w:rPr>
        <w:t xml:space="preserve">Paddlewheels v. Louisiana Riverboat Gaming Comm’n</w:t>
      </w:r>
      <w:r>
        <w:t xml:space="preserve">, 94</w:t>
      </w:r>
      <w:r>
        <w:noBreakHyphen/>
      </w:r>
      <w:r>
        <w:t xml:space="preserve">2015 (La. 11/30/94), 646 So. 2d 885, 888 n.4, which held that a plaintiff “did not have to exhaust any administrative remedy in order to challenge the constitutionality of a statute under which it was adversely affected, and only the district court can declare a statute unconstitutional.” Bankers, too, now argues that invalidating the Directive based on Act 54 would not be “appropriate” at this stage given Morgan’s challenge to Act 54’s constitutionality and the DAL’s stay. Bankers’ Reply in Support of Exceptions at 3.</w:t>
      </w:r>
    </w:p>
    <w:p>
      <w:pPr>
        <w:pStyle w:val="BodyText"/>
      </w:pPr>
      <w:r>
        <w:t xml:space="preserve">Because the DAL lacks jurisdiction to decide the threshold constitutional questions, the DAL correctly stayed the administrative proceedings to allow the district court to evaluate Act 54’s constitutionality. This Court’s review is therefore appropriate to preserve long-standing principles of justiciability and to re-enforce that a plaintiff is not required to exhaust his administrative remedies before a district court can resolve a constitutional claim.</w:t>
      </w:r>
    </w:p>
    <w:p>
      <w:pPr>
        <w:keepNext/>
        <w:keepLines/>
        <w:spacing w:before="288" w:after="240" w:line="276" w:lineRule="exact"/>
        <w:ind w:left="0" w:firstLine="0"/>
        <w:jc w:val="center"/>
      </w:pPr>
      <w:r>
        <w:rPr>
          <w:b/>
          <w:bCs/>
        </w:rPr>
        <w:t xml:space="preserve">II.</w:t>
      </w:r>
      <w:r>
        <w:rPr>
          <w:b/>
          <w:bCs/>
        </w:rPr>
        <w:t xml:space="preserve"> </w:t>
      </w:r>
      <w:r>
        <w:rPr>
          <w:b/>
          <w:bCs/>
        </w:rPr>
        <w:t xml:space="preserve">SUMMARY</w:t>
      </w:r>
      <w:r>
        <w:rPr>
          <w:b/>
          <w:bCs/>
        </w:rPr>
        <w:t xml:space="preserve"> </w:t>
      </w:r>
      <w:r>
        <w:rPr>
          <w:b/>
          <w:bCs/>
        </w:rPr>
        <w:t xml:space="preserve">OF</w:t>
      </w:r>
      <w:r>
        <w:rPr>
          <w:b/>
          <w:bCs/>
        </w:rPr>
        <w:t xml:space="preserve"> </w:t>
      </w:r>
      <w:r>
        <w:rPr>
          <w:b/>
          <w:bCs/>
        </w:rPr>
        <w:t xml:space="preserve">CASE</w:t>
      </w:r>
      <w:r>
        <w:rPr>
          <w:b/>
          <w:bCs/>
        </w:rPr>
        <w:t xml:space="preserve"> </w:t>
      </w:r>
      <w:r>
        <w:rPr>
          <w:b/>
          <w:bCs/>
        </w:rPr>
        <w:t xml:space="preserve">AND</w:t>
      </w:r>
      <w:r>
        <w:rPr>
          <w:b/>
          <w:bCs/>
        </w:rPr>
        <w:t xml:space="preserve"> </w:t>
      </w:r>
      <w:r>
        <w:rPr>
          <w:b/>
          <w:bCs/>
        </w:rPr>
        <w:t xml:space="preserve">PRIOR</w:t>
      </w:r>
      <w:r>
        <w:rPr>
          <w:b/>
          <w:bCs/>
        </w:rPr>
        <w:t xml:space="preserve"> </w:t>
      </w:r>
      <w:r>
        <w:rPr>
          <w:b/>
          <w:bCs/>
        </w:rPr>
        <w:t xml:space="preserve">PROCEEDINGS</w:t>
      </w:r>
    </w:p>
    <w:p>
      <w:pPr>
        <w:keepNext/>
        <w:keepLines/>
        <w:spacing w:before="288" w:after="192" w:line="276" w:lineRule="exact"/>
        <w:ind w:left="0" w:firstLine="0"/>
        <w:jc w:val="left"/>
      </w:pPr>
      <w:r>
        <w:rPr>
          <w:b/>
          <w:bCs/>
        </w:rPr>
        <w:t xml:space="preserve">A.</w:t>
      </w:r>
      <w:r>
        <w:rPr>
          <w:b/>
          <w:bCs/>
        </w:rPr>
        <w:t xml:space="preserve"> </w:t>
      </w:r>
      <w:r>
        <w:rPr>
          <w:b/>
          <w:bCs/>
        </w:rPr>
        <w:t xml:space="preserve">State</w:t>
      </w:r>
      <w:r>
        <w:rPr>
          <w:b/>
          <w:bCs/>
        </w:rPr>
        <w:t xml:space="preserve"> </w:t>
      </w:r>
      <w:r>
        <w:rPr>
          <w:b/>
          <w:bCs/>
        </w:rPr>
        <w:t xml:space="preserve">law</w:t>
      </w:r>
      <w:r>
        <w:rPr>
          <w:b/>
          <w:bCs/>
        </w:rPr>
        <w:t xml:space="preserve"> </w:t>
      </w:r>
      <w:r>
        <w:rPr>
          <w:b/>
          <w:bCs/>
        </w:rPr>
        <w:t xml:space="preserve">required</w:t>
      </w:r>
      <w:r>
        <w:rPr>
          <w:b/>
          <w:bCs/>
        </w:rPr>
        <w:t xml:space="preserve"> </w:t>
      </w:r>
      <w:r>
        <w:rPr>
          <w:b/>
          <w:bCs/>
        </w:rPr>
        <w:t xml:space="preserve">Defendants</w:t>
      </w:r>
      <w:r>
        <w:rPr>
          <w:b/>
          <w:bCs/>
        </w:rPr>
        <w:t xml:space="preserve"> </w:t>
      </w:r>
      <w:r>
        <w:rPr>
          <w:b/>
          <w:bCs/>
        </w:rPr>
        <w:t xml:space="preserve">to</w:t>
      </w:r>
      <w:r>
        <w:rPr>
          <w:b/>
          <w:bCs/>
        </w:rPr>
        <w:t xml:space="preserve"> </w:t>
      </w:r>
      <w:r>
        <w:rPr>
          <w:b/>
          <w:bCs/>
        </w:rPr>
        <w:t xml:space="preserve">charge</w:t>
      </w:r>
      <w:r>
        <w:rPr>
          <w:b/>
          <w:bCs/>
        </w:rPr>
        <w:t xml:space="preserve"> </w:t>
      </w:r>
      <w:r>
        <w:rPr>
          <w:b/>
          <w:bCs/>
        </w:rPr>
        <w:t xml:space="preserve">a</w:t>
      </w:r>
      <w:r>
        <w:rPr>
          <w:b/>
          <w:bCs/>
        </w:rPr>
        <w:t xml:space="preserve"> </w:t>
      </w:r>
      <w:r>
        <w:rPr>
          <w:b/>
          <w:bCs/>
        </w:rPr>
        <w:t xml:space="preserve">twelve</w:t>
      </w:r>
      <w:r>
        <w:rPr>
          <w:b/>
          <w:bCs/>
        </w:rPr>
        <w:t xml:space="preserve"> </w:t>
      </w:r>
      <w:r>
        <w:rPr>
          <w:b/>
          <w:bCs/>
        </w:rPr>
        <w:t xml:space="preserve">percent</w:t>
      </w:r>
      <w:r>
        <w:rPr>
          <w:b/>
          <w:bCs/>
        </w:rPr>
        <w:t xml:space="preserve"> </w:t>
      </w:r>
      <w:r>
        <w:rPr>
          <w:b/>
          <w:bCs/>
        </w:rPr>
        <w:t xml:space="preserve">premium</w:t>
      </w:r>
      <w:r>
        <w:rPr>
          <w:b/>
          <w:bCs/>
        </w:rPr>
        <w:t xml:space="preserve"> </w:t>
      </w:r>
      <w:r>
        <w:rPr>
          <w:b/>
          <w:bCs/>
        </w:rPr>
        <w:t xml:space="preserve">for</w:t>
      </w:r>
      <w:r>
        <w:rPr>
          <w:b/>
          <w:bCs/>
        </w:rPr>
        <w:t xml:space="preserve"> </w:t>
      </w:r>
      <w:r>
        <w:rPr>
          <w:b/>
          <w:bCs/>
        </w:rPr>
        <w:t xml:space="preserve">a</w:t>
      </w:r>
      <w:r>
        <w:rPr>
          <w:b/>
          <w:bCs/>
        </w:rPr>
        <w:t xml:space="preserve"> </w:t>
      </w:r>
      <w:r>
        <w:rPr>
          <w:b/>
          <w:bCs/>
        </w:rPr>
        <w:t xml:space="preserve">bail</w:t>
      </w:r>
      <w:r>
        <w:rPr>
          <w:b/>
          <w:bCs/>
        </w:rPr>
        <w:t xml:space="preserve"> </w:t>
      </w:r>
      <w:r>
        <w:rPr>
          <w:b/>
          <w:bCs/>
        </w:rPr>
        <w:t xml:space="preserve">bond.</w:t>
      </w:r>
    </w:p>
    <w:p>
      <w:pPr>
        <w:pStyle w:val="BodyText"/>
      </w:pPr>
      <w:r>
        <w:t xml:space="preserve">La.</w:t>
      </w:r>
      <w:r>
        <w:t xml:space="preserve"> </w:t>
      </w:r>
      <w:r>
        <w:t xml:space="preserve">Rev. Stat. § 22:1443 states that the premium “rate ⁠. ⁠. ⁠. for all commercial surety underwriters in the state of Louisiana shall be twelve percent of the face amount of the bond or one hundred twenty dollars, whichever is greater.” La.</w:t>
      </w:r>
      <w:r>
        <w:t xml:space="preserve"> </w:t>
      </w:r>
      <w:r>
        <w:t xml:space="preserve">Rev. Stat. § 22:1443 (emphasis added). While the statute exempts Jefferson Parish from this limitation by authorizing an additional 0.5% fee,</w:t>
      </w:r>
      <w:r>
        <w:t xml:space="preserve"> </w:t>
      </w:r>
      <w:r>
        <w:rPr>
          <w:i/>
          <w:iCs/>
        </w:rPr>
        <w:t xml:space="preserve">see id.</w:t>
      </w:r>
      <w:r>
        <w:t xml:space="preserve">; La.</w:t>
      </w:r>
      <w:r>
        <w:t xml:space="preserve"> </w:t>
      </w:r>
      <w:r>
        <w:t xml:space="preserve">Rev. Stat. § 13:718(I)⁠(2), it does not do the same for Orleans Parish.</w:t>
      </w:r>
    </w:p>
    <w:p>
      <w:pPr>
        <w:pStyle w:val="BodyText"/>
      </w:pPr>
      <w:r>
        <w:t xml:space="preserve">Nevertheless, Defendants overcharged Morgan and thousands of other New Orleans families for a bail bond during a fourteen-year period between 2005 and July 31, 2019.</w:t>
      </w:r>
      <w:r>
        <w:t xml:space="preserve"> </w:t>
      </w:r>
      <w:r>
        <w:rPr>
          <w:i/>
          <w:iCs/>
        </w:rPr>
        <w:t xml:space="preserve">See</w:t>
      </w:r>
      <w:r>
        <w:t xml:space="preserve"> </w:t>
      </w:r>
      <w:r>
        <w:t xml:space="preserve">Pet., attached as Ex. A. Defendants began overcharging families after the legislature amended a different statute—La.</w:t>
      </w:r>
      <w:r>
        <w:t xml:space="preserve"> </w:t>
      </w:r>
      <w:r>
        <w:t xml:space="preserve">Rev. Stat. § 22:822 (then La.</w:t>
      </w:r>
      <w:r>
        <w:t xml:space="preserve"> </w:t>
      </w:r>
      <w:r>
        <w:t xml:space="preserve">Rev. Stat. § 22:1065.1)—⁠to increase the fees that the New Orleans bail bond industry must pay on every bail bond from two percent for each one hundred dollars that they underwrote to three percent. Id. ¶¶ 21–⁠24. Defendants unlawfully passed this increased fee onto families by charging a thirteen percent premium to purchase a bail bond. Id. ¶ 24. They did so even though the plain language of La.</w:t>
      </w:r>
      <w:r>
        <w:t xml:space="preserve"> </w:t>
      </w:r>
      <w:r>
        <w:t xml:space="preserve">Rev. Stat. § 22:1443 continued to require the industry to charge a twelve percent premium. Id. ¶ 22. Morgan, a community activist who spent twenty years in prison for a crime that he did not commit, is one of the individuals who Defendants overcharged. Id. ¶ 12. In 2014—after an Orleans Parish Criminal District Court judge overturned his conviction and the district attorney decided to re-prosecute him (before ultimately dropping all charges)—Morgan purchased a bail bond from Defendants. Id. ¶¶ 13–⁠14. He did so after first spending an additional eighteen days in jail after his conviction was overturned and while he raised enough money to purchase his bail bond. Id. The bail bond contract required Morgan to pay a thirteen percent premium on his $25,000 bond—one percent more than state law allowed—which has since been paid in its entirety. Id. ¶¶ 15–⁠16.</w:t>
      </w:r>
    </w:p>
    <w:p>
      <w:pPr>
        <w:keepNext/>
        <w:keepLines/>
        <w:spacing w:before="288" w:after="192" w:line="276" w:lineRule="exact"/>
        <w:ind w:left="0" w:firstLine="0"/>
        <w:jc w:val="left"/>
      </w:pPr>
      <w:r>
        <w:rPr>
          <w:b/>
          <w:bCs/>
        </w:rPr>
        <w:t xml:space="preserve">B.</w:t>
      </w:r>
      <w:r>
        <w:rPr>
          <w:b/>
          <w:bCs/>
        </w:rPr>
        <w:t xml:space="preserve"> </w:t>
      </w:r>
      <w:r>
        <w:rPr>
          <w:b/>
          <w:bCs/>
        </w:rPr>
        <w:t xml:space="preserve">The</w:t>
      </w:r>
      <w:r>
        <w:rPr>
          <w:b/>
          <w:bCs/>
        </w:rPr>
        <w:t xml:space="preserve"> </w:t>
      </w:r>
      <w:r>
        <w:rPr>
          <w:b/>
          <w:bCs/>
        </w:rPr>
        <w:t xml:space="preserve">Commissioner</w:t>
      </w:r>
      <w:r>
        <w:rPr>
          <w:b/>
          <w:bCs/>
        </w:rPr>
        <w:t xml:space="preserve"> </w:t>
      </w:r>
      <w:r>
        <w:rPr>
          <w:b/>
          <w:bCs/>
        </w:rPr>
        <w:t xml:space="preserve">issued</w:t>
      </w:r>
      <w:r>
        <w:rPr>
          <w:b/>
          <w:bCs/>
        </w:rPr>
        <w:t xml:space="preserve"> </w:t>
      </w:r>
      <w:r>
        <w:rPr>
          <w:b/>
          <w:bCs/>
        </w:rPr>
        <w:t xml:space="preserve">Directive</w:t>
      </w:r>
      <w:r>
        <w:rPr>
          <w:b/>
          <w:bCs/>
        </w:rPr>
        <w:t xml:space="preserve"> </w:t>
      </w:r>
      <w:r>
        <w:rPr>
          <w:b/>
          <w:bCs/>
        </w:rPr>
        <w:t xml:space="preserve">214</w:t>
      </w:r>
      <w:r>
        <w:rPr>
          <w:b/>
          <w:bCs/>
        </w:rPr>
        <w:t xml:space="preserve"> </w:t>
      </w:r>
      <w:r>
        <w:rPr>
          <w:b/>
          <w:bCs/>
        </w:rPr>
        <w:t xml:space="preserve">after</w:t>
      </w:r>
      <w:r>
        <w:rPr>
          <w:b/>
          <w:bCs/>
        </w:rPr>
        <w:t xml:space="preserve"> </w:t>
      </w:r>
      <w:r>
        <w:rPr>
          <w:b/>
          <w:bCs/>
        </w:rPr>
        <w:t xml:space="preserve">learning</w:t>
      </w:r>
      <w:r>
        <w:rPr>
          <w:b/>
          <w:bCs/>
        </w:rPr>
        <w:t xml:space="preserve"> </w:t>
      </w:r>
      <w:r>
        <w:rPr>
          <w:b/>
          <w:bCs/>
        </w:rPr>
        <w:t xml:space="preserve">that</w:t>
      </w:r>
      <w:r>
        <w:rPr>
          <w:b/>
          <w:bCs/>
        </w:rPr>
        <w:t xml:space="preserve"> </w:t>
      </w:r>
      <w:r>
        <w:rPr>
          <w:b/>
          <w:bCs/>
        </w:rPr>
        <w:t xml:space="preserve">Defendants</w:t>
      </w:r>
      <w:r>
        <w:rPr>
          <w:b/>
          <w:bCs/>
        </w:rPr>
        <w:t xml:space="preserve"> </w:t>
      </w:r>
      <w:r>
        <w:rPr>
          <w:b/>
          <w:bCs/>
        </w:rPr>
        <w:t xml:space="preserve">systematically</w:t>
      </w:r>
      <w:r>
        <w:rPr>
          <w:b/>
          <w:bCs/>
        </w:rPr>
        <w:t xml:space="preserve"> </w:t>
      </w:r>
      <w:r>
        <w:rPr>
          <w:b/>
          <w:bCs/>
        </w:rPr>
        <w:t xml:space="preserve">overcharged</w:t>
      </w:r>
      <w:r>
        <w:rPr>
          <w:b/>
          <w:bCs/>
        </w:rPr>
        <w:t xml:space="preserve"> </w:t>
      </w:r>
      <w:r>
        <w:rPr>
          <w:b/>
          <w:bCs/>
        </w:rPr>
        <w:t xml:space="preserve">Morgan</w:t>
      </w:r>
      <w:r>
        <w:rPr>
          <w:b/>
          <w:bCs/>
        </w:rPr>
        <w:t xml:space="preserve"> </w:t>
      </w:r>
      <w:r>
        <w:rPr>
          <w:b/>
          <w:bCs/>
        </w:rPr>
        <w:t xml:space="preserve">and</w:t>
      </w:r>
      <w:r>
        <w:rPr>
          <w:b/>
          <w:bCs/>
        </w:rPr>
        <w:t xml:space="preserve"> </w:t>
      </w:r>
      <w:r>
        <w:rPr>
          <w:b/>
          <w:bCs/>
        </w:rPr>
        <w:t xml:space="preserve">other</w:t>
      </w:r>
      <w:r>
        <w:rPr>
          <w:b/>
          <w:bCs/>
        </w:rPr>
        <w:t xml:space="preserve"> </w:t>
      </w:r>
      <w:r>
        <w:rPr>
          <w:b/>
          <w:bCs/>
        </w:rPr>
        <w:t xml:space="preserve">consumers.</w:t>
      </w:r>
    </w:p>
    <w:p>
      <w:pPr>
        <w:pStyle w:val="BodyText"/>
      </w:pPr>
      <w:r>
        <w:t xml:space="preserve">On February 20, 2019, following an insurance complaint, the Commissioner issued Directive 214 to all bail bond companies and their insurers.</w:t>
      </w:r>
      <w:r>
        <w:t xml:space="preserve"> </w:t>
      </w:r>
      <w:r>
        <w:rPr>
          <w:i/>
          <w:iCs/>
        </w:rPr>
        <w:t xml:space="preserve">See</w:t>
      </w:r>
      <w:r>
        <w:t xml:space="preserve"> </w:t>
      </w:r>
      <w:r>
        <w:t xml:space="preserve">Directive, attached as Ex. B. The Directive ordered bail bond companies to charge a twelve percent premium for a bail bond, as is required under La.</w:t>
      </w:r>
      <w:r>
        <w:t xml:space="preserve"> </w:t>
      </w:r>
      <w:r>
        <w:t xml:space="preserve">Rev. Stat. § 22:1443. Id. The Commissioner recognized that the legislature amended La.</w:t>
      </w:r>
      <w:r>
        <w:t xml:space="preserve"> </w:t>
      </w:r>
      <w:r>
        <w:t xml:space="preserve">Rev. Stat. § 22:822 through Act 350 of the Regular Legislative Session to increase “the criminal bail bond annual license fee for Orleans Parish commercial surety underwriters from two (2%) percent of liability written to three (3%) percent of liability written.” Id. The Commissioner explained, however, that “the increased fee was to be absorbed by the industry, not passed on to consumers.” Id. “Had the legislature desired to pass the fee on in the form of increased premium, they would have amended La. R.S. 22:1443. This was not done.” Id.</w:t>
      </w:r>
    </w:p>
    <w:p>
      <w:pPr>
        <w:pStyle w:val="BodyText"/>
      </w:pPr>
      <w:r>
        <w:t xml:space="preserve">The Commissioner further ordered Defendants and every other bail bond company and insurer to review their records and “to make every effort to identify” customers who were overcharged and return any excess premium, because “[a]ny criminal bail bond premium collected from consumers in Orleans Parish in excess of twelve (12%) percent of the liability written is in violation of the Louisiana Insurance Code.” Id.</w:t>
      </w:r>
    </w:p>
    <w:p>
      <w:pPr>
        <w:pStyle w:val="BodyText"/>
      </w:pPr>
      <w:r>
        <w:t xml:space="preserve">Defendants subsequently requested a hearing in the DAL pursuant to La.</w:t>
      </w:r>
      <w:r>
        <w:t xml:space="preserve"> </w:t>
      </w:r>
      <w:r>
        <w:t xml:space="preserve">Rev. Stat. § 22:2191(A)⁠(2) to challenge the Directive’s validity.</w:t>
      </w:r>
      <w:r>
        <w:t xml:space="preserve"> </w:t>
      </w:r>
      <w:r>
        <w:rPr>
          <w:i/>
          <w:iCs/>
        </w:rPr>
        <w:t xml:space="preserve">See</w:t>
      </w:r>
      <w:r>
        <w:t xml:space="preserve"> </w:t>
      </w:r>
      <w:r>
        <w:t xml:space="preserve">Pet., Ex. A. ¶ 36. Defendants alleged in their hearing request that the Directive is invalid because the Commissioner improperly interpreted the Insurance Code. They also made additional arguments about why the Directive is invalid that relate to the scope—rather than the merits—of the remedy, namely that the Directive (1) should have been directed to individual people rather than entities; (2) created unreasonable obligations on the bail bond industry; and (3) required a refund to people who may not have paid the entire premium. Morgan intervened in the DAL shortly thereafter. Id. ¶ 38.</w:t>
      </w:r>
    </w:p>
    <w:p>
      <w:pPr>
        <w:keepNext/>
        <w:keepLines/>
        <w:spacing w:before="288" w:after="192" w:line="276" w:lineRule="exact"/>
        <w:ind w:left="0" w:firstLine="0"/>
        <w:jc w:val="left"/>
      </w:pPr>
      <w:r>
        <w:rPr>
          <w:b/>
          <w:bCs/>
        </w:rPr>
        <w:t xml:space="preserve">C.</w:t>
      </w:r>
      <w:r>
        <w:rPr>
          <w:b/>
          <w:bCs/>
        </w:rPr>
        <w:t xml:space="preserve"> </w:t>
      </w:r>
      <w:r>
        <w:rPr>
          <w:b/>
          <w:bCs/>
        </w:rPr>
        <w:t xml:space="preserve">The</w:t>
      </w:r>
      <w:r>
        <w:rPr>
          <w:b/>
          <w:bCs/>
        </w:rPr>
        <w:t xml:space="preserve"> </w:t>
      </w:r>
      <w:r>
        <w:rPr>
          <w:b/>
          <w:bCs/>
        </w:rPr>
        <w:t xml:space="preserve">DAL</w:t>
      </w:r>
      <w:r>
        <w:rPr>
          <w:b/>
          <w:bCs/>
        </w:rPr>
        <w:t xml:space="preserve"> </w:t>
      </w:r>
      <w:r>
        <w:rPr>
          <w:b/>
          <w:bCs/>
        </w:rPr>
        <w:t xml:space="preserve">stayed</w:t>
      </w:r>
      <w:r>
        <w:rPr>
          <w:b/>
          <w:bCs/>
        </w:rPr>
        <w:t xml:space="preserve"> </w:t>
      </w:r>
      <w:r>
        <w:rPr>
          <w:b/>
          <w:bCs/>
        </w:rPr>
        <w:t xml:space="preserve">the</w:t>
      </w:r>
      <w:r>
        <w:rPr>
          <w:b/>
          <w:bCs/>
        </w:rPr>
        <w:t xml:space="preserve"> </w:t>
      </w:r>
      <w:r>
        <w:rPr>
          <w:b/>
          <w:bCs/>
        </w:rPr>
        <w:t xml:space="preserve">administrative</w:t>
      </w:r>
      <w:r>
        <w:rPr>
          <w:b/>
          <w:bCs/>
        </w:rPr>
        <w:t xml:space="preserve"> </w:t>
      </w:r>
      <w:r>
        <w:rPr>
          <w:b/>
          <w:bCs/>
        </w:rPr>
        <w:t xml:space="preserve">proceedings</w:t>
      </w:r>
      <w:r>
        <w:rPr>
          <w:b/>
          <w:bCs/>
        </w:rPr>
        <w:t xml:space="preserve"> </w:t>
      </w:r>
      <w:r>
        <w:rPr>
          <w:b/>
          <w:bCs/>
        </w:rPr>
        <w:t xml:space="preserve">to</w:t>
      </w:r>
      <w:r>
        <w:rPr>
          <w:b/>
          <w:bCs/>
        </w:rPr>
        <w:t xml:space="preserve"> </w:t>
      </w:r>
      <w:r>
        <w:rPr>
          <w:b/>
          <w:bCs/>
        </w:rPr>
        <w:t xml:space="preserve">allow</w:t>
      </w:r>
      <w:r>
        <w:rPr>
          <w:b/>
          <w:bCs/>
        </w:rPr>
        <w:t xml:space="preserve"> </w:t>
      </w:r>
      <w:r>
        <w:rPr>
          <w:b/>
          <w:bCs/>
        </w:rPr>
        <w:t xml:space="preserve">this</w:t>
      </w:r>
      <w:r>
        <w:rPr>
          <w:b/>
          <w:bCs/>
        </w:rPr>
        <w:t xml:space="preserve"> </w:t>
      </w:r>
      <w:r>
        <w:rPr>
          <w:b/>
          <w:bCs/>
        </w:rPr>
        <w:t xml:space="preserve">Court</w:t>
      </w:r>
      <w:r>
        <w:rPr>
          <w:b/>
          <w:bCs/>
        </w:rPr>
        <w:t xml:space="preserve"> </w:t>
      </w:r>
      <w:r>
        <w:rPr>
          <w:b/>
          <w:bCs/>
        </w:rPr>
        <w:t xml:space="preserve">to</w:t>
      </w:r>
      <w:r>
        <w:rPr>
          <w:b/>
          <w:bCs/>
        </w:rPr>
        <w:t xml:space="preserve"> </w:t>
      </w:r>
      <w:r>
        <w:rPr>
          <w:b/>
          <w:bCs/>
        </w:rPr>
        <w:t xml:space="preserve">determine</w:t>
      </w:r>
      <w:r>
        <w:rPr>
          <w:b/>
          <w:bCs/>
        </w:rPr>
        <w:t xml:space="preserve"> </w:t>
      </w:r>
      <w:r>
        <w:rPr>
          <w:b/>
          <w:bCs/>
        </w:rPr>
        <w:t xml:space="preserve">whether</w:t>
      </w:r>
      <w:r>
        <w:rPr>
          <w:b/>
          <w:bCs/>
        </w:rPr>
        <w:t xml:space="preserve"> </w:t>
      </w:r>
      <w:r>
        <w:rPr>
          <w:b/>
          <w:bCs/>
        </w:rPr>
        <w:t xml:space="preserve">Act</w:t>
      </w:r>
      <w:r>
        <w:rPr>
          <w:b/>
          <w:bCs/>
        </w:rPr>
        <w:t xml:space="preserve"> </w:t>
      </w:r>
      <w:r>
        <w:rPr>
          <w:b/>
          <w:bCs/>
        </w:rPr>
        <w:t xml:space="preserve">54</w:t>
      </w:r>
      <w:r>
        <w:rPr>
          <w:b/>
          <w:bCs/>
        </w:rPr>
        <w:t xml:space="preserve"> </w:t>
      </w:r>
      <w:r>
        <w:rPr>
          <w:b/>
          <w:bCs/>
        </w:rPr>
        <w:t xml:space="preserve">is</w:t>
      </w:r>
      <w:r>
        <w:rPr>
          <w:b/>
          <w:bCs/>
        </w:rPr>
        <w:t xml:space="preserve"> </w:t>
      </w:r>
      <w:r>
        <w:rPr>
          <w:b/>
          <w:bCs/>
        </w:rPr>
        <w:t xml:space="preserve">constitutional.</w:t>
      </w:r>
    </w:p>
    <w:p>
      <w:pPr>
        <w:pStyle w:val="BodyText"/>
      </w:pPr>
      <w:r>
        <w:t xml:space="preserve">On June 1, 2019, while the administrative proceedings were pending, Governor John Bel Edwards signed Act 54 into law after the bail bond industry lobbied for its passage. Id. ¶ 41. Act 54 amended La.</w:t>
      </w:r>
      <w:r>
        <w:t xml:space="preserve"> </w:t>
      </w:r>
      <w:r>
        <w:t xml:space="preserve">Rev. Stat. § 22:1443 to immunize Defendants from administrative or civil liability:</w:t>
      </w:r>
    </w:p>
    <w:p>
      <w:pPr>
        <w:pStyle w:val="XdQuoteOnly"/>
      </w:pPr>
      <w:r>
        <w:t xml:space="preserve">In any parish having a population of more than three hundred thousand and fewer than four hundred thousand persons according to the latest federal decennial census, to the extent an additional one percent has been collected under color of the provisions of Act 350 of the 2005 Regular Session, no repayment of overcollections as determined by the commissioner shall be required nor shall such actions be considered a violation of R.S. 22:855 or R:S. 22:1443.</w:t>
      </w:r>
    </w:p>
    <w:p>
      <w:pPr>
        <w:pStyle w:val="BodyTextNote"/>
      </w:pPr>
      <w:r>
        <w:t xml:space="preserve">See Section B.(1), Act 54, attached as Ex. C (emphasis omitted).</w:t>
      </w:r>
      <w:r>
        <w:rPr>
          <w:rStyle w:val="FootnoteReference"/>
        </w:rPr>
        <w:footnoteReference w:id="13"/>
      </w:r>
    </w:p>
    <w:p>
      <w:pPr>
        <w:pStyle w:val="BodyText"/>
      </w:pPr>
      <w:r>
        <w:t xml:space="preserve">Bankers moved for summary judgment in the DAL after Act 54 went into effect. Bankers argued in its motion that Act 54 overrules the Directive’s interpretation of the disputed statutes and therefore “renders Directive 214 ⁠. ⁠. ⁠. moot and of no effect.” Bankers’ Mot. Sum. Jud. at 7–8. Morgan did not dispute that the Directive is invalid if Act 54 is constitutional. However, Morgan did move the DAL to stay the administrative proceedings to allow the state courts to determine whether Act 54 is unconstitutional and simultaneously filed this action in the Orleans Parish Civil District Court.</w:t>
      </w:r>
      <w:r>
        <w:t xml:space="preserve"> </w:t>
      </w:r>
      <w:r>
        <w:rPr>
          <w:i/>
          <w:iCs/>
        </w:rPr>
        <w:t xml:space="preserve">See</w:t>
      </w:r>
      <w:r>
        <w:t xml:space="preserve"> </w:t>
      </w:r>
      <w:r>
        <w:t xml:space="preserve">Pet., Ex. A. Morgan alleges in his Petition that Act 54 is an unconstitutional local and special law and violates due process because the legislature may not retroactively grant Defendants’ impunity for violating the law.</w:t>
      </w:r>
      <w:r>
        <w:t xml:space="preserve"> </w:t>
      </w:r>
      <w:r>
        <w:rPr>
          <w:i/>
          <w:iCs/>
        </w:rPr>
        <w:t xml:space="preserve">See id.</w:t>
      </w:r>
      <w:r>
        <w:t xml:space="preserve"> </w:t>
      </w:r>
      <w:r>
        <w:t xml:space="preserve">¶¶ 68–⁠75.</w:t>
      </w:r>
    </w:p>
    <w:p>
      <w:pPr>
        <w:pStyle w:val="BodyText"/>
      </w:pPr>
      <w:r>
        <w:t xml:space="preserve">The Commissioner subsequently filed his own motion to stay for the same reasons that Morgan outlined in his stay request. The Commissioner argued in his motion that the DAL should stay the administrative proceedings because “administrative agencies lack the power to hold statutory provisions unconstitutional”; because he shared Morgan’s assessment that Act 54 is unconstitutional; and because “[a] ruling that Act 54 is unconstitutional ⁠. ⁠. ⁠. would render moot the merits for which summary judgment is being sought.” Commissioner’s Mot. to Stay at 3–5.</w:t>
      </w:r>
    </w:p>
    <w:p>
      <w:pPr>
        <w:pStyle w:val="BodyText"/>
      </w:pPr>
      <w:r>
        <w:t xml:space="preserve">The DAL stated on the record at the hearing on Defendants’ summary judgment motion that it would be “uncomfortable” invaliding the Directive because of Act 54 without this Court first determining whether Act 54 is unconstitutional, Bankers’ Mot. Sum. Jud. Tr. 29:15</w:t>
      </w:r>
      <w:r>
        <w:noBreakHyphen/>
      </w:r>
      <w:r>
        <w:t xml:space="preserve">19, and ultimately stayed the entire administrative proceedings “pending a judicial determination of the constitutionality of ⁠. ⁠. ⁠. Act 54.”</w:t>
      </w:r>
      <w:r>
        <w:t xml:space="preserve"> </w:t>
      </w:r>
      <w:r>
        <w:rPr>
          <w:i/>
          <w:iCs/>
        </w:rPr>
        <w:t xml:space="preserve">See</w:t>
      </w:r>
      <w:r>
        <w:t xml:space="preserve"> </w:t>
      </w:r>
      <w:r>
        <w:t xml:space="preserve">DAL Stay Order; Bankers’ Mot. Sum. Jud. Tr. 29:15</w:t>
      </w:r>
      <w:r>
        <w:noBreakHyphen/>
      </w:r>
      <w:r>
        <w:t xml:space="preserve">27.</w:t>
      </w:r>
    </w:p>
    <w:p>
      <w:pPr>
        <w:pStyle w:val="BodyText"/>
      </w:pPr>
      <w:r>
        <w:t xml:space="preserve">After the DAL announced its ruling from the bench, Bankers and another insurer asked the DAL to consider additional arguments unrelated to Act 54 about why the Directive is invalid. Bankers’ Mot. Sum. Jud. Tr. 30:11–21; 31:22–27. The DAL stated that “[i]t is not my intention to piecemeal this” and that it “would rather do it all at once” but that it would consider Bankers’ request for reconsideration and invited briefing about why it should enter a more limited stay.</w:t>
      </w:r>
      <w:r>
        <w:t xml:space="preserve"> </w:t>
      </w:r>
      <w:r>
        <w:rPr>
          <w:i/>
          <w:iCs/>
        </w:rPr>
        <w:t xml:space="preserve">Id.</w:t>
      </w:r>
      <w:r>
        <w:t xml:space="preserve"> </w:t>
      </w:r>
      <w:r>
        <w:t xml:space="preserve">30:23–27, 31:29–32:5. Bankers had ten days to file a motion for reconsideration under state law, La.</w:t>
      </w:r>
      <w:r>
        <w:t xml:space="preserve"> </w:t>
      </w:r>
      <w:r>
        <w:t xml:space="preserve">Rev. Stat. § 49:959, or thirty days to file an interlocutory appeal, La.</w:t>
      </w:r>
      <w:r>
        <w:t xml:space="preserve"> </w:t>
      </w:r>
      <w:r>
        <w:t xml:space="preserve">Rev. Stat. § 49:964(A)⁠(1), (B)</w:t>
      </w:r>
      <w:r>
        <w:t xml:space="preserve">. Bankers let those deadlines pass.</w:t>
      </w:r>
    </w:p>
    <w:p>
      <w:pPr>
        <w:keepNext/>
        <w:keepLines/>
        <w:spacing w:before="288" w:after="192" w:line="276" w:lineRule="exact"/>
        <w:ind w:left="0" w:firstLine="0"/>
        <w:jc w:val="left"/>
      </w:pPr>
      <w:r>
        <w:rPr>
          <w:b/>
          <w:bCs/>
        </w:rPr>
        <w:t xml:space="preserve">D.</w:t>
      </w:r>
      <w:r>
        <w:rPr>
          <w:b/>
          <w:bCs/>
        </w:rPr>
        <w:t xml:space="preserve"> </w:t>
      </w:r>
      <w:r>
        <w:rPr>
          <w:b/>
          <w:bCs/>
        </w:rPr>
        <w:t xml:space="preserve">Defendants</w:t>
      </w:r>
      <w:r>
        <w:rPr>
          <w:b/>
          <w:bCs/>
        </w:rPr>
        <w:t xml:space="preserve"> </w:t>
      </w:r>
      <w:r>
        <w:rPr>
          <w:b/>
          <w:bCs/>
        </w:rPr>
        <w:t xml:space="preserve">took</w:t>
      </w:r>
      <w:r>
        <w:rPr>
          <w:b/>
          <w:bCs/>
        </w:rPr>
        <w:t xml:space="preserve"> </w:t>
      </w:r>
      <w:r>
        <w:rPr>
          <w:b/>
          <w:bCs/>
        </w:rPr>
        <w:t xml:space="preserve">contradictory</w:t>
      </w:r>
      <w:r>
        <w:rPr>
          <w:b/>
          <w:bCs/>
        </w:rPr>
        <w:t xml:space="preserve"> </w:t>
      </w:r>
      <w:r>
        <w:rPr>
          <w:b/>
          <w:bCs/>
        </w:rPr>
        <w:t xml:space="preserve">positions</w:t>
      </w:r>
      <w:r>
        <w:rPr>
          <w:b/>
          <w:bCs/>
        </w:rPr>
        <w:t xml:space="preserve"> </w:t>
      </w:r>
      <w:r>
        <w:rPr>
          <w:b/>
          <w:bCs/>
        </w:rPr>
        <w:t xml:space="preserve">in</w:t>
      </w:r>
      <w:r>
        <w:rPr>
          <w:b/>
          <w:bCs/>
        </w:rPr>
        <w:t xml:space="preserve"> </w:t>
      </w:r>
      <w:r>
        <w:rPr>
          <w:b/>
          <w:bCs/>
        </w:rPr>
        <w:t xml:space="preserve">the</w:t>
      </w:r>
      <w:r>
        <w:rPr>
          <w:b/>
          <w:bCs/>
        </w:rPr>
        <w:t xml:space="preserve"> </w:t>
      </w:r>
      <w:r>
        <w:rPr>
          <w:b/>
          <w:bCs/>
        </w:rPr>
        <w:t xml:space="preserve">DAL</w:t>
      </w:r>
      <w:r>
        <w:rPr>
          <w:b/>
          <w:bCs/>
        </w:rPr>
        <w:t xml:space="preserve"> </w:t>
      </w:r>
      <w:r>
        <w:rPr>
          <w:b/>
          <w:bCs/>
        </w:rPr>
        <w:t xml:space="preserve">and</w:t>
      </w:r>
      <w:r>
        <w:rPr>
          <w:b/>
          <w:bCs/>
        </w:rPr>
        <w:t xml:space="preserve"> </w:t>
      </w:r>
      <w:r>
        <w:rPr>
          <w:b/>
          <w:bCs/>
        </w:rPr>
        <w:t xml:space="preserve">district</w:t>
      </w:r>
      <w:r>
        <w:rPr>
          <w:b/>
          <w:bCs/>
        </w:rPr>
        <w:t xml:space="preserve"> </w:t>
      </w:r>
      <w:r>
        <w:rPr>
          <w:b/>
          <w:bCs/>
        </w:rPr>
        <w:t xml:space="preserve">court.</w:t>
      </w:r>
    </w:p>
    <w:p>
      <w:pPr>
        <w:pStyle w:val="BodyText"/>
      </w:pPr>
      <w:r>
        <w:t xml:space="preserve">Defendants have spent the last two years shuffling this case between various forums. Defendants first removed the case to federal court, where they argued that the federal court had jurisdiction to hear Morgan’s claims. After the federal court remanded the case back to the district court, Defendants moved to recuse the judge to which this case was first assigned because that judge had a pre-existing relationship with Blair Boutte, the principal of Defendant Blair’s Bail Bonds.</w:t>
      </w:r>
      <w:r>
        <w:t xml:space="preserve"> </w:t>
      </w:r>
      <w:r>
        <w:rPr>
          <w:i/>
          <w:iCs/>
        </w:rPr>
        <w:t xml:space="preserve">See</w:t>
      </w:r>
      <w:r>
        <w:t xml:space="preserve"> </w:t>
      </w:r>
      <w:r>
        <w:t xml:space="preserve">Order to Remand; Judge Bruno Recusal Order. After that judge granted the recusal motion, a second judge recused herself before this case was finally transferred to Judge Giarrusso.</w:t>
      </w:r>
    </w:p>
    <w:p>
      <w:pPr>
        <w:pStyle w:val="BodyText"/>
      </w:pPr>
      <w:r>
        <w:t xml:space="preserve">More than a year after Bankers let its deadlines to file a motion for reconsideration or interlocutory appeal in the DAL pass, Bankers filed peremptory exceptions of no cause of action and prematurity in this action. Invoking the primary jurisdiction doctrine in the district court, Bankers made the very arguments that it could have made to the DAL if it did not allow its briefing deadline to expire—namely, Bankers asserted that the DAL must “determine the validity of Directive 214 as issued, irrespective of and without reference to Act 54,” as a predicate to the district court’s resolution of Morgan’s constitutional challenge to Act 54. Bankers Reply Br. in Support of Exceptions at 3 (emphasis omitted).</w:t>
      </w:r>
    </w:p>
    <w:p>
      <w:pPr>
        <w:pStyle w:val="BodyText"/>
      </w:pPr>
      <w:r>
        <w:t xml:space="preserve">Throughout this lawsuit, Bankers has taken contradictory positions in the DAL and the district court. It argued before the DAL that the DAL must enter summary judgment in its favor because Act 54 is existing Louisiana law. But in its exceptions in the district court, Bankers argued that it would be inappropriate for the DAL to consider Act 54 at all. A line-by-line comparison of Bankers’ opposing arguments in the DAL and the district court is outlined below:</w:t>
      </w:r>
    </w:p>
    <w:p>
      <w:pPr>
        <w:pStyle w:val="BodyTextNote"/>
      </w:pPr>
      <w:r>
        <w:rPr>
          <w:b/>
          <w:bCs/>
        </w:rPr>
        <w:t xml:space="preserve">The DAL’s consideration of Act 54</w:t>
      </w:r>
      <w:r>
        <w:rPr>
          <w:rStyle w:val="FootnoteReference"/>
        </w:rPr>
        <w:footnoteReference w:id="14"/>
      </w:r>
    </w:p>
    <w:p>
      <w:pPr>
        <w:pStyle w:val="BodyText"/>
      </w:pPr>
      <w:r>
        <w:rPr>
          <w:b/>
          <w:bCs/>
        </w:rPr>
        <w:t xml:space="preserve">Argument before the DAL</w:t>
      </w:r>
    </w:p>
    <w:p>
      <w:pPr>
        <w:pStyle w:val="XdQuoteOnly"/>
      </w:pPr>
      <w:r>
        <w:t xml:space="preserve">“The Court should proceed and must apply existing Louisiana law. It is presumed that the Legislature acts within its constitutional authority in enacting legislation, and courts must construe a statute so as to preserve its constitutionality when it is reasonable to do so. Therefore, unless and until a Court of competent jurisdiction declares Act 54 unconstitutional, this Court must apply La. R.S. 22:1443 as amended by Act 54 [and enter summary judgment in Bankers favor].”</w:t>
      </w:r>
    </w:p>
    <w:p>
      <w:pPr>
        <w:pStyle w:val="BodyText"/>
      </w:pPr>
      <w:r>
        <w:rPr>
          <w:b/>
          <w:bCs/>
        </w:rPr>
        <w:t xml:space="preserve">Argument in the district court</w:t>
      </w:r>
    </w:p>
    <w:p>
      <w:pPr>
        <w:pStyle w:val="XdQuoteOnly"/>
      </w:pPr>
      <w:r>
        <w:t xml:space="preserve">“By its Exceptions, Bankers does not request, and does not believe at this stage of the proceedings it would be appropriate or necessary for the DAL to consider Act 54 at all in determining the validity of Directive 214. Rather, the DAL should proceed to determine the validity of Directive 214 as issued, irrespective of and without reference to Act 54.”</w:t>
      </w:r>
    </w:p>
    <w:p>
      <w:pPr>
        <w:pStyle w:val="BodyText"/>
      </w:pPr>
      <w:r>
        <w:t xml:space="preserve">Before the DAL, Bankers also argued that the Commissioner did not have authority to interpret the Insurance Code—only to enforce it. But, in the district court, Bankers argued that the Commissioner has the exclusive authority to do so:</w:t>
      </w:r>
    </w:p>
    <w:p>
      <w:pPr>
        <w:pStyle w:val="BodyTextNote"/>
      </w:pPr>
      <w:r>
        <w:rPr>
          <w:b/>
          <w:bCs/>
        </w:rPr>
        <w:t xml:space="preserve">Commissioner’s ability to interpret the Insurance Code</w:t>
      </w:r>
      <w:r>
        <w:rPr>
          <w:rStyle w:val="FootnoteReference"/>
        </w:rPr>
        <w:footnoteReference w:id="15"/>
      </w:r>
    </w:p>
    <w:p>
      <w:pPr>
        <w:pStyle w:val="BodyText"/>
      </w:pPr>
      <w:r>
        <w:rPr>
          <w:b/>
          <w:bCs/>
        </w:rPr>
        <w:t xml:space="preserve">Argument before the DAL</w:t>
      </w:r>
    </w:p>
    <w:p>
      <w:pPr>
        <w:pStyle w:val="XdQuoteOnly"/>
      </w:pPr>
      <w:r>
        <w:t xml:space="preserve">“The Insurance Code, however, vests exclusively with the legislature the authority to determine what may be charged as ‘premium.’ Thus, while the Commissioner must ‘enforce’ provisions of the Insurance Code, including what is being charged to consumers as premiums, the Commissioner has no authority to set the rate for or say what is ‘premium.’ In Directive 214 the Commissioner performed a quasi-judicial role in interpreting § 22:1443 and § 22:855 of the Insurance Code, for the purposes of enforcing it.”</w:t>
      </w:r>
    </w:p>
    <w:p>
      <w:pPr>
        <w:pStyle w:val="BodyText"/>
      </w:pPr>
      <w:r>
        <w:rPr>
          <w:b/>
          <w:bCs/>
        </w:rPr>
        <w:t xml:space="preserve">Argument in the district court</w:t>
      </w:r>
    </w:p>
    <w:p>
      <w:pPr>
        <w:pStyle w:val="XdQuoteOnly"/>
      </w:pPr>
      <w:r>
        <w:t xml:space="preserve">“Louisiana’s declaratory judgment articles do not provide Mr. Morgan a private right of action to seek an ‘interpretation of’ a statute the administration and enforcement of which is vested solely with an administrative agency of the state. The interpretation ⁠. ⁠. ⁠. of the Insurance Code lies in the first instance within the exclusive purview of the Commissioner ⁠. ⁠. ⁠. ⁠.”</w:t>
      </w:r>
    </w:p>
    <w:p>
      <w:pPr>
        <w:pStyle w:val="BodyText"/>
      </w:pPr>
      <w:r>
        <w:t xml:space="preserve">Morgan argued in its opposition to the exceptions that Act 54’s constitutionality does not require the DAL to first determine the Directive’s validity and that the constitutionality of Act 54 is the threshold question, as no party disputes that the Directive is invalid if Act 54 is constitutional.</w:t>
      </w:r>
    </w:p>
    <w:p>
      <w:pPr>
        <w:pStyle w:val="BodyTextNote"/>
      </w:pPr>
      <w:r>
        <w:t xml:space="preserve">The district court took Bankers’ exceptions under advisement, stating that “[t]his is a little bit more challenging than some things I normally [] have on my docket.” Bankers’ Exceptions Tr. 30:32–31:2. Six weeks later, the district court granted Bankers’ exceptions, dismissed Morgan’s claim seeking a declaratory judgment interpreting the pre-Act 54 statutory regime (claim one)</w:t>
      </w:r>
      <w:r>
        <w:rPr>
          <w:rStyle w:val="FootnoteReference"/>
        </w:rPr>
        <w:footnoteReference w:id="16"/>
      </w:r>
      <w:r>
        <w:t xml:space="preserve"> </w:t>
      </w:r>
      <w:r>
        <w:t xml:space="preserve">and stayed his claims challenging the constitutionality of Act 54 (claims two through four). Judgment at 2. The district court’s reasons for granting a stay included only a single sentence: “Determining the validity of Directive 214 is a necessary predicate to any constitutional challenge to Act 54.” The court offered no explanation why it believed that to be true. Trial Ct.’s Written Reasons for Judgment.</w:t>
      </w:r>
    </w:p>
    <w:p>
      <w:pPr>
        <w:pStyle w:val="BodyTextNote"/>
      </w:pPr>
      <w:r>
        <w:t xml:space="preserve">Morgan filed a supervisory writ application to the court of appeal, which the court denied without reasons on June 8, 2021. Both the DAL and district court proceedings remain stayed.</w:t>
      </w:r>
      <w:r>
        <w:rPr>
          <w:rStyle w:val="FootnoteReference"/>
        </w:rPr>
        <w:footnoteReference w:id="17"/>
      </w:r>
    </w:p>
    <w:p>
      <w:pPr>
        <w:keepNext/>
        <w:keepLines/>
        <w:spacing w:before="288" w:after="240" w:line="276" w:lineRule="exact"/>
        <w:ind w:left="0" w:firstLine="0"/>
        <w:jc w:val="center"/>
      </w:pPr>
      <w:r>
        <w:rPr>
          <w:b/>
          <w:bCs/>
        </w:rPr>
        <w:t xml:space="preserve">III.</w:t>
      </w:r>
      <w:r>
        <w:rPr>
          <w:b/>
          <w:bCs/>
        </w:rPr>
        <w:t xml:space="preserve"> </w:t>
      </w:r>
      <w:r>
        <w:rPr>
          <w:b/>
          <w:bCs/>
        </w:rPr>
        <w:t xml:space="preserve">ASSIGNMENTS</w:t>
      </w:r>
      <w:r>
        <w:rPr>
          <w:b/>
          <w:bCs/>
        </w:rPr>
        <w:t xml:space="preserve"> </w:t>
      </w:r>
      <w:r>
        <w:rPr>
          <w:b/>
          <w:bCs/>
        </w:rPr>
        <w:t xml:space="preserve">OF</w:t>
      </w:r>
      <w:r>
        <w:rPr>
          <w:b/>
          <w:bCs/>
        </w:rPr>
        <w:t xml:space="preserve"> </w:t>
      </w:r>
      <w:r>
        <w:rPr>
          <w:b/>
          <w:bCs/>
        </w:rPr>
        <w:t xml:space="preserve">ERROR</w:t>
      </w:r>
    </w:p>
    <w:p>
      <w:pPr>
        <w:pStyle w:val="BodyText"/>
      </w:pPr>
      <w:r>
        <w:t xml:space="preserve">1. A court need not refer an issue to an administrative agency under the primary jurisdiction doctrine where the dispute is purely a legal one and does not involve an agency’s factfinding prowess. Did the court of appeal err in affirming the district court’s decision to stay Morgan’s constitutional claims where (1) the Commissioner and the DAL previously stayed the administrative proceedings until the state courts decide whether Act 54 is unconstitutional; (2) the dispute is strictly a legal one over Act 54’s constitutionality and the construction of two statutes in the Insurance Code; and (3) those legal disputes are within the district court’s core competencies?</w:t>
      </w:r>
    </w:p>
    <w:p>
      <w:pPr>
        <w:pStyle w:val="BodyText"/>
      </w:pPr>
      <w:r>
        <w:t xml:space="preserve">2. Morgan alleges that Act 54 is an unconstitutional local and special law. Did the court of appeal err in affirming the district court’s decision to stay Morgan’s second and third claims, where the district court can evaluate Act 54 on its face to determine whether Act 54 is an unconstitutional local and special law under this Court’s two-step process in</w:t>
      </w:r>
      <w:r>
        <w:t xml:space="preserve"> </w:t>
      </w:r>
      <w:r>
        <w:rPr>
          <w:i/>
          <w:iCs/>
        </w:rPr>
        <w:t xml:space="preserve">Kimball</w:t>
      </w:r>
      <w:r>
        <w:rPr>
          <w:i/>
          <w:iCs/>
        </w:rPr>
        <w:t xml:space="preserve"> </w:t>
      </w:r>
      <w:r>
        <w:rPr>
          <w:i/>
          <w:iCs/>
        </w:rPr>
        <w:t xml:space="preserve">v. Allstate Ins. Co.</w:t>
      </w:r>
      <w:r>
        <w:t xml:space="preserve">, 97</w:t>
      </w:r>
      <w:r>
        <w:noBreakHyphen/>
      </w:r>
      <w:r>
        <w:t xml:space="preserve">2885, 97</w:t>
      </w:r>
      <w:r>
        <w:noBreakHyphen/>
      </w:r>
      <w:r>
        <w:t xml:space="preserve">2956 (La. 4/14/98), 712 So. 2d 46?</w:t>
      </w:r>
    </w:p>
    <w:p>
      <w:pPr>
        <w:pStyle w:val="BodyText"/>
      </w:pPr>
      <w:r>
        <w:t xml:space="preserve">3. Due process prohibits the legislature from eliminating a remedy after a person’s right to pursue a remedy has already “vested.” Rights vest when a plaintiff had a right to pursue a remedy before the law was enacted, which happened here when Morgan signed a bail bond contract and paid excess premium. Did the court of appeal err in affirming the district court’s decision to stay Morgan’s constitutional claims to allow the DAL to first determine the Directive’s validity because it believed that rights only vest if a court or administrative agency enters a final judgment?</w:t>
      </w:r>
    </w:p>
    <w:p>
      <w:pPr>
        <w:pStyle w:val="BodyText"/>
      </w:pPr>
      <w:r>
        <w:t xml:space="preserve">4. A Directive’s validity must be evaluated based on all applicable law including subsequently enacted law that retroactively amends the statutes upon which the Directive is based. Did the court of appeal err in affirming the district court’s decision to stay Morgan’s constitutional claims and to either (1) invalidate the Directive based on Act 54 because it believed that Morgan must exhaust his administrative remedies before challenging Act 54’s constitutionality; or (2) because it believed that the DAL could disregard the passage of Act 54 as if it was never enacted and answer questions that became moot following Act 54’s enactment?</w:t>
      </w:r>
    </w:p>
    <w:p>
      <w:pPr>
        <w:keepNext/>
        <w:keepLines/>
        <w:spacing w:before="288" w:after="240" w:line="276" w:lineRule="exact"/>
        <w:ind w:left="0" w:firstLine="0"/>
        <w:jc w:val="center"/>
      </w:pPr>
      <w:r>
        <w:rPr>
          <w:b/>
          <w:bCs/>
        </w:rPr>
        <w:t xml:space="preserve">IV.</w:t>
      </w:r>
      <w:r>
        <w:rPr>
          <w:b/>
          <w:bCs/>
        </w:rPr>
        <w:t xml:space="preserve"> </w:t>
      </w:r>
      <w:r>
        <w:rPr>
          <w:b/>
          <w:bCs/>
        </w:rPr>
        <w:t xml:space="preserve">SUMMARY</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ARGUMENT</w:t>
      </w:r>
    </w:p>
    <w:p>
      <w:pPr>
        <w:pStyle w:val="BodyText"/>
      </w:pPr>
      <w:r>
        <w:t xml:space="preserve">The Commissioner issued Directive 214 in 2019 after discovering that Defendants overcharged thousands of New Orleanians for a bail bond. The Directive orders Defendants to comply with the law and to refund the families that Defendants overcharged. Defendants subsequently challenged the Directive in the DAL and lobbied the legislature to pass Act 54 to overturn the Directive and to eliminate any compensation to New Orleans families. Defendants then argued that the DAL must invalidate the Directive following Act 54’s passage because the new law rendered the Directive unlawful and “of no effect.”</w:t>
      </w:r>
    </w:p>
    <w:p>
      <w:pPr>
        <w:pStyle w:val="BodyText"/>
      </w:pPr>
      <w:r>
        <w:t xml:space="preserve">Morgan did not dispute that Act 54 invalidated the Directive but asked the DAL to stay the administrative proceedings to allow him to challenge the constitutionality of Act 54 in state court. The DAL agreed to issue a stay until the state courts decided the threshold constitutional questions that everyone agreed the DAL lacked jurisdiction to decide.</w:t>
      </w:r>
    </w:p>
    <w:p>
      <w:pPr>
        <w:pStyle w:val="BodyText"/>
      </w:pPr>
      <w:r>
        <w:t xml:space="preserve">Defendants then changed their position in the district court to avoid a ruling on Act 54’s constitutionality. They argued for the first time that the DAL should ignore the passage of Act 54 and to decide (based on a version of the statutes that no longer exists) whether the Commissioner’s actions were lawful—all of which has no discernable purpose other than to delay the adjudication of Act 54’s constitutionality, a question that the DAL agreed the state courts must first decide.</w:t>
      </w:r>
    </w:p>
    <w:p>
      <w:pPr>
        <w:pStyle w:val="BodyText"/>
      </w:pPr>
      <w:r>
        <w:t xml:space="preserve">Nevertheless, the district court agreed with Defendants, stayed Morgan’s constitutional claims, and referred the Directive to the DAL to determine its validity. The district court did not explain what it expected the DAL to do. There are two options: (1) the DAL could interpret the validity of the Directive by ignoring Act 54, which would involve deciding moot questions; or (2) invalidate the Directive based on Act 54. Both actions would conflict with this Court’s precedent.</w:t>
      </w:r>
    </w:p>
    <w:p>
      <w:pPr>
        <w:pStyle w:val="BodyText"/>
      </w:pPr>
      <w:r>
        <w:t xml:space="preserve">Defendants argued in the district court that the DAL should ignore Act 54 and evaluate the Directive’s legality as if Act 54 did not exist. But it would be a prohibited hypothetical exercise for the DAL to ignore Act 54 because Act 54 retroactively amended the laws upon which the Commissioner based the Directive, exempted Defendants from complying with the law, and eliminated any remedies available to Morgan for being overcharged. The interpretation of the pre-Act 54 statutory regime is justiciable only if the district court first finds that Act 54 violates the Louisiana Constitution.</w:t>
      </w:r>
    </w:p>
    <w:p>
      <w:pPr>
        <w:pStyle w:val="BodyText"/>
      </w:pPr>
      <w:r>
        <w:t xml:space="preserve">Alternatively, the DAL could invalidate the Directive based on Act 54. However, requesting the DAL to invalidate the Directive based on Act 54—without first adjudicating Act 54’s constitutionality—would violate this Court’s holding in</w:t>
      </w:r>
      <w:r>
        <w:t xml:space="preserve"> </w:t>
      </w:r>
      <w:r>
        <w:rPr>
          <w:i/>
          <w:iCs/>
        </w:rPr>
        <w:t xml:space="preserve">La.</w:t>
      </w:r>
      <w:r>
        <w:rPr>
          <w:i/>
          <w:iCs/>
        </w:rPr>
        <w:t xml:space="preserve"> </w:t>
      </w:r>
      <w:r>
        <w:rPr>
          <w:i/>
          <w:iCs/>
        </w:rPr>
        <w:t xml:space="preserve">Paddlewheels v. La. Riverboat Gaming Comm’n</w:t>
      </w:r>
      <w:r>
        <w:t xml:space="preserve">, 94</w:t>
      </w:r>
      <w:r>
        <w:noBreakHyphen/>
      </w:r>
      <w:r>
        <w:t xml:space="preserve">2015 (La. 11/30/94), 646 So. 2d 885, 888 n.4, that a plaintiff “did not have to exhaust any administrative remedy in order to challenge the constitutionality of a statute under which it was adversely affected ⁠. ⁠. ⁠. ⁠.” Bankers, too, now argues that invalidating the Directive based on Act 54 would not be “appropriate” at this stage given Morgan’s challenge to Act 54’s constitutionality. Bankers’ Reply in Support of Exceptions at 3.</w:t>
      </w:r>
    </w:p>
    <w:p>
      <w:pPr>
        <w:pStyle w:val="BodyText"/>
      </w:pPr>
      <w:r>
        <w:t xml:space="preserve">The district court’s reasons for its judgment included only a single sentence: “Determining the validity of Directive 214 is a necessary predicate to any constitutional challenge to Act 54.” Trial Court Written Reasons for Judgment. That sentence was the sum of the district court’s analysis; it offered no explanation why it believed this to be true.</w:t>
      </w:r>
    </w:p>
    <w:p>
      <w:pPr>
        <w:pStyle w:val="BodyText"/>
      </w:pPr>
      <w:r>
        <w:t xml:space="preserve">None of Morgan’s constitutional claims require the DAL to predetermine the Directive’s validity. Morgan alleges in his second claim that Act 54 is an unconstitutional local law because it is limited to New Orleans and cannot be extended to other localities.</w:t>
      </w:r>
      <w:r>
        <w:t xml:space="preserve"> </w:t>
      </w:r>
      <w:r>
        <w:rPr>
          <w:i/>
          <w:iCs/>
        </w:rPr>
        <w:t xml:space="preserve">See</w:t>
      </w:r>
      <w:r>
        <w:t xml:space="preserve"> </w:t>
      </w:r>
      <w:r>
        <w:t xml:space="preserve">Pet., Ex. A. ¶¶ 68–⁠72. Morgan alleges in his third claim that Act 54 is an unconstitutional special law because it immunizes Defendants from civil and administrative liability.</w:t>
      </w:r>
      <w:r>
        <w:t xml:space="preserve"> </w:t>
      </w:r>
      <w:r>
        <w:rPr>
          <w:i/>
          <w:iCs/>
        </w:rPr>
        <w:t xml:space="preserve">See id.</w:t>
      </w:r>
      <w:r>
        <w:t xml:space="preserve"> </w:t>
      </w:r>
      <w:r>
        <w:t xml:space="preserve">¶¶ 73–⁠75. There is no reason why the district court cannot engage in a simple facial analysis of Act 54’s text to evaluate those claims. No one—including Defendants, the district court, or the court of appeal—offered one.</w:t>
      </w:r>
    </w:p>
    <w:p>
      <w:pPr>
        <w:pStyle w:val="BodyText"/>
      </w:pPr>
      <w:r>
        <w:t xml:space="preserve">Morgan alleges in his fourth claim that Act 54 violates due process because Act 54 divested Morgan of his “vested” rights by eliminating his contract and administrative remedies under state law after his ability to pursue those remedies had already vested.</w:t>
      </w:r>
      <w:r>
        <w:t xml:space="preserve"> </w:t>
      </w:r>
      <w:r>
        <w:rPr>
          <w:i/>
          <w:iCs/>
        </w:rPr>
        <w:t xml:space="preserve">See id.</w:t>
      </w:r>
      <w:r>
        <w:t xml:space="preserve"> </w:t>
      </w:r>
      <w:r>
        <w:t xml:space="preserve">¶¶ 76–⁠80. Bankers argued that this claim was premature because Morgan’s rights vest, if at all, only if the DAL enters a final judgment affirming the Directive’s validity. Bankers’ argument conflicts with this Court’s decision in</w:t>
      </w:r>
      <w:r>
        <w:t xml:space="preserve"> </w:t>
      </w:r>
      <w:r>
        <w:rPr>
          <w:i/>
          <w:iCs/>
        </w:rPr>
        <w:t xml:space="preserve">Bourgeois</w:t>
      </w:r>
      <w:r>
        <w:rPr>
          <w:i/>
          <w:iCs/>
        </w:rPr>
        <w:t xml:space="preserve"> </w:t>
      </w:r>
      <w:r>
        <w:rPr>
          <w:i/>
          <w:iCs/>
        </w:rPr>
        <w:t xml:space="preserve">II</w:t>
      </w:r>
      <w:r>
        <w:t xml:space="preserve">, 783 So. 2d at 1251: rights do not vest only if there is a final judgment. A person’s rights vest when a person can pursue civil or administrative remedies. Morgan’s ability to pursue those remedies vested when he signed a bail bond contract that required him to pay a premium in excess of what state law required.</w:t>
      </w:r>
    </w:p>
    <w:p>
      <w:pPr>
        <w:pStyle w:val="BodyText"/>
      </w:pPr>
      <w:r>
        <w:t xml:space="preserve">More than two years have passed since the Commissioner issued the Directive intended to compensate New Orleans families. They deserve an answer about whether the legislature violated the Louisiana Constitution when it passed a law to prevent them from receiving that compensation and to immunize the bail bond industry from liability. This Court should reverse the district court and order it to lift its stay and to adjudicate Morgan’s constitutional claims before the DAL resolves the Directive’s validity. The constitutionality of Act 54 is the threshold question, the DAL does not have jurisdiction to resolve that question, and there is nothing within the DAL’s special expertise that it must decide before the district court can adjudicate Morgan’s constitutional claims.</w:t>
      </w:r>
    </w:p>
    <w:p>
      <w:pPr>
        <w:keepNext/>
        <w:keepLines/>
        <w:spacing w:before="288" w:after="240" w:line="276" w:lineRule="exact"/>
        <w:ind w:left="0" w:firstLine="0"/>
        <w:jc w:val="center"/>
      </w:pPr>
      <w:r>
        <w:rPr>
          <w:b/>
          <w:bCs/>
        </w:rPr>
        <w:t xml:space="preserve">V.</w:t>
      </w:r>
      <w:r>
        <w:rPr>
          <w:b/>
          <w:bCs/>
        </w:rPr>
        <w:t xml:space="preserve"> </w:t>
      </w:r>
      <w:r>
        <w:rPr>
          <w:b/>
          <w:bCs/>
        </w:rPr>
        <w:t xml:space="preserve">ARGUMENT</w:t>
      </w:r>
    </w:p>
    <w:p>
      <w:pPr>
        <w:keepNext/>
        <w:keepLines/>
        <w:spacing w:before="288" w:after="192" w:line="276" w:lineRule="exact"/>
        <w:ind w:left="0" w:firstLine="0"/>
        <w:jc w:val="left"/>
      </w:pPr>
      <w:r>
        <w:rPr>
          <w:b/>
          <w:bCs/>
        </w:rPr>
        <w:t xml:space="preserve">A.</w:t>
      </w:r>
      <w:r>
        <w:rPr>
          <w:b/>
          <w:bCs/>
        </w:rPr>
        <w:t xml:space="preserve"> </w:t>
      </w:r>
      <w:r>
        <w:rPr>
          <w:b/>
          <w:bCs/>
        </w:rPr>
        <w:t xml:space="preserve">The</w:t>
      </w:r>
      <w:r>
        <w:rPr>
          <w:b/>
          <w:bCs/>
        </w:rPr>
        <w:t xml:space="preserve"> </w:t>
      </w:r>
      <w:r>
        <w:rPr>
          <w:b/>
          <w:bCs/>
        </w:rPr>
        <w:t xml:space="preserve">district</w:t>
      </w:r>
      <w:r>
        <w:rPr>
          <w:b/>
          <w:bCs/>
        </w:rPr>
        <w:t xml:space="preserve"> </w:t>
      </w:r>
      <w:r>
        <w:rPr>
          <w:b/>
          <w:bCs/>
        </w:rPr>
        <w:t xml:space="preserve">court</w:t>
      </w:r>
      <w:r>
        <w:rPr>
          <w:b/>
          <w:bCs/>
        </w:rPr>
        <w:t xml:space="preserve"> </w:t>
      </w:r>
      <w:r>
        <w:rPr>
          <w:b/>
          <w:bCs/>
        </w:rPr>
        <w:t xml:space="preserve">abused</w:t>
      </w:r>
      <w:r>
        <w:rPr>
          <w:b/>
          <w:bCs/>
        </w:rPr>
        <w:t xml:space="preserve"> </w:t>
      </w:r>
      <w:r>
        <w:rPr>
          <w:b/>
          <w:bCs/>
        </w:rPr>
        <w:t xml:space="preserve">its</w:t>
      </w:r>
      <w:r>
        <w:rPr>
          <w:b/>
          <w:bCs/>
        </w:rPr>
        <w:t xml:space="preserve"> </w:t>
      </w:r>
      <w:r>
        <w:rPr>
          <w:b/>
          <w:bCs/>
        </w:rPr>
        <w:t xml:space="preserve">discretion</w:t>
      </w:r>
      <w:r>
        <w:rPr>
          <w:b/>
          <w:bCs/>
        </w:rPr>
        <w:t xml:space="preserve"> </w:t>
      </w:r>
      <w:r>
        <w:rPr>
          <w:b/>
          <w:bCs/>
        </w:rPr>
        <w:t xml:space="preserve">in</w:t>
      </w:r>
      <w:r>
        <w:rPr>
          <w:b/>
          <w:bCs/>
        </w:rPr>
        <w:t xml:space="preserve"> </w:t>
      </w:r>
      <w:r>
        <w:rPr>
          <w:b/>
          <w:bCs/>
        </w:rPr>
        <w:t xml:space="preserve">referring</w:t>
      </w:r>
      <w:r>
        <w:rPr>
          <w:b/>
          <w:bCs/>
        </w:rPr>
        <w:t xml:space="preserve"> </w:t>
      </w:r>
      <w:r>
        <w:rPr>
          <w:b/>
          <w:bCs/>
        </w:rPr>
        <w:t xml:space="preserve">this</w:t>
      </w:r>
      <w:r>
        <w:rPr>
          <w:b/>
          <w:bCs/>
        </w:rPr>
        <w:t xml:space="preserve"> </w:t>
      </w:r>
      <w:r>
        <w:rPr>
          <w:b/>
          <w:bCs/>
        </w:rPr>
        <w:t xml:space="preserve">case</w:t>
      </w:r>
      <w:r>
        <w:rPr>
          <w:b/>
          <w:bCs/>
        </w:rPr>
        <w:t xml:space="preserve"> </w:t>
      </w:r>
      <w:r>
        <w:rPr>
          <w:b/>
          <w:bCs/>
        </w:rPr>
        <w:t xml:space="preserve">to</w:t>
      </w:r>
      <w:r>
        <w:rPr>
          <w:b/>
          <w:bCs/>
        </w:rPr>
        <w:t xml:space="preserve"> </w:t>
      </w:r>
      <w:r>
        <w:rPr>
          <w:b/>
          <w:bCs/>
        </w:rPr>
        <w:t xml:space="preserve">the</w:t>
      </w:r>
      <w:r>
        <w:rPr>
          <w:b/>
          <w:bCs/>
        </w:rPr>
        <w:t xml:space="preserve"> </w:t>
      </w:r>
      <w:r>
        <w:rPr>
          <w:b/>
          <w:bCs/>
        </w:rPr>
        <w:t xml:space="preserve">DAL</w:t>
      </w:r>
      <w:r>
        <w:rPr>
          <w:b/>
          <w:bCs/>
        </w:rPr>
        <w:t xml:space="preserve"> </w:t>
      </w:r>
      <w:r>
        <w:rPr>
          <w:b/>
          <w:bCs/>
        </w:rPr>
        <w:t xml:space="preserve">under</w:t>
      </w:r>
      <w:r>
        <w:rPr>
          <w:b/>
          <w:bCs/>
        </w:rPr>
        <w:t xml:space="preserve"> </w:t>
      </w:r>
      <w:r>
        <w:rPr>
          <w:b/>
          <w:bCs/>
        </w:rPr>
        <w:t xml:space="preserve">the</w:t>
      </w:r>
      <w:r>
        <w:rPr>
          <w:b/>
          <w:bCs/>
        </w:rPr>
        <w:t xml:space="preserve"> </w:t>
      </w:r>
      <w:r>
        <w:rPr>
          <w:b/>
          <w:bCs/>
        </w:rPr>
        <w:t xml:space="preserve">primary</w:t>
      </w:r>
      <w:r>
        <w:rPr>
          <w:b/>
          <w:bCs/>
        </w:rPr>
        <w:t xml:space="preserve"> </w:t>
      </w:r>
      <w:r>
        <w:rPr>
          <w:b/>
          <w:bCs/>
        </w:rPr>
        <w:t xml:space="preserve">jurisdiction</w:t>
      </w:r>
      <w:r>
        <w:rPr>
          <w:b/>
          <w:bCs/>
        </w:rPr>
        <w:t xml:space="preserve"> </w:t>
      </w:r>
      <w:r>
        <w:rPr>
          <w:b/>
          <w:bCs/>
        </w:rPr>
        <w:t xml:space="preserve">doctrine</w:t>
      </w:r>
      <w:r>
        <w:rPr>
          <w:b/>
          <w:bCs/>
        </w:rPr>
        <w:t xml:space="preserve"> </w:t>
      </w:r>
      <w:r>
        <w:rPr>
          <w:b/>
          <w:bCs/>
        </w:rPr>
        <w:t xml:space="preserve">when</w:t>
      </w:r>
      <w:r>
        <w:rPr>
          <w:b/>
          <w:bCs/>
        </w:rPr>
        <w:t xml:space="preserve"> </w:t>
      </w:r>
      <w:r>
        <w:rPr>
          <w:b/>
          <w:bCs/>
        </w:rPr>
        <w:t xml:space="preserve">this</w:t>
      </w:r>
      <w:r>
        <w:rPr>
          <w:b/>
          <w:bCs/>
        </w:rPr>
        <w:t xml:space="preserve"> </w:t>
      </w:r>
      <w:r>
        <w:rPr>
          <w:b/>
          <w:bCs/>
        </w:rPr>
        <w:t xml:space="preserve">dispute</w:t>
      </w:r>
      <w:r>
        <w:rPr>
          <w:b/>
          <w:bCs/>
        </w:rPr>
        <w:t xml:space="preserve"> </w:t>
      </w:r>
      <w:r>
        <w:rPr>
          <w:b/>
          <w:bCs/>
        </w:rPr>
        <w:t xml:space="preserve">involves</w:t>
      </w:r>
      <w:r>
        <w:rPr>
          <w:b/>
          <w:bCs/>
        </w:rPr>
        <w:t xml:space="preserve"> </w:t>
      </w:r>
      <w:r>
        <w:rPr>
          <w:b/>
          <w:bCs/>
        </w:rPr>
        <w:t xml:space="preserve">purely</w:t>
      </w:r>
      <w:r>
        <w:rPr>
          <w:b/>
          <w:bCs/>
        </w:rPr>
        <w:t xml:space="preserve"> </w:t>
      </w:r>
      <w:r>
        <w:rPr>
          <w:b/>
          <w:bCs/>
        </w:rPr>
        <w:t xml:space="preserve">legal</w:t>
      </w:r>
      <w:r>
        <w:rPr>
          <w:b/>
          <w:bCs/>
        </w:rPr>
        <w:t xml:space="preserve"> </w:t>
      </w:r>
      <w:r>
        <w:rPr>
          <w:b/>
          <w:bCs/>
        </w:rPr>
        <w:t xml:space="preserve">questions</w:t>
      </w:r>
      <w:r>
        <w:rPr>
          <w:b/>
          <w:bCs/>
        </w:rPr>
        <w:t xml:space="preserve"> </w:t>
      </w:r>
      <w:r>
        <w:rPr>
          <w:b/>
          <w:bCs/>
        </w:rPr>
        <w:t xml:space="preserve">within</w:t>
      </w:r>
      <w:r>
        <w:rPr>
          <w:b/>
          <w:bCs/>
        </w:rPr>
        <w:t xml:space="preserve"> </w:t>
      </w:r>
      <w:r>
        <w:rPr>
          <w:b/>
          <w:bCs/>
        </w:rPr>
        <w:t xml:space="preserve">the</w:t>
      </w:r>
      <w:r>
        <w:rPr>
          <w:b/>
          <w:bCs/>
        </w:rPr>
        <w:t xml:space="preserve"> </w:t>
      </w:r>
      <w:r>
        <w:rPr>
          <w:b/>
          <w:bCs/>
        </w:rPr>
        <w:t xml:space="preserve">district</w:t>
      </w:r>
      <w:r>
        <w:rPr>
          <w:b/>
          <w:bCs/>
        </w:rPr>
        <w:t xml:space="preserve"> </w:t>
      </w:r>
      <w:r>
        <w:rPr>
          <w:b/>
          <w:bCs/>
        </w:rPr>
        <w:t xml:space="preserve">court’s</w:t>
      </w:r>
      <w:r>
        <w:rPr>
          <w:b/>
          <w:bCs/>
        </w:rPr>
        <w:t xml:space="preserve"> </w:t>
      </w:r>
      <w:r>
        <w:rPr>
          <w:b/>
          <w:bCs/>
        </w:rPr>
        <w:t xml:space="preserve">expertise.</w:t>
      </w:r>
    </w:p>
    <w:p>
      <w:pPr>
        <w:pStyle w:val="BodyText"/>
      </w:pPr>
      <w:r>
        <w:t xml:space="preserve">No party disputes that the district court has jurisdiction to hear Morgan’s constitutional claims. That is because the determination about whether a statute is unconstitutional “is purely a judicial function.”</w:t>
      </w:r>
      <w:r>
        <w:t xml:space="preserve"> </w:t>
      </w:r>
      <w:r>
        <w:rPr>
          <w:i/>
          <w:iCs/>
        </w:rPr>
        <w:t xml:space="preserve">State</w:t>
      </w:r>
      <w:r>
        <w:rPr>
          <w:i/>
          <w:iCs/>
        </w:rPr>
        <w:t xml:space="preserve"> </w:t>
      </w:r>
      <w:r>
        <w:rPr>
          <w:i/>
          <w:iCs/>
        </w:rPr>
        <w:t xml:space="preserve">ex rel. Ward v. Bd. of Sup’rs of Elections, Par. of Rapides</w:t>
      </w:r>
      <w:r>
        <w:t xml:space="preserve">, 34314 (La. 3/22/37), 173 So. 726, 731. Because “administrative agencies lack the power to hold statutory provisions unconstitutional,”</w:t>
      </w:r>
      <w:r>
        <w:t xml:space="preserve"> </w:t>
      </w:r>
      <w:r>
        <w:rPr>
          <w:i/>
          <w:iCs/>
        </w:rPr>
        <w:t xml:space="preserve">Albe</w:t>
      </w:r>
      <w:r>
        <w:rPr>
          <w:i/>
          <w:iCs/>
        </w:rPr>
        <w:t xml:space="preserve"> </w:t>
      </w:r>
      <w:r>
        <w:rPr>
          <w:i/>
          <w:iCs/>
        </w:rPr>
        <w:t xml:space="preserve">v. La. Workers’ Comp. Corp.</w:t>
      </w:r>
      <w:r>
        <w:t xml:space="preserve">, 97</w:t>
      </w:r>
      <w:r>
        <w:noBreakHyphen/>
      </w:r>
      <w:r>
        <w:t xml:space="preserve">0581, 97</w:t>
      </w:r>
      <w:r>
        <w:noBreakHyphen/>
      </w:r>
      <w:r>
        <w:t xml:space="preserve">0014 (La. 10/21/97), 700 So. 2d 824, 827, everyone agrees that “challenges to a statute’s constitutionality must be raised first in the district court,”</w:t>
      </w:r>
      <w:r>
        <w:t xml:space="preserve"> </w:t>
      </w:r>
      <w:r>
        <w:rPr>
          <w:i/>
          <w:iCs/>
        </w:rPr>
        <w:t xml:space="preserve">Bd.</w:t>
      </w:r>
      <w:r>
        <w:rPr>
          <w:i/>
          <w:iCs/>
        </w:rPr>
        <w:t xml:space="preserve"> </w:t>
      </w:r>
      <w:r>
        <w:rPr>
          <w:i/>
          <w:iCs/>
        </w:rPr>
        <w:t xml:space="preserve">of Ethics In re Cartesian Co., Inc.</w:t>
      </w:r>
      <w:r>
        <w:t xml:space="preserve">, 16</w:t>
      </w:r>
      <w:r>
        <w:noBreakHyphen/>
      </w:r>
      <w:r>
        <w:t xml:space="preserve">1556 (La. App. 1st Cir. 10/12/17), 233 So. 3d 9, 20. For that reason, Morgan properly filed his constitutional challenge to Act 54 in the Orleans Parish Civil District Court—the venue where he resides, where Blair’s operates, and where he signed his bail bond contract.</w:t>
      </w:r>
    </w:p>
    <w:p>
      <w:pPr>
        <w:pStyle w:val="BodyText"/>
      </w:pPr>
      <w:r>
        <w:t xml:space="preserve">Nevertheless, the court of appeal affirmed the district court’s decision staying Morgan’s constitutional claims under the primary jurisdiction doctrine after concluding that it could only evaluate Morgan’s constitutional claims if the DAL affirms the Directive’s validity.</w:t>
      </w:r>
    </w:p>
    <w:p>
      <w:pPr>
        <w:pStyle w:val="BodyText"/>
      </w:pPr>
      <w:r>
        <w:t xml:space="preserve">The primary jurisdiction doctrine applies only when “(1) the court has original jurisdiction over the claim before it; (2) the adjudication of that claim requires the resolution of predicate issues or the making of preliminary findings; and (3) the legislature has established a regulatory scheme whereby it has committed the resolution of those issues or the making of those findings to an administrative body.”</w:t>
      </w:r>
      <w:r>
        <w:t xml:space="preserve"> </w:t>
      </w:r>
      <w:r>
        <w:rPr>
          <w:i/>
          <w:iCs/>
        </w:rPr>
        <w:t xml:space="preserve">Apalachicola</w:t>
      </w:r>
      <w:r>
        <w:rPr>
          <w:i/>
          <w:iCs/>
        </w:rPr>
        <w:t xml:space="preserve"> </w:t>
      </w:r>
      <w:r>
        <w:rPr>
          <w:i/>
          <w:iCs/>
        </w:rPr>
        <w:t xml:space="preserve">Riverkeeper</w:t>
      </w:r>
      <w:r>
        <w:t xml:space="preserve">, 954 F. Supp. 2d at 460 n.25 (quotation marks and citation omitted). This Court has provided limited guidance about what factors courts should consider before invoking the primary jurisdiction doctrine. However, federal courts have explained that “courts need not refer an issue to an agency when the issue is strictly a legal one ⁠. ⁠. ⁠. ⁠.”</w:t>
      </w:r>
      <w:r>
        <w:t xml:space="preserve"> </w:t>
      </w:r>
      <w:r>
        <w:rPr>
          <w:i/>
          <w:iCs/>
        </w:rPr>
        <w:t xml:space="preserve">Occidental</w:t>
      </w:r>
      <w:r>
        <w:rPr>
          <w:i/>
          <w:iCs/>
        </w:rPr>
        <w:t xml:space="preserve"> </w:t>
      </w:r>
      <w:r>
        <w:rPr>
          <w:i/>
          <w:iCs/>
        </w:rPr>
        <w:t xml:space="preserve">Chem. Corp. v. La. Pub. Serv. Comm’n</w:t>
      </w:r>
      <w:r>
        <w:t xml:space="preserve">, 810 F.3d 299, 309 (5th Cir. 2016).</w:t>
      </w:r>
    </w:p>
    <w:p>
      <w:pPr>
        <w:pStyle w:val="BodyTextNote"/>
      </w:pPr>
      <w:r>
        <w:t xml:space="preserve">Louisiana courts have long followed this principle. This Court previously held that plaintiffs are not required “to exhaust any administrative remedy in order to challenge the constitutionality of a statute,”</w:t>
      </w:r>
      <w:r>
        <w:t xml:space="preserve"> </w:t>
      </w:r>
      <w:r>
        <w:rPr>
          <w:i/>
          <w:iCs/>
        </w:rPr>
        <w:t xml:space="preserve">Louisiana</w:t>
      </w:r>
      <w:r>
        <w:rPr>
          <w:i/>
          <w:iCs/>
        </w:rPr>
        <w:t xml:space="preserve"> </w:t>
      </w:r>
      <w:r>
        <w:rPr>
          <w:i/>
          <w:iCs/>
        </w:rPr>
        <w:t xml:space="preserve">Paddlewheels</w:t>
      </w:r>
      <w:r>
        <w:t xml:space="preserve">, 646 So. 2d at 889 n.4, and lower courts have interpreted various provisions of the Insurance Code without requesting the Commissioner to first interpret the Insurance Code.</w:t>
      </w:r>
      <w:r>
        <w:t xml:space="preserve"> </w:t>
      </w:r>
      <w:r>
        <w:rPr>
          <w:i/>
          <w:iCs/>
        </w:rPr>
        <w:t xml:space="preserve">See, e.g.</w:t>
      </w:r>
      <w:r>
        <w:t xml:space="preserve">,</w:t>
      </w:r>
      <w:r>
        <w:t xml:space="preserve"> </w:t>
      </w:r>
      <w:r>
        <w:rPr>
          <w:i/>
          <w:iCs/>
        </w:rPr>
        <w:t xml:space="preserve">La.</w:t>
      </w:r>
      <w:r>
        <w:rPr>
          <w:i/>
          <w:iCs/>
        </w:rPr>
        <w:t xml:space="preserve"> </w:t>
      </w:r>
      <w:r>
        <w:rPr>
          <w:i/>
          <w:iCs/>
        </w:rPr>
        <w:t xml:space="preserve">Workers’ Comp. Corp. v. La. Ins. Guar. Ass’n</w:t>
      </w:r>
      <w:r>
        <w:t xml:space="preserve">, 2008</w:t>
      </w:r>
      <w:r>
        <w:noBreakHyphen/>
      </w:r>
      <w:r>
        <w:t xml:space="preserve">0885 (La. App. 1st Cir. 5/13/09), 20 So. 3d 1047, 1055–59 (interpreting La.</w:t>
      </w:r>
      <w:r>
        <w:t xml:space="preserve"> </w:t>
      </w:r>
      <w:r>
        <w:t xml:space="preserve">Rev. Stat. § 23:1395(D));</w:t>
      </w:r>
      <w:r>
        <w:t xml:space="preserve"> </w:t>
      </w:r>
      <w:r>
        <w:rPr>
          <w:i/>
          <w:iCs/>
        </w:rPr>
        <w:t xml:space="preserve">Landry</w:t>
      </w:r>
      <w:r>
        <w:rPr>
          <w:i/>
          <w:iCs/>
        </w:rPr>
        <w:t xml:space="preserve"> </w:t>
      </w:r>
      <w:r>
        <w:rPr>
          <w:i/>
          <w:iCs/>
        </w:rPr>
        <w:t xml:space="preserve">v. La. Citizens Prop. Ins. Co.</w:t>
      </w:r>
      <w:r>
        <w:t xml:space="preserve">, 2007</w:t>
      </w:r>
      <w:r>
        <w:noBreakHyphen/>
      </w:r>
      <w:r>
        <w:t xml:space="preserve">1907, 07</w:t>
      </w:r>
      <w:r>
        <w:noBreakHyphen/>
      </w:r>
      <w:r>
        <w:t xml:space="preserve">1908 (La. 5/21/08), 983 So. 2d 66, 80–81 (interpreting La.</w:t>
      </w:r>
      <w:r>
        <w:t xml:space="preserve"> </w:t>
      </w:r>
      <w:r>
        <w:t xml:space="preserve">Rev. Stat. § 22:695);</w:t>
      </w:r>
      <w:r>
        <w:t xml:space="preserve"> </w:t>
      </w:r>
      <w:r>
        <w:rPr>
          <w:i/>
          <w:iCs/>
        </w:rPr>
        <w:t xml:space="preserve">Hopkins</w:t>
      </w:r>
      <w:r>
        <w:rPr>
          <w:i/>
          <w:iCs/>
        </w:rPr>
        <w:t xml:space="preserve"> </w:t>
      </w:r>
      <w:r>
        <w:rPr>
          <w:i/>
          <w:iCs/>
        </w:rPr>
        <w:t xml:space="preserve">v. Howard</w:t>
      </w:r>
      <w:r>
        <w:t xml:space="preserve">, 05</w:t>
      </w:r>
      <w:r>
        <w:noBreakHyphen/>
      </w:r>
      <w:r>
        <w:t xml:space="preserve">0732 (La. App. 4th Cir. 4/5/06), 930 So. 2d 999, 1004–05 (interpreting La.</w:t>
      </w:r>
      <w:r>
        <w:t xml:space="preserve"> </w:t>
      </w:r>
      <w:r>
        <w:t xml:space="preserve">Rev. Stat. § 22:1379(3)⁠(f));</w:t>
      </w:r>
      <w:r>
        <w:t xml:space="preserve"> </w:t>
      </w:r>
      <w:r>
        <w:rPr>
          <w:i/>
          <w:iCs/>
        </w:rPr>
        <w:t xml:space="preserve">Grubbs</w:t>
      </w:r>
      <w:r>
        <w:rPr>
          <w:i/>
          <w:iCs/>
        </w:rPr>
        <w:t xml:space="preserve"> </w:t>
      </w:r>
      <w:r>
        <w:rPr>
          <w:i/>
          <w:iCs/>
        </w:rPr>
        <w:t xml:space="preserve">v. Gulf Int’l Marine, Inc.</w:t>
      </w:r>
      <w:r>
        <w:t xml:space="preserve">, 93</w:t>
      </w:r>
      <w:r>
        <w:noBreakHyphen/>
      </w:r>
      <w:r>
        <w:t xml:space="preserve">0583 (La. 10/18/1993), 625 So. 2d 495, 498 (interpreting La.</w:t>
      </w:r>
      <w:r>
        <w:t xml:space="preserve"> </w:t>
      </w:r>
      <w:r>
        <w:t xml:space="preserve">Rev. Stat. § 22:6(13)⁠(e));</w:t>
      </w:r>
      <w:r>
        <w:t xml:space="preserve"> </w:t>
      </w:r>
      <w:r>
        <w:rPr>
          <w:i/>
          <w:iCs/>
        </w:rPr>
        <w:t xml:space="preserve">Deshotels</w:t>
      </w:r>
      <w:r>
        <w:rPr>
          <w:i/>
          <w:iCs/>
        </w:rPr>
        <w:t xml:space="preserve"> </w:t>
      </w:r>
      <w:r>
        <w:rPr>
          <w:i/>
          <w:iCs/>
        </w:rPr>
        <w:t xml:space="preserve">v. SHRM Catering Servs., Inc.</w:t>
      </w:r>
      <w:r>
        <w:t xml:space="preserve">, 88</w:t>
      </w:r>
      <w:r>
        <w:noBreakHyphen/>
      </w:r>
      <w:r>
        <w:t xml:space="preserve">1323 (La. 01/30/1989), 538 So. 2d 988, 990 (interpreting the term “ocean marine insurance” in the Code).</w:t>
      </w:r>
      <w:r>
        <w:rPr>
          <w:rStyle w:val="FootnoteReference"/>
        </w:rPr>
        <w:footnoteReference w:id="18"/>
      </w:r>
    </w:p>
    <w:p>
      <w:pPr>
        <w:pStyle w:val="BodyText"/>
      </w:pPr>
      <w:r>
        <w:t xml:space="preserve">Moreover—while the majority opinion did not invoke the primary jurisdiction doctrine by name—this Court held in</w:t>
      </w:r>
      <w:r>
        <w:t xml:space="preserve"> </w:t>
      </w:r>
      <w:r>
        <w:rPr>
          <w:i/>
          <w:iCs/>
        </w:rPr>
        <w:t xml:space="preserve">Cent.</w:t>
      </w:r>
      <w:r>
        <w:rPr>
          <w:i/>
          <w:iCs/>
        </w:rPr>
        <w:t xml:space="preserve"> </w:t>
      </w:r>
      <w:r>
        <w:rPr>
          <w:i/>
          <w:iCs/>
        </w:rPr>
        <w:t xml:space="preserve">La. Elec. Co. v. La. Pub. Serv. Comm’n</w:t>
      </w:r>
      <w:r>
        <w:t xml:space="preserve"> </w:t>
      </w:r>
      <w:r>
        <w:t xml:space="preserve">that deference to an administrative agency was unnecessary where, as here, the case involved “contractual and statutory issues” rather than an agency’s “ratemaking power.” 601</w:t>
      </w:r>
      <w:r>
        <w:t xml:space="preserve"> </w:t>
      </w:r>
      <w:r>
        <w:t xml:space="preserve">So. 2d at 1387;</w:t>
      </w:r>
      <w:r>
        <w:t xml:space="preserve"> </w:t>
      </w:r>
      <w:r>
        <w:rPr>
          <w:i/>
          <w:iCs/>
        </w:rPr>
        <w:t xml:space="preserve">see also id.</w:t>
      </w:r>
      <w:r>
        <w:t xml:space="preserve"> </w:t>
      </w:r>
      <w:r>
        <w:t xml:space="preserve">at 1388 (Lemmon, J., concurring) (dispute did not warrant abstention under primary jurisdiction doctrine because case did not require agency’s “technical expertise”).</w:t>
      </w:r>
    </w:p>
    <w:p>
      <w:pPr>
        <w:pStyle w:val="BodyText"/>
      </w:pPr>
      <w:r>
        <w:t xml:space="preserve">The Court’s holding in</w:t>
      </w:r>
      <w:r>
        <w:t xml:space="preserve"> </w:t>
      </w:r>
      <w:r>
        <w:rPr>
          <w:i/>
          <w:iCs/>
        </w:rPr>
        <w:t xml:space="preserve">Cent.</w:t>
      </w:r>
      <w:r>
        <w:rPr>
          <w:i/>
          <w:iCs/>
        </w:rPr>
        <w:t xml:space="preserve"> </w:t>
      </w:r>
      <w:r>
        <w:rPr>
          <w:i/>
          <w:iCs/>
        </w:rPr>
        <w:t xml:space="preserve">La. Elec. Co.</w:t>
      </w:r>
      <w:r>
        <w:t xml:space="preserve"> </w:t>
      </w:r>
      <w:r>
        <w:t xml:space="preserve">is instructive here because—unlike most other industries—the legislature did not delegate to the Commissioner the responsibility to set the premium rates that bail bond companies may charge: state law provides that the premium “shall not be subject to the rates set by the insurance commissioner, but shall be set and adjusted by the legislature.” La.</w:t>
      </w:r>
      <w:r>
        <w:t xml:space="preserve"> </w:t>
      </w:r>
      <w:r>
        <w:t xml:space="preserve">Rev. Stat. § 22:1443 (emphasis added). The legislature set the premium that bail bond companies must charge in state statute at “twelve percent of the face amount of the bond.”</w:t>
      </w:r>
      <w:r>
        <w:t xml:space="preserve"> </w:t>
      </w:r>
      <w:r>
        <w:rPr>
          <w:i/>
          <w:iCs/>
        </w:rPr>
        <w:t xml:space="preserve">Id.</w:t>
      </w:r>
      <w:r>
        <w:t xml:space="preserve"> </w:t>
      </w:r>
      <w:r>
        <w:t xml:space="preserve">The parties’ dispute over the plain language of this statute is thus a quintessential question of statutory construction within the district court’s—not the DAL’s—special expertise.</w:t>
      </w:r>
    </w:p>
    <w:p>
      <w:pPr>
        <w:pStyle w:val="BodyText"/>
      </w:pPr>
      <w:r>
        <w:t xml:space="preserve">Moreover, other federal courts have emphasized that there is simply “no reason why deference to an agency is appropriate when that agency itself feels that no deference is warranted,” particularly because “the primary-jurisdiction doctrine is prudential, not jurisdictional.”</w:t>
      </w:r>
      <w:r>
        <w:t xml:space="preserve"> </w:t>
      </w:r>
      <w:r>
        <w:rPr>
          <w:i/>
          <w:iCs/>
        </w:rPr>
        <w:t xml:space="preserve">Sierra</w:t>
      </w:r>
      <w:r>
        <w:rPr>
          <w:i/>
          <w:iCs/>
        </w:rPr>
        <w:t xml:space="preserve"> </w:t>
      </w:r>
      <w:r>
        <w:rPr>
          <w:i/>
          <w:iCs/>
        </w:rPr>
        <w:t xml:space="preserve">v. City of Hallandale Beach, Fla.</w:t>
      </w:r>
      <w:r>
        <w:t xml:space="preserve">, 904 F.3d 1343, 1351 (11th Cir. 2018). Accordingly, the United States Court of Appeals for the Fifth Circuit explained that “when the agency’s position is sufficiently clear ⁠. ⁠. ⁠. courts should be very reluctant to refer” a case to an administrative agency, “which often, but not always, results in added expense and delay to the litigants.”</w:t>
      </w:r>
      <w:r>
        <w:t xml:space="preserve"> </w:t>
      </w:r>
      <w:r>
        <w:rPr>
          <w:i/>
          <w:iCs/>
        </w:rPr>
        <w:t xml:space="preserve">Occidental</w:t>
      </w:r>
      <w:r>
        <w:rPr>
          <w:i/>
          <w:iCs/>
        </w:rPr>
        <w:t xml:space="preserve"> </w:t>
      </w:r>
      <w:r>
        <w:rPr>
          <w:i/>
          <w:iCs/>
        </w:rPr>
        <w:t xml:space="preserve">Chem. Corp.</w:t>
      </w:r>
      <w:r>
        <w:t xml:space="preserve">, 810 F.3d at 309 (internal citation omitted).</w:t>
      </w:r>
    </w:p>
    <w:p>
      <w:pPr>
        <w:pStyle w:val="BodyText"/>
      </w:pPr>
      <w:r>
        <w:t xml:space="preserve">The Commissioner’s and the DAL’s positions could not be clearer here: the Commissioner, through the Directive, has already interpreted the disputed statutes. He also filed a motion to stay the administrative proceedings because he believes that Act 54 is unconstitutional and that the district court must first evaluate Act 54’s constitutionality before the administrative proceedings should resume. The DAL also agreed with the Commissioner (and Morgan), staying the administrative proceedings because it believed that this Court should first decide whether Act 54 is constitutional and did not want to address the dispute in “piecemeal” fashion. Bankers’ Mot. Sum. Jud. Tr. 30:23–27, 31:29–32:7.</w:t>
      </w:r>
    </w:p>
    <w:p>
      <w:pPr>
        <w:pStyle w:val="BodyText"/>
      </w:pPr>
      <w:r>
        <w:t xml:space="preserve">This Court should grant Morgan’s writ application to clarify that abstention under the primary jurisdiction doctrine is unwarranted where, as here, (1) an agency previously stayed the administrative proceedings because it believed that the state courts must decide a preliminary statutory or constitutional question; (2) the dispute is strictly a legal one; and (3) that legal dispute is within the conventional competence of the courts.</w:t>
      </w:r>
      <w:r>
        <w:t xml:space="preserve"> </w:t>
      </w:r>
      <w:r>
        <w:rPr>
          <w:i/>
          <w:iCs/>
        </w:rPr>
        <w:t xml:space="preserve">See</w:t>
      </w:r>
      <w:r>
        <w:t xml:space="preserve"> </w:t>
      </w:r>
      <w:r>
        <w:rPr>
          <w:i/>
          <w:iCs/>
        </w:rPr>
        <w:t xml:space="preserve">Occidental</w:t>
      </w:r>
      <w:r>
        <w:rPr>
          <w:i/>
          <w:iCs/>
        </w:rPr>
        <w:t xml:space="preserve"> </w:t>
      </w:r>
      <w:r>
        <w:rPr>
          <w:i/>
          <w:iCs/>
        </w:rPr>
        <w:t xml:space="preserve">Chem. Corp.</w:t>
      </w:r>
      <w:r>
        <w:t xml:space="preserve">, 810 F.3d at 309.</w:t>
      </w:r>
    </w:p>
    <w:p>
      <w:pPr>
        <w:keepNext/>
        <w:keepLines/>
        <w:spacing w:before="288" w:after="192" w:line="276" w:lineRule="exact"/>
        <w:ind w:left="0" w:firstLine="0"/>
        <w:jc w:val="left"/>
      </w:pPr>
      <w:r>
        <w:rPr>
          <w:b/>
          <w:bCs/>
        </w:rPr>
        <w:t xml:space="preserve">B.</w:t>
      </w:r>
      <w:r>
        <w:rPr>
          <w:b/>
          <w:bCs/>
        </w:rPr>
        <w:t xml:space="preserve"> </w:t>
      </w:r>
      <w:r>
        <w:rPr>
          <w:b/>
          <w:bCs/>
        </w:rPr>
        <w:t xml:space="preserve">The</w:t>
      </w:r>
      <w:r>
        <w:rPr>
          <w:b/>
          <w:bCs/>
        </w:rPr>
        <w:t xml:space="preserve"> </w:t>
      </w:r>
      <w:r>
        <w:rPr>
          <w:b/>
          <w:bCs/>
        </w:rPr>
        <w:t xml:space="preserve">district</w:t>
      </w:r>
      <w:r>
        <w:rPr>
          <w:b/>
          <w:bCs/>
        </w:rPr>
        <w:t xml:space="preserve"> </w:t>
      </w:r>
      <w:r>
        <w:rPr>
          <w:b/>
          <w:bCs/>
        </w:rPr>
        <w:t xml:space="preserve">court</w:t>
      </w:r>
      <w:r>
        <w:rPr>
          <w:b/>
          <w:bCs/>
        </w:rPr>
        <w:t xml:space="preserve"> </w:t>
      </w:r>
      <w:r>
        <w:rPr>
          <w:b/>
          <w:bCs/>
        </w:rPr>
        <w:t xml:space="preserve">abused</w:t>
      </w:r>
      <w:r>
        <w:rPr>
          <w:b/>
          <w:bCs/>
        </w:rPr>
        <w:t xml:space="preserve"> </w:t>
      </w:r>
      <w:r>
        <w:rPr>
          <w:b/>
          <w:bCs/>
        </w:rPr>
        <w:t xml:space="preserve">its</w:t>
      </w:r>
      <w:r>
        <w:rPr>
          <w:b/>
          <w:bCs/>
        </w:rPr>
        <w:t xml:space="preserve"> </w:t>
      </w:r>
      <w:r>
        <w:rPr>
          <w:b/>
          <w:bCs/>
        </w:rPr>
        <w:t xml:space="preserve">discretion</w:t>
      </w:r>
      <w:r>
        <w:rPr>
          <w:b/>
          <w:bCs/>
        </w:rPr>
        <w:t xml:space="preserve"> </w:t>
      </w:r>
      <w:r>
        <w:rPr>
          <w:b/>
          <w:bCs/>
        </w:rPr>
        <w:t xml:space="preserve">because</w:t>
      </w:r>
      <w:r>
        <w:rPr>
          <w:b/>
          <w:bCs/>
        </w:rPr>
        <w:t xml:space="preserve"> </w:t>
      </w:r>
      <w:r>
        <w:rPr>
          <w:b/>
          <w:bCs/>
        </w:rPr>
        <w:t xml:space="preserve">the</w:t>
      </w:r>
      <w:r>
        <w:rPr>
          <w:b/>
          <w:bCs/>
        </w:rPr>
        <w:t xml:space="preserve"> </w:t>
      </w:r>
      <w:r>
        <w:rPr>
          <w:b/>
          <w:bCs/>
        </w:rPr>
        <w:t xml:space="preserve">Directive’s</w:t>
      </w:r>
      <w:r>
        <w:rPr>
          <w:b/>
          <w:bCs/>
        </w:rPr>
        <w:t xml:space="preserve"> </w:t>
      </w:r>
      <w:r>
        <w:rPr>
          <w:b/>
          <w:bCs/>
        </w:rPr>
        <w:t xml:space="preserve">validity</w:t>
      </w:r>
      <w:r>
        <w:rPr>
          <w:b/>
          <w:bCs/>
        </w:rPr>
        <w:t xml:space="preserve"> </w:t>
      </w:r>
      <w:r>
        <w:rPr>
          <w:b/>
          <w:bCs/>
        </w:rPr>
        <w:t xml:space="preserve">is</w:t>
      </w:r>
      <w:r>
        <w:rPr>
          <w:b/>
          <w:bCs/>
        </w:rPr>
        <w:t xml:space="preserve"> </w:t>
      </w:r>
      <w:r>
        <w:rPr>
          <w:b/>
          <w:bCs/>
        </w:rPr>
        <w:t xml:space="preserve">not</w:t>
      </w:r>
      <w:r>
        <w:rPr>
          <w:b/>
          <w:bCs/>
        </w:rPr>
        <w:t xml:space="preserve"> </w:t>
      </w:r>
      <w:r>
        <w:rPr>
          <w:b/>
          <w:bCs/>
        </w:rPr>
        <w:t xml:space="preserve">a</w:t>
      </w:r>
      <w:r>
        <w:rPr>
          <w:b/>
          <w:bCs/>
        </w:rPr>
        <w:t xml:space="preserve"> </w:t>
      </w:r>
      <w:r>
        <w:rPr>
          <w:b/>
          <w:bCs/>
        </w:rPr>
        <w:t xml:space="preserve">prerequisite</w:t>
      </w:r>
      <w:r>
        <w:rPr>
          <w:b/>
          <w:bCs/>
        </w:rPr>
        <w:t xml:space="preserve"> </w:t>
      </w:r>
      <w:r>
        <w:rPr>
          <w:b/>
          <w:bCs/>
        </w:rPr>
        <w:t xml:space="preserve">to</w:t>
      </w:r>
      <w:r>
        <w:rPr>
          <w:b/>
          <w:bCs/>
        </w:rPr>
        <w:t xml:space="preserve"> </w:t>
      </w:r>
      <w:r>
        <w:rPr>
          <w:b/>
          <w:bCs/>
        </w:rPr>
        <w:t xml:space="preserve">determining</w:t>
      </w:r>
      <w:r>
        <w:rPr>
          <w:b/>
          <w:bCs/>
        </w:rPr>
        <w:t xml:space="preserve"> </w:t>
      </w:r>
      <w:r>
        <w:rPr>
          <w:b/>
          <w:bCs/>
        </w:rPr>
        <w:t xml:space="preserve">Act</w:t>
      </w:r>
      <w:r>
        <w:rPr>
          <w:b/>
          <w:bCs/>
        </w:rPr>
        <w:t xml:space="preserve"> </w:t>
      </w:r>
      <w:r>
        <w:rPr>
          <w:b/>
          <w:bCs/>
        </w:rPr>
        <w:t xml:space="preserve">54’s</w:t>
      </w:r>
      <w:r>
        <w:rPr>
          <w:b/>
          <w:bCs/>
        </w:rPr>
        <w:t xml:space="preserve"> </w:t>
      </w:r>
      <w:r>
        <w:rPr>
          <w:b/>
          <w:bCs/>
        </w:rPr>
        <w:t xml:space="preserve">constitutionality.</w:t>
      </w:r>
    </w:p>
    <w:p>
      <w:pPr>
        <w:pStyle w:val="BodyText"/>
      </w:pPr>
      <w:r>
        <w:t xml:space="preserve">The district court stayed Morgan’s three constitutional claims under the primary jurisdiction doctrine after concluding that the DAL must first evaluate the Directive’s validity before it could determine whether Act 54 is constitutional. The district court offered no explanation why it believed this to be true. A court can evaluate Morgan’s second and third claims—alleging that Act 54 is a prohibited local and special law—through a facial analysis of Act 54’s text. And Bankers’ argument about why Morgan’s due process claim (claim four) requires a predetermination about the Directive’s validity conflicts with</w:t>
      </w:r>
      <w:r>
        <w:t xml:space="preserve"> </w:t>
      </w:r>
      <w:r>
        <w:rPr>
          <w:i/>
          <w:iCs/>
        </w:rPr>
        <w:t xml:space="preserve">Bourgeois</w:t>
      </w:r>
      <w:r>
        <w:rPr>
          <w:i/>
          <w:iCs/>
        </w:rPr>
        <w:t xml:space="preserve"> </w:t>
      </w:r>
      <w:r>
        <w:rPr>
          <w:i/>
          <w:iCs/>
        </w:rPr>
        <w:t xml:space="preserve">II</w:t>
      </w:r>
      <w:r>
        <w:t xml:space="preserve">: A statute violates due process when it retroactively eliminates the possibility of civil or administrative relief. A statute does not violate due process only when the legislature interferes with a final judgment.</w:t>
      </w:r>
    </w:p>
    <w:p>
      <w:pPr>
        <w:keepNext/>
        <w:keepLines/>
        <w:spacing w:before="288" w:after="192" w:line="276" w:lineRule="exact"/>
        <w:ind w:left="0" w:firstLine="0"/>
        <w:jc w:val="left"/>
      </w:pPr>
      <w:r>
        <w:rPr>
          <w:b/>
          <w:bCs/>
        </w:rPr>
        <w:t xml:space="preserve">1.</w:t>
      </w:r>
      <w:r>
        <w:rPr>
          <w:b/>
          <w:bCs/>
        </w:rPr>
        <w:t xml:space="preserve"> </w:t>
      </w:r>
      <w:r>
        <w:rPr>
          <w:b/>
          <w:bCs/>
        </w:rPr>
        <w:t xml:space="preserve">Act</w:t>
      </w:r>
      <w:r>
        <w:rPr>
          <w:b/>
          <w:bCs/>
        </w:rPr>
        <w:t xml:space="preserve"> </w:t>
      </w:r>
      <w:r>
        <w:rPr>
          <w:b/>
          <w:bCs/>
        </w:rPr>
        <w:t xml:space="preserve">54</w:t>
      </w:r>
      <w:r>
        <w:rPr>
          <w:b/>
          <w:bCs/>
        </w:rPr>
        <w:t xml:space="preserve"> </w:t>
      </w:r>
      <w:r>
        <w:rPr>
          <w:b/>
          <w:bCs/>
        </w:rPr>
        <w:t xml:space="preserve">is</w:t>
      </w:r>
      <w:r>
        <w:rPr>
          <w:b/>
          <w:bCs/>
        </w:rPr>
        <w:t xml:space="preserve"> </w:t>
      </w:r>
      <w:r>
        <w:rPr>
          <w:b/>
          <w:bCs/>
        </w:rPr>
        <w:t xml:space="preserve">an</w:t>
      </w:r>
      <w:r>
        <w:rPr>
          <w:b/>
          <w:bCs/>
        </w:rPr>
        <w:t xml:space="preserve"> </w:t>
      </w:r>
      <w:r>
        <w:rPr>
          <w:b/>
          <w:bCs/>
        </w:rPr>
        <w:t xml:space="preserve">unconstitutional</w:t>
      </w:r>
      <w:r>
        <w:rPr>
          <w:b/>
          <w:bCs/>
        </w:rPr>
        <w:t xml:space="preserve"> </w:t>
      </w:r>
      <w:r>
        <w:rPr>
          <w:b/>
          <w:bCs/>
        </w:rPr>
        <w:t xml:space="preserve">local</w:t>
      </w:r>
      <w:r>
        <w:rPr>
          <w:b/>
          <w:bCs/>
        </w:rPr>
        <w:t xml:space="preserve"> </w:t>
      </w:r>
      <w:r>
        <w:rPr>
          <w:b/>
          <w:bCs/>
        </w:rPr>
        <w:t xml:space="preserve">and</w:t>
      </w:r>
      <w:r>
        <w:rPr>
          <w:b/>
          <w:bCs/>
        </w:rPr>
        <w:t xml:space="preserve"> </w:t>
      </w:r>
      <w:r>
        <w:rPr>
          <w:b/>
          <w:bCs/>
        </w:rPr>
        <w:t xml:space="preserve">special</w:t>
      </w:r>
      <w:r>
        <w:rPr>
          <w:b/>
          <w:bCs/>
        </w:rPr>
        <w:t xml:space="preserve"> </w:t>
      </w:r>
      <w:r>
        <w:rPr>
          <w:b/>
          <w:bCs/>
        </w:rPr>
        <w:t xml:space="preserve">law.</w:t>
      </w:r>
    </w:p>
    <w:p>
      <w:pPr>
        <w:pStyle w:val="BodyText"/>
      </w:pPr>
      <w:r>
        <w:t xml:space="preserve">Morgan alleges in his second claim that Act 54 is an unconstitutional local law and he alleges in his third claim that Act 54 is an unconstitutional special law. These claims can be evaluated through a straightforward facial analysis of Act 54’s text. There is no conceivable reason the DAL must first evaluate the Directive’s validity before the district court can resolve these disputes. No one—not the court of appeal, district court, or Bankers—offered one.</w:t>
      </w:r>
    </w:p>
    <w:p>
      <w:pPr>
        <w:pStyle w:val="BodyText"/>
      </w:pPr>
      <w:r>
        <w:t xml:space="preserve">“The legislature is prohibited from passing any local or special law which deals with any of the subjects enumerated in La. Const. Art. III, § 12(A).”</w:t>
      </w:r>
      <w:r>
        <w:t xml:space="preserve"> </w:t>
      </w:r>
      <w:r>
        <w:rPr>
          <w:i/>
          <w:iCs/>
        </w:rPr>
        <w:t xml:space="preserve">Kimball</w:t>
      </w:r>
      <w:r>
        <w:t xml:space="preserve">, 712 So. 2d at 50. The district court’s “inquiry” into whether Act 54 “is an unconstitutional local or special law” should have begun “with a determination of whether the law is, in fact, local or special.”</w:t>
      </w:r>
      <w:r>
        <w:t xml:space="preserve"> </w:t>
      </w:r>
      <w:r>
        <w:rPr>
          <w:i/>
          <w:iCs/>
        </w:rPr>
        <w:t xml:space="preserve">Id.</w:t>
      </w:r>
      <w:r>
        <w:t xml:space="preserve"> </w:t>
      </w:r>
      <w:r>
        <w:t xml:space="preserve">The district court cannot avoid that inquiry by arguing that the DAL must engage in some separate analysis.</w:t>
      </w:r>
    </w:p>
    <w:p>
      <w:pPr>
        <w:pStyle w:val="BodyText"/>
      </w:pPr>
      <w:r>
        <w:t xml:space="preserve">A statute is “local if it operates only in a particular locality or localities without the possibility of extending its coverage to other areas should the requisite criteria exist or come to exist there.”</w:t>
      </w:r>
      <w:r>
        <w:t xml:space="preserve"> </w:t>
      </w:r>
      <w:r>
        <w:rPr>
          <w:i/>
          <w:iCs/>
        </w:rPr>
        <w:t xml:space="preserve">Deer</w:t>
      </w:r>
      <w:r>
        <w:rPr>
          <w:i/>
          <w:iCs/>
        </w:rPr>
        <w:t xml:space="preserve"> </w:t>
      </w:r>
      <w:r>
        <w:rPr>
          <w:i/>
          <w:iCs/>
        </w:rPr>
        <w:t xml:space="preserve">Enters. LLC, v. Par. Council of Wash. Par.</w:t>
      </w:r>
      <w:r>
        <w:t xml:space="preserve">, 10</w:t>
      </w:r>
      <w:r>
        <w:noBreakHyphen/>
      </w:r>
      <w:r>
        <w:t xml:space="preserve">0671 (La. 1/19/11), 56 So. 3d 936, 942. “Thus, a law which operates over the whole territory of the state instead of just a particular locality is clearly general, and not local.”</w:t>
      </w:r>
      <w:r>
        <w:t xml:space="preserve"> </w:t>
      </w:r>
      <w:r>
        <w:rPr>
          <w:i/>
          <w:iCs/>
        </w:rPr>
        <w:t xml:space="preserve">Kimball</w:t>
      </w:r>
      <w:r>
        <w:t xml:space="preserve">, 712 So. 2d at 51. “When the operation of a law is limited to certain parishes, it is immediately suspect as a local law.”</w:t>
      </w:r>
      <w:r>
        <w:t xml:space="preserve"> </w:t>
      </w:r>
      <w:r>
        <w:rPr>
          <w:i/>
          <w:iCs/>
        </w:rPr>
        <w:t xml:space="preserve">Id.</w:t>
      </w:r>
    </w:p>
    <w:p>
      <w:pPr>
        <w:pStyle w:val="BodyTextNote"/>
      </w:pPr>
      <w:r>
        <w:t xml:space="preserve">Determining whether Act 54 is a local law can be done by facially examining Act 54; it does not require the DAL to first affirm the Directive’s validity. Act 54’s triggering criterion is a parish with a population of between 300,000 and 400,000 based on the most recent federal census.</w:t>
      </w:r>
      <w:r>
        <w:t xml:space="preserve"> </w:t>
      </w:r>
      <w:r>
        <w:rPr>
          <w:i/>
          <w:iCs/>
        </w:rPr>
        <w:t xml:space="preserve">See</w:t>
      </w:r>
      <w:r>
        <w:t xml:space="preserve"> </w:t>
      </w:r>
      <w:r>
        <w:t xml:space="preserve">Section B.(1), Act 54, Ex. C. (“In any parish having a population of more than three hundred thousand and fewer than four hundred thousand ⁠. ⁠. ⁠. ⁠.”). Orleans Parish is the only parish that can meet this trigger—the population of East Baton Rouge and Jefferson Parishes both exceed 400,000, and the next most populous parish is St. Tammany Parish with around 230,000 people. Indeed, several co-sponsors of the bill explained that Act 54 “is only relevant to New Orleans.”</w:t>
      </w:r>
      <w:r>
        <w:rPr>
          <w:rStyle w:val="FootnoteReference"/>
        </w:rPr>
        <w:footnoteReference w:id="19"/>
      </w:r>
      <w:r>
        <w:t xml:space="preserve"> </w:t>
      </w:r>
      <w:r>
        <w:t xml:space="preserve">Act 54 cannot be extended to other localities because the population trigger is tied to the collection of an additional one percent under the provisions of Act 350 of the 2005 Regular Session—an Act which is no longer in effect because Act 54 superseded it.</w:t>
      </w:r>
    </w:p>
    <w:p>
      <w:pPr>
        <w:pStyle w:val="BodyText"/>
      </w:pPr>
      <w:r>
        <w:t xml:space="preserve">An unconstitutional special law is “directed to secure some private advantage or advancement for the benefit of private persons,”</w:t>
      </w:r>
      <w:r>
        <w:t xml:space="preserve"> </w:t>
      </w:r>
      <w:r>
        <w:rPr>
          <w:i/>
          <w:iCs/>
        </w:rPr>
        <w:t xml:space="preserve">La.</w:t>
      </w:r>
      <w:r>
        <w:rPr>
          <w:i/>
          <w:iCs/>
        </w:rPr>
        <w:t xml:space="preserve"> </w:t>
      </w:r>
      <w:r>
        <w:rPr>
          <w:i/>
          <w:iCs/>
        </w:rPr>
        <w:t xml:space="preserve">High Sch. Athletics Ass’n, Inc. v. State</w:t>
      </w:r>
      <w:r>
        <w:t xml:space="preserve">, 12</w:t>
      </w:r>
      <w:r>
        <w:noBreakHyphen/>
      </w:r>
      <w:r>
        <w:t xml:space="preserve">1471 (La. 1/29/13), 107 So. 3d 583, 601 (citation and internal quotation marks omitted), “granting privileges to some persons while denying them to others,”</w:t>
      </w:r>
      <w:r>
        <w:t xml:space="preserve"> </w:t>
      </w:r>
      <w:r>
        <w:rPr>
          <w:i/>
          <w:iCs/>
        </w:rPr>
        <w:t xml:space="preserve">Deer</w:t>
      </w:r>
      <w:r>
        <w:rPr>
          <w:i/>
          <w:iCs/>
        </w:rPr>
        <w:t xml:space="preserve"> </w:t>
      </w:r>
      <w:r>
        <w:rPr>
          <w:i/>
          <w:iCs/>
        </w:rPr>
        <w:t xml:space="preserve">Enters.</w:t>
      </w:r>
      <w:r>
        <w:t xml:space="preserve">, 56 So. 3d at 944 (citation and internal quotation marks omitted). “A privilege is a special legal right, exemption, or immunity granted to a person or class of persons; an exception to a duty. A privilege grants someone the legal freedom to do or not do a given act. It immunizes conduct that, under ordinary circumstances, would subject the actor to liability.”</w:t>
      </w:r>
      <w:r>
        <w:t xml:space="preserve"> </w:t>
      </w:r>
      <w:r>
        <w:rPr>
          <w:i/>
          <w:iCs/>
        </w:rPr>
        <w:t xml:space="preserve">Id.</w:t>
      </w:r>
      <w:r>
        <w:t xml:space="preserve"> </w:t>
      </w:r>
      <w:r>
        <w:t xml:space="preserve">(citation and internal quotation marks omitted). Louisiana’s “prohibition on special laws represents an important safeguard against the abuse of legislative power on behalf of special interests.”</w:t>
      </w:r>
      <w:r>
        <w:t xml:space="preserve"> </w:t>
      </w:r>
      <w:r>
        <w:rPr>
          <w:i/>
          <w:iCs/>
        </w:rPr>
        <w:t xml:space="preserve">La.</w:t>
      </w:r>
      <w:r>
        <w:rPr>
          <w:i/>
          <w:iCs/>
        </w:rPr>
        <w:t xml:space="preserve"> </w:t>
      </w:r>
      <w:r>
        <w:rPr>
          <w:i/>
          <w:iCs/>
        </w:rPr>
        <w:t xml:space="preserve">High Sch. Athletics Ass’n</w:t>
      </w:r>
      <w:r>
        <w:t xml:space="preserve">, 107 So. 3d at 601 (citation and internal quotation marks omitted).</w:t>
      </w:r>
    </w:p>
    <w:p>
      <w:pPr>
        <w:pStyle w:val="BodyText"/>
      </w:pPr>
      <w:r>
        <w:t xml:space="preserve">This Court can also evaluate whether Act 54 is a special law without a pre-determination about the Directive’s validity. Act 54 is a special law because it immunizes Defendants from civil or administrative liability. Bankers said so itself: Act 54 “renders Directive 214 ⁠. ⁠. ⁠. moot and of no effect,” because it “relieves” the offending “commercial sureties from the Directive’s requirement that any ⁠. ⁠. ⁠. excess premium collected ⁠. ⁠. ⁠. be returned to the payer.” Bankers’ Mot. Sum. Jud. at 7–8. There is no reason the DAL must first engage in an entirely separate analysis about the Directive’s validity before the district court can evaluate whether Act 54 is a special law.</w:t>
      </w:r>
    </w:p>
    <w:p>
      <w:pPr>
        <w:pStyle w:val="BodyText"/>
      </w:pPr>
      <w:r>
        <w:t xml:space="preserve">There is also no reason the district court cannot determine whether Act 54 “concerns a subject listed in Art. III, § 12(A),” the second step in the analysis.</w:t>
      </w:r>
      <w:r>
        <w:t xml:space="preserve"> </w:t>
      </w:r>
      <w:r>
        <w:rPr>
          <w:i/>
          <w:iCs/>
        </w:rPr>
        <w:t xml:space="preserve">Kimball</w:t>
      </w:r>
      <w:r>
        <w:t xml:space="preserve">, 712 So. 2d at 50. A simple facial analysis of Act 54’s text demonstrates that it concerns “any civil ⁠. ⁠. ⁠. actions,” La.</w:t>
      </w:r>
      <w:r>
        <w:t xml:space="preserve"> </w:t>
      </w:r>
      <w:r>
        <w:t xml:space="preserve">Const. Art. III, § 12(A), which this Court has explained “means merely that the Legislature shall not pass a local or special law affecting any particular lawsuit,”</w:t>
      </w:r>
      <w:r>
        <w:t xml:space="preserve"> </w:t>
      </w:r>
      <w:r>
        <w:rPr>
          <w:i/>
          <w:iCs/>
        </w:rPr>
        <w:t xml:space="preserve">State</w:t>
      </w:r>
      <w:r>
        <w:rPr>
          <w:i/>
          <w:iCs/>
        </w:rPr>
        <w:t xml:space="preserve"> </w:t>
      </w:r>
      <w:r>
        <w:rPr>
          <w:i/>
          <w:iCs/>
        </w:rPr>
        <w:t xml:space="preserve">v. McCue</w:t>
      </w:r>
      <w:r>
        <w:t xml:space="preserve">, 75 So. 100, 101 (La. 1917). The legislature, for example, violated La.</w:t>
      </w:r>
      <w:r>
        <w:t xml:space="preserve"> </w:t>
      </w:r>
      <w:r>
        <w:t xml:space="preserve">Const. Art. III, § 12(A) when it exempted a litigant from a statute of limitations that had already prescribed.</w:t>
      </w:r>
      <w:r>
        <w:t xml:space="preserve"> </w:t>
      </w:r>
      <w:r>
        <w:rPr>
          <w:i/>
          <w:iCs/>
        </w:rPr>
        <w:t xml:space="preserve">State</w:t>
      </w:r>
      <w:r>
        <w:rPr>
          <w:i/>
          <w:iCs/>
        </w:rPr>
        <w:t xml:space="preserve"> </w:t>
      </w:r>
      <w:r>
        <w:rPr>
          <w:i/>
          <w:iCs/>
        </w:rPr>
        <w:t xml:space="preserve">Through Dep’t of Highways v. Terral</w:t>
      </w:r>
      <w:r>
        <w:t xml:space="preserve">, 206 So. 2d 307, 309 (La. App. 3d. Cir. 1968). Here, too, the legislature violated La.</w:t>
      </w:r>
      <w:r>
        <w:t xml:space="preserve"> </w:t>
      </w:r>
      <w:r>
        <w:t xml:space="preserve">Const. Art. III, § 12(A) when it passed a law that attempted to overrule the Commissioner, retroactively exempted Defendants from complying with the plain language of La.</w:t>
      </w:r>
      <w:r>
        <w:t xml:space="preserve"> </w:t>
      </w:r>
      <w:r>
        <w:t xml:space="preserve">Rev. Stat. § 22:1443, and immunized Defendants from any liability for their failure to do so. The court of appeal thus erred when it let stand a district court opinion that found that it could not evaluate Morgan’s second and third claims without the DAL first predetermining the Directive’s validity.</w:t>
      </w:r>
    </w:p>
    <w:p>
      <w:pPr>
        <w:keepNext/>
        <w:keepLines/>
        <w:spacing w:before="288" w:after="192" w:line="276" w:lineRule="exact"/>
        <w:ind w:left="0" w:firstLine="0"/>
        <w:jc w:val="left"/>
      </w:pPr>
      <w:r>
        <w:rPr>
          <w:b/>
          <w:bCs/>
        </w:rPr>
        <w:t xml:space="preserve">2.</w:t>
      </w:r>
      <w:r>
        <w:rPr>
          <w:b/>
          <w:bCs/>
        </w:rPr>
        <w:t xml:space="preserve"> </w:t>
      </w:r>
      <w:r>
        <w:rPr>
          <w:b/>
          <w:bCs/>
        </w:rPr>
        <w:t xml:space="preserve">Act</w:t>
      </w:r>
      <w:r>
        <w:rPr>
          <w:b/>
          <w:bCs/>
        </w:rPr>
        <w:t xml:space="preserve"> </w:t>
      </w:r>
      <w:r>
        <w:rPr>
          <w:b/>
          <w:bCs/>
        </w:rPr>
        <w:t xml:space="preserve">54</w:t>
      </w:r>
      <w:r>
        <w:rPr>
          <w:b/>
          <w:bCs/>
        </w:rPr>
        <w:t xml:space="preserve"> </w:t>
      </w:r>
      <w:r>
        <w:rPr>
          <w:b/>
          <w:bCs/>
        </w:rPr>
        <w:t xml:space="preserve">violates</w:t>
      </w:r>
      <w:r>
        <w:rPr>
          <w:b/>
          <w:bCs/>
        </w:rPr>
        <w:t xml:space="preserve"> </w:t>
      </w:r>
      <w:r>
        <w:rPr>
          <w:b/>
          <w:bCs/>
        </w:rPr>
        <w:t xml:space="preserve">due</w:t>
      </w:r>
      <w:r>
        <w:rPr>
          <w:b/>
          <w:bCs/>
        </w:rPr>
        <w:t xml:space="preserve"> </w:t>
      </w:r>
      <w:r>
        <w:rPr>
          <w:b/>
          <w:bCs/>
        </w:rPr>
        <w:t xml:space="preserve">process.</w:t>
      </w:r>
    </w:p>
    <w:p>
      <w:pPr>
        <w:pStyle w:val="BodyText"/>
      </w:pPr>
      <w:r>
        <w:t xml:space="preserve">Morgan alleges in his fourth claim that Act 54 violates due process by divesting him of his “vested rights” by eliminating his contract remedies under state law as well as his administrative remedies. Neither the court of appeal nor the district court explained why Morgan’s due process claim first required the DAL to affirm the Directive’s validity. And Bankers’ argument that Morgan’s rights under La.</w:t>
      </w:r>
      <w:r>
        <w:t xml:space="preserve"> </w:t>
      </w:r>
      <w:r>
        <w:t xml:space="preserve">Rev. Stat. § 22:855(E) will vest only if Directive 214 is valid directly contradict</w:t>
      </w:r>
      <w:r>
        <w:t xml:space="preserve"> </w:t>
      </w:r>
      <w:r>
        <w:rPr>
          <w:i/>
          <w:iCs/>
        </w:rPr>
        <w:t xml:space="preserve">Bourgeois</w:t>
      </w:r>
      <w:r>
        <w:rPr>
          <w:i/>
          <w:iCs/>
        </w:rPr>
        <w:t xml:space="preserve"> </w:t>
      </w:r>
      <w:r>
        <w:rPr>
          <w:i/>
          <w:iCs/>
        </w:rPr>
        <w:t xml:space="preserve">II</w:t>
      </w:r>
      <w:r>
        <w:t xml:space="preserve">. As explained below, rights do not vest only if there is a final, enforceable judgment in a plaintiff’s favor.</w:t>
      </w:r>
    </w:p>
    <w:p>
      <w:pPr>
        <w:pStyle w:val="BodyTextNote"/>
      </w:pPr>
      <w:r>
        <w:t xml:space="preserve">In</w:t>
      </w:r>
      <w:r>
        <w:t xml:space="preserve"> </w:t>
      </w:r>
      <w:r>
        <w:rPr>
          <w:i/>
          <w:iCs/>
        </w:rPr>
        <w:t xml:space="preserve">Bourgeois</w:t>
      </w:r>
      <w:r>
        <w:rPr>
          <w:i/>
          <w:iCs/>
        </w:rPr>
        <w:t xml:space="preserve"> </w:t>
      </w:r>
      <w:r>
        <w:rPr>
          <w:i/>
          <w:iCs/>
        </w:rPr>
        <w:t xml:space="preserve">II</w:t>
      </w:r>
      <w:r>
        <w:t xml:space="preserve">, this Court held that a statute violated due process where, as here, the legislature—trying to overturn a prior Supreme Court decision—enacted a law retroactively eliminating medical monitoring damages. The Court explained that the legislature may not retroactively eliminate a remedy under a cause of action after a plaintiff already had a “vested right” to seek that remedy “prior to the effective date of the Act.”</w:t>
      </w:r>
      <w:r>
        <w:t xml:space="preserve"> </w:t>
      </w:r>
      <w:r>
        <w:rPr>
          <w:i/>
          <w:iCs/>
        </w:rPr>
        <w:t xml:space="preserve">Bourgeois</w:t>
      </w:r>
      <w:r>
        <w:rPr>
          <w:i/>
          <w:iCs/>
        </w:rPr>
        <w:t xml:space="preserve"> </w:t>
      </w:r>
      <w:r>
        <w:rPr>
          <w:i/>
          <w:iCs/>
        </w:rPr>
        <w:t xml:space="preserve">II</w:t>
      </w:r>
      <w:r>
        <w:t xml:space="preserve">, 783 So. 2d at 1259. A person has a vested right “[w]hen a party acquires a right to assert a cause of action”—that is, to file a lawsuit or pursue administrative remedies—“prior to a change in the law.”</w:t>
      </w:r>
      <w:r>
        <w:t xml:space="preserve"> </w:t>
      </w:r>
      <w:r>
        <w:rPr>
          <w:i/>
          <w:iCs/>
        </w:rPr>
        <w:t xml:space="preserve">Id.</w:t>
      </w:r>
      <w:r>
        <w:t xml:space="preserve"> </w:t>
      </w:r>
      <w:r>
        <w:t xml:space="preserve">(emphasis added). A person’s right to bring a cause of action is determined by examining “the operative facts” that give rise to a cause of action.</w:t>
      </w:r>
      <w:r>
        <w:t xml:space="preserve"> </w:t>
      </w:r>
      <w:r>
        <w:rPr>
          <w:i/>
          <w:iCs/>
        </w:rPr>
        <w:t xml:space="preserve">Id.</w:t>
      </w:r>
      <w:r>
        <w:t xml:space="preserve"> </w:t>
      </w:r>
      <w:r>
        <w:t xml:space="preserve">at 1260.</w:t>
      </w:r>
      <w:r>
        <w:rPr>
          <w:rStyle w:val="FootnoteReference"/>
        </w:rPr>
        <w:footnoteReference w:id="20"/>
      </w:r>
    </w:p>
    <w:p>
      <w:pPr>
        <w:pStyle w:val="BodyTextNote"/>
      </w:pPr>
      <w:r>
        <w:t xml:space="preserve">Bankers did not address why Morgan’s remedies under state contract law will vest only if the DAL affirms the Directive’s validity (and administrative agencies do not ordinarily resolve contract disputes, disputes over which “are generally civil matters over which the district courts have original jurisdiction,”</w:t>
      </w:r>
      <w:r>
        <w:t xml:space="preserve"> </w:t>
      </w:r>
      <w:r>
        <w:rPr>
          <w:i/>
          <w:iCs/>
        </w:rPr>
        <w:t xml:space="preserve">Cent.</w:t>
      </w:r>
      <w:r>
        <w:rPr>
          <w:i/>
          <w:iCs/>
        </w:rPr>
        <w:t xml:space="preserve"> </w:t>
      </w:r>
      <w:r>
        <w:rPr>
          <w:i/>
          <w:iCs/>
        </w:rPr>
        <w:t xml:space="preserve">La. Elec. Co.</w:t>
      </w:r>
      <w:r>
        <w:t xml:space="preserve"> </w:t>
      </w:r>
      <w:r>
        <w:t xml:space="preserve">601 So. 2d at 1387). However, the “operative facts” giving rise to Morgan’s right to bring a contract action arose when he signed a bail bond contract that required him to pay a premium in excess of what state law required. Pet. ¶¶ 1–⁠3, Ex. A. That is because parties cannot enter contracts that violate state law or public policy.</w:t>
      </w:r>
      <w:r>
        <w:t xml:space="preserve"> </w:t>
      </w:r>
      <w:r>
        <w:rPr>
          <w:i/>
          <w:iCs/>
        </w:rPr>
        <w:t xml:space="preserve">See</w:t>
      </w:r>
      <w:r>
        <w:t xml:space="preserve"> </w:t>
      </w:r>
      <w:r>
        <w:t xml:space="preserve">La.</w:t>
      </w:r>
      <w:r>
        <w:t xml:space="preserve"> </w:t>
      </w:r>
      <w:r>
        <w:t xml:space="preserve">Civ. Code Ann. art. 1968;</w:t>
      </w:r>
      <w:r>
        <w:rPr>
          <w:rStyle w:val="FootnoteReference"/>
        </w:rPr>
        <w:footnoteReference w:id="21"/>
      </w:r>
      <w:r>
        <w:t xml:space="preserve"> </w:t>
      </w:r>
      <w:r>
        <w:t xml:space="preserve">La.</w:t>
      </w:r>
      <w:r>
        <w:t xml:space="preserve"> </w:t>
      </w:r>
      <w:r>
        <w:t xml:space="preserve">Civ. Code Ann. art. 7.</w:t>
      </w:r>
      <w:r>
        <w:rPr>
          <w:rStyle w:val="FootnoteReference"/>
        </w:rPr>
        <w:footnoteReference w:id="22"/>
      </w:r>
      <w:r>
        <w:t xml:space="preserve"> </w:t>
      </w:r>
      <w:r>
        <w:t xml:space="preserve">Morgan’s bail bond contract is prohibited by law because state statute required Defendants to charge a twelve percent premium and does not permit Defendants to charge more.</w:t>
      </w:r>
      <w:r>
        <w:t xml:space="preserve"> </w:t>
      </w:r>
      <w:r>
        <w:rPr>
          <w:i/>
          <w:iCs/>
        </w:rPr>
        <w:t xml:space="preserve">See</w:t>
      </w:r>
      <w:r>
        <w:t xml:space="preserve"> </w:t>
      </w:r>
      <w:r>
        <w:t xml:space="preserve">La.</w:t>
      </w:r>
      <w:r>
        <w:t xml:space="preserve"> </w:t>
      </w:r>
      <w:r>
        <w:t xml:space="preserve">Rev. Stat. § 22:1443. Morgan’s bail bond contract is also against public policy because the purpose of requiring a twelve percent premium is to regulate “insurance rates to the end that they shall not be excessive, inadequate, or unfairly discriminatory.” La.</w:t>
      </w:r>
      <w:r>
        <w:t xml:space="preserve"> </w:t>
      </w:r>
      <w:r>
        <w:t xml:space="preserve">Att’y Gen. Op., No. 05</w:t>
      </w:r>
      <w:r>
        <w:noBreakHyphen/>
      </w:r>
      <w:r>
        <w:t xml:space="preserve">0171, 2006 WL 1670246 (May 25, 2006).</w:t>
      </w:r>
    </w:p>
    <w:p>
      <w:pPr>
        <w:pStyle w:val="BodyTextNote"/>
      </w:pPr>
      <w:r>
        <w:t xml:space="preserve">Morgan’s remedy under Louisiana contract law for being overcharged is either the rescission of his bail bond contract or a refund.</w:t>
      </w:r>
      <w:r>
        <w:t xml:space="preserve"> </w:t>
      </w:r>
      <w:r>
        <w:rPr>
          <w:i/>
          <w:iCs/>
        </w:rPr>
        <w:t xml:space="preserve">See</w:t>
      </w:r>
      <w:r>
        <w:t xml:space="preserve"> </w:t>
      </w:r>
      <w:r>
        <w:t xml:space="preserve">La.</w:t>
      </w:r>
      <w:r>
        <w:t xml:space="preserve"> </w:t>
      </w:r>
      <w:r>
        <w:t xml:space="preserve">Civ. Code Ann. art. 2033.</w:t>
      </w:r>
      <w:r>
        <w:rPr>
          <w:rStyle w:val="FootnoteReference"/>
        </w:rPr>
        <w:footnoteReference w:id="23"/>
      </w:r>
      <w:r>
        <w:t xml:space="preserve"> </w:t>
      </w:r>
      <w:r>
        <w:t xml:space="preserve">His right to pursue these remedies accrued the day he signed his bail bond contract and paid Defendants that entire premium. Petition ¶ 16 (“The entire premium was paid off in March 2014.”). Act 54 violates due process because it eliminates the possibility that Morgan could obtain contract remedies under state law.</w:t>
      </w:r>
      <w:r>
        <w:t xml:space="preserve"> </w:t>
      </w:r>
      <w:r>
        <w:rPr>
          <w:i/>
          <w:iCs/>
        </w:rPr>
        <w:t xml:space="preserve">See</w:t>
      </w:r>
      <w:r>
        <w:t xml:space="preserve"> </w:t>
      </w:r>
      <w:r>
        <w:t xml:space="preserve">Section B.(1), Act 54, Ex. C (“[T]o the extent an additional one percent [premium] has been collected [in violation of R.S. 22:1443] ⁠. ⁠. ⁠. ⁠, no repayment of overcollections ⁠. ⁠. ⁠. shall be required nor shall such [overcollections] be considered a violation of R.S. 22:855 or R.S. 22:1443.”). Morgan’s right to pursue his administrative remedies accrued when he fulfilled his contractual obligations with Defendants and paid a thirteen percent premium for his bail bond.</w:t>
      </w:r>
      <w:r>
        <w:rPr>
          <w:rStyle w:val="FootnoteReference"/>
        </w:rPr>
        <w:footnoteReference w:id="24"/>
      </w:r>
    </w:p>
    <w:p>
      <w:pPr>
        <w:pStyle w:val="BodyText"/>
      </w:pPr>
      <w:r>
        <w:t xml:space="preserve">Thus, contrary to Bankers’ assertions, there is simply nothing within the DAL’s special expertise that it must decide before the district court can determine whether Act 54 violates due process. Indeed, Bankers’ (erroneous) argument that Morgan’s rights will vest only if the Commissioner affirms the Directive’s validity is a legal argument on the merits that Act 54 does not violate due process because Act 54 became effective before his rights vested. It does not justify staying Morgan’s claim because there are predicate issues that the DAL must decide. Indeed, were this case to be remanded to the district court, it could resolve without further discovery that Act 54 violates due process because it eliminates Morgan’s contract remedies and his ability to obtain administrative relief under La.</w:t>
      </w:r>
      <w:r>
        <w:t xml:space="preserve"> </w:t>
      </w:r>
      <w:r>
        <w:t xml:space="preserve">Rev. Stat. § 22:855 after he paid an excessive premium.</w:t>
      </w:r>
    </w:p>
    <w:p>
      <w:pPr>
        <w:keepNext/>
        <w:keepLines/>
        <w:spacing w:before="288" w:after="192" w:line="276" w:lineRule="exact"/>
        <w:ind w:left="0" w:firstLine="0"/>
        <w:jc w:val="left"/>
      </w:pPr>
      <w:r>
        <w:rPr>
          <w:b/>
          <w:bCs/>
        </w:rPr>
        <w:t xml:space="preserve">C.</w:t>
      </w:r>
      <w:r>
        <w:rPr>
          <w:b/>
          <w:bCs/>
        </w:rPr>
        <w:t xml:space="preserve"> </w:t>
      </w:r>
      <w:r>
        <w:rPr>
          <w:b/>
          <w:bCs/>
        </w:rPr>
        <w:t xml:space="preserve">The</w:t>
      </w:r>
      <w:r>
        <w:rPr>
          <w:b/>
          <w:bCs/>
        </w:rPr>
        <w:t xml:space="preserve"> </w:t>
      </w:r>
      <w:r>
        <w:rPr>
          <w:b/>
          <w:bCs/>
        </w:rPr>
        <w:t xml:space="preserve">DAL</w:t>
      </w:r>
      <w:r>
        <w:rPr>
          <w:b/>
          <w:bCs/>
        </w:rPr>
        <w:t xml:space="preserve"> </w:t>
      </w:r>
      <w:r>
        <w:rPr>
          <w:b/>
          <w:bCs/>
        </w:rPr>
        <w:t xml:space="preserve">does</w:t>
      </w:r>
      <w:r>
        <w:rPr>
          <w:b/>
          <w:bCs/>
        </w:rPr>
        <w:t xml:space="preserve"> </w:t>
      </w:r>
      <w:r>
        <w:rPr>
          <w:b/>
          <w:bCs/>
        </w:rPr>
        <w:t xml:space="preserve">not</w:t>
      </w:r>
      <w:r>
        <w:rPr>
          <w:b/>
          <w:bCs/>
        </w:rPr>
        <w:t xml:space="preserve"> </w:t>
      </w:r>
      <w:r>
        <w:rPr>
          <w:b/>
          <w:bCs/>
        </w:rPr>
        <w:t xml:space="preserve">have</w:t>
      </w:r>
      <w:r>
        <w:rPr>
          <w:b/>
          <w:bCs/>
        </w:rPr>
        <w:t xml:space="preserve"> </w:t>
      </w:r>
      <w:r>
        <w:rPr>
          <w:b/>
          <w:bCs/>
        </w:rPr>
        <w:t xml:space="preserve">jurisdiction</w:t>
      </w:r>
      <w:r>
        <w:rPr>
          <w:b/>
          <w:bCs/>
        </w:rPr>
        <w:t xml:space="preserve"> </w:t>
      </w:r>
      <w:r>
        <w:rPr>
          <w:b/>
          <w:bCs/>
        </w:rPr>
        <w:t xml:space="preserve">to</w:t>
      </w:r>
      <w:r>
        <w:rPr>
          <w:b/>
          <w:bCs/>
        </w:rPr>
        <w:t xml:space="preserve"> </w:t>
      </w:r>
      <w:r>
        <w:rPr>
          <w:b/>
          <w:bCs/>
        </w:rPr>
        <w:t xml:space="preserve">determine</w:t>
      </w:r>
      <w:r>
        <w:rPr>
          <w:b/>
          <w:bCs/>
        </w:rPr>
        <w:t xml:space="preserve"> </w:t>
      </w:r>
      <w:r>
        <w:rPr>
          <w:b/>
          <w:bCs/>
        </w:rPr>
        <w:t xml:space="preserve">whether</w:t>
      </w:r>
      <w:r>
        <w:rPr>
          <w:b/>
          <w:bCs/>
        </w:rPr>
        <w:t xml:space="preserve"> </w:t>
      </w:r>
      <w:r>
        <w:rPr>
          <w:b/>
          <w:bCs/>
        </w:rPr>
        <w:t xml:space="preserve">the</w:t>
      </w:r>
      <w:r>
        <w:rPr>
          <w:b/>
          <w:bCs/>
        </w:rPr>
        <w:t xml:space="preserve"> </w:t>
      </w:r>
      <w:r>
        <w:rPr>
          <w:b/>
          <w:bCs/>
        </w:rPr>
        <w:t xml:space="preserve">Commissioner</w:t>
      </w:r>
      <w:r>
        <w:rPr>
          <w:b/>
          <w:bCs/>
        </w:rPr>
        <w:t xml:space="preserve"> </w:t>
      </w:r>
      <w:r>
        <w:rPr>
          <w:b/>
          <w:bCs/>
        </w:rPr>
        <w:t xml:space="preserve">correctly</w:t>
      </w:r>
      <w:r>
        <w:rPr>
          <w:b/>
          <w:bCs/>
        </w:rPr>
        <w:t xml:space="preserve"> </w:t>
      </w:r>
      <w:r>
        <w:rPr>
          <w:b/>
          <w:bCs/>
        </w:rPr>
        <w:t xml:space="preserve">interpreted</w:t>
      </w:r>
      <w:r>
        <w:rPr>
          <w:b/>
          <w:bCs/>
        </w:rPr>
        <w:t xml:space="preserve"> </w:t>
      </w:r>
      <w:r>
        <w:rPr>
          <w:b/>
          <w:bCs/>
        </w:rPr>
        <w:t xml:space="preserve">the</w:t>
      </w:r>
      <w:r>
        <w:rPr>
          <w:b/>
          <w:bCs/>
        </w:rPr>
        <w:t xml:space="preserve"> </w:t>
      </w:r>
      <w:r>
        <w:rPr>
          <w:b/>
          <w:bCs/>
        </w:rPr>
        <w:t xml:space="preserve">pre-Act</w:t>
      </w:r>
      <w:r>
        <w:rPr>
          <w:b/>
          <w:bCs/>
        </w:rPr>
        <w:t xml:space="preserve"> </w:t>
      </w:r>
      <w:r>
        <w:rPr>
          <w:b/>
          <w:bCs/>
        </w:rPr>
        <w:t xml:space="preserve">54</w:t>
      </w:r>
      <w:r>
        <w:rPr>
          <w:b/>
          <w:bCs/>
        </w:rPr>
        <w:t xml:space="preserve"> </w:t>
      </w:r>
      <w:r>
        <w:rPr>
          <w:b/>
          <w:bCs/>
        </w:rPr>
        <w:t xml:space="preserve">statutes</w:t>
      </w:r>
      <w:r>
        <w:rPr>
          <w:b/>
          <w:bCs/>
        </w:rPr>
        <w:t xml:space="preserve"> </w:t>
      </w:r>
      <w:r>
        <w:rPr>
          <w:b/>
          <w:bCs/>
        </w:rPr>
        <w:t xml:space="preserve">because</w:t>
      </w:r>
      <w:r>
        <w:rPr>
          <w:b/>
          <w:bCs/>
        </w:rPr>
        <w:t xml:space="preserve"> </w:t>
      </w:r>
      <w:r>
        <w:rPr>
          <w:b/>
          <w:bCs/>
        </w:rPr>
        <w:t xml:space="preserve">doing</w:t>
      </w:r>
      <w:r>
        <w:rPr>
          <w:b/>
          <w:bCs/>
        </w:rPr>
        <w:t xml:space="preserve"> </w:t>
      </w:r>
      <w:r>
        <w:rPr>
          <w:b/>
          <w:bCs/>
        </w:rPr>
        <w:t xml:space="preserve">so</w:t>
      </w:r>
      <w:r>
        <w:rPr>
          <w:b/>
          <w:bCs/>
        </w:rPr>
        <w:t xml:space="preserve"> </w:t>
      </w:r>
      <w:r>
        <w:rPr>
          <w:b/>
          <w:bCs/>
        </w:rPr>
        <w:t xml:space="preserve">would</w:t>
      </w:r>
      <w:r>
        <w:rPr>
          <w:b/>
          <w:bCs/>
        </w:rPr>
        <w:t xml:space="preserve"> </w:t>
      </w:r>
      <w:r>
        <w:rPr>
          <w:b/>
          <w:bCs/>
        </w:rPr>
        <w:t xml:space="preserve">be</w:t>
      </w:r>
      <w:r>
        <w:rPr>
          <w:b/>
          <w:bCs/>
        </w:rPr>
        <w:t xml:space="preserve"> </w:t>
      </w:r>
      <w:r>
        <w:rPr>
          <w:b/>
          <w:bCs/>
        </w:rPr>
        <w:t xml:space="preserve">a</w:t>
      </w:r>
      <w:r>
        <w:rPr>
          <w:b/>
          <w:bCs/>
        </w:rPr>
        <w:t xml:space="preserve"> </w:t>
      </w:r>
      <w:r>
        <w:rPr>
          <w:b/>
          <w:bCs/>
        </w:rPr>
        <w:t xml:space="preserve">prohibited</w:t>
      </w:r>
      <w:r>
        <w:rPr>
          <w:b/>
          <w:bCs/>
        </w:rPr>
        <w:t xml:space="preserve"> </w:t>
      </w:r>
      <w:r>
        <w:rPr>
          <w:b/>
          <w:bCs/>
        </w:rPr>
        <w:t xml:space="preserve">hypothetical</w:t>
      </w:r>
      <w:r>
        <w:rPr>
          <w:b/>
          <w:bCs/>
        </w:rPr>
        <w:t xml:space="preserve"> </w:t>
      </w:r>
      <w:r>
        <w:rPr>
          <w:b/>
          <w:bCs/>
        </w:rPr>
        <w:t xml:space="preserve">exercise.</w:t>
      </w:r>
    </w:p>
    <w:p>
      <w:pPr>
        <w:pStyle w:val="BodyText"/>
      </w:pPr>
      <w:r>
        <w:t xml:space="preserve">The district court referred the Directive to the DAL to consider the Directive’s validity but did not explain what it expected the DAL to do. There are two options: (1) the DAL could interpret the validity of the Directive by ignoring Act 54, which would involve deciding moot questions; or (2) invalidate the Directive based on Act 54. Both actions conflict with this Court’s precedent.</w:t>
      </w:r>
    </w:p>
    <w:p>
      <w:pPr>
        <w:pStyle w:val="BodyText"/>
      </w:pPr>
      <w:r>
        <w:t xml:space="preserve">Defendants argued to the district court that it should avoid ruling on Morgan’s constitutional claims and request the DAL to evaluate the Directive’s validity based on versions of statutes that are no longer in operation because Act 54 retroactively amended them. The DAL cannot disregard Act 54’s passage without violating fundamental principles of justiciability.</w:t>
      </w:r>
    </w:p>
    <w:p>
      <w:pPr>
        <w:pStyle w:val="BodyText"/>
      </w:pPr>
      <w:r>
        <w:t xml:space="preserve">“In Louisiana, courts will not decide abstract, hypothetical, or moot controversies, or render advisory opinions with respect to such controversies.”</w:t>
      </w:r>
      <w:r>
        <w:t xml:space="preserve"> </w:t>
      </w:r>
      <w:r>
        <w:rPr>
          <w:i/>
          <w:iCs/>
        </w:rPr>
        <w:t xml:space="preserve">Ulrich</w:t>
      </w:r>
      <w:r>
        <w:rPr>
          <w:i/>
          <w:iCs/>
        </w:rPr>
        <w:t xml:space="preserve"> </w:t>
      </w:r>
      <w:r>
        <w:rPr>
          <w:i/>
          <w:iCs/>
        </w:rPr>
        <w:t xml:space="preserve">v. Robinson</w:t>
      </w:r>
      <w:r>
        <w:t xml:space="preserve">, 2018</w:t>
      </w:r>
      <w:r>
        <w:noBreakHyphen/>
      </w:r>
      <w:r>
        <w:t xml:space="preserve">0534 (La. 3/26/19), 282 So. 3d 180, 186. “[A] moot question connotes an issue that has been deprived of practical significance” or “made abstract or purely academic.”</w:t>
      </w:r>
      <w:r>
        <w:t xml:space="preserve"> </w:t>
      </w:r>
      <w:r>
        <w:rPr>
          <w:i/>
          <w:iCs/>
        </w:rPr>
        <w:t xml:space="preserve">St. Charles</w:t>
      </w:r>
      <w:r>
        <w:rPr>
          <w:i/>
          <w:iCs/>
        </w:rPr>
        <w:t xml:space="preserve"> </w:t>
      </w:r>
      <w:r>
        <w:rPr>
          <w:i/>
          <w:iCs/>
        </w:rPr>
        <w:t xml:space="preserve">Par. Sch. Bd. v. GAF Corp.</w:t>
      </w:r>
      <w:r>
        <w:t xml:space="preserve">, 85</w:t>
      </w:r>
      <w:r>
        <w:noBreakHyphen/>
      </w:r>
      <w:r>
        <w:t xml:space="preserve">2334 (La. 08/07/87), 512 So. 2d 1165, 1171 (citation and internal quotation marks omitted). The doctrine “serves two complementary purposes: it prevents the useless expenditure of judicial resources and assures that the courts will not intrude prematurely into policymaking in a manner that unnecessarily constrains the other branches of government.”</w:t>
      </w:r>
      <w:r>
        <w:t xml:space="preserve"> </w:t>
      </w:r>
      <w:r>
        <w:rPr>
          <w:i/>
          <w:iCs/>
        </w:rPr>
        <w:t xml:space="preserve">Id.</w:t>
      </w:r>
    </w:p>
    <w:p>
      <w:pPr>
        <w:pStyle w:val="BodyText"/>
      </w:pPr>
      <w:r>
        <w:t xml:space="preserve">The DAL cannot disregard the passage of Act 54 and decide questions that Act 54 mooted. If the legislature amends a statute, a dispute over the meaning of those statutes may become moot.</w:t>
      </w:r>
      <w:r>
        <w:t xml:space="preserve"> </w:t>
      </w:r>
      <w:r>
        <w:rPr>
          <w:i/>
          <w:iCs/>
        </w:rPr>
        <w:t xml:space="preserve">Cat’s</w:t>
      </w:r>
      <w:r>
        <w:rPr>
          <w:i/>
          <w:iCs/>
        </w:rPr>
        <w:t xml:space="preserve"> </w:t>
      </w:r>
      <w:r>
        <w:rPr>
          <w:i/>
          <w:iCs/>
        </w:rPr>
        <w:t xml:space="preserve">Meow</w:t>
      </w:r>
      <w:r>
        <w:t xml:space="preserve">, 720 So. 2d at 1194. “In such a case, there is no longer an actual controversy for the court to address, and any judicial adjudication on the matter would be an impermissible advisory opinion.”</w:t>
      </w:r>
      <w:r>
        <w:t xml:space="preserve"> </w:t>
      </w:r>
      <w:r>
        <w:rPr>
          <w:i/>
          <w:iCs/>
        </w:rPr>
        <w:t xml:space="preserve">Id.</w:t>
      </w:r>
      <w:r>
        <w:t xml:space="preserve"> </w:t>
      </w:r>
      <w:r>
        <w:t xml:space="preserve">Although an amended statute may not moot a case under the collateral consequences exception “when damages or other monetary relief has been claimed on account of former provisions of a challenged article, statute, or ordinance,” that exception applies only when the amendment or “repeal does not have retroactive effect.”</w:t>
      </w:r>
      <w:r>
        <w:t xml:space="preserve"> </w:t>
      </w:r>
      <w:r>
        <w:rPr>
          <w:i/>
          <w:iCs/>
        </w:rPr>
        <w:t xml:space="preserve">Id.</w:t>
      </w:r>
      <w:r>
        <w:t xml:space="preserve"> </w:t>
      </w:r>
      <w:r>
        <w:t xml:space="preserve">at 1196 (emphasis added).</w:t>
      </w:r>
    </w:p>
    <w:p>
      <w:pPr>
        <w:pStyle w:val="BodyText"/>
      </w:pPr>
      <w:r>
        <w:t xml:space="preserve">However, Act 54 explicitly states that it “shall have retroactive effect” and that “no repayment of overcollections as determined by the commissioner shall be required.” Act 54, Ex. C. The DAL cannot interpret the pre-Act 54 statutory regime as if Act 54 was never enacted because the DAL’s interpretation would have no practical effect: Act 54 already states that Defendants’ actions shall not “be considered a violation of R.S. 22:855 or R.S. 22:1443,”</w:t>
      </w:r>
      <w:r>
        <w:t xml:space="preserve"> </w:t>
      </w:r>
      <w:r>
        <w:rPr>
          <w:i/>
          <w:iCs/>
        </w:rPr>
        <w:t xml:space="preserve">see</w:t>
      </w:r>
      <w:r>
        <w:t xml:space="preserve"> </w:t>
      </w:r>
      <w:r>
        <w:t xml:space="preserve">Section 2, Act 54, and eliminates any remedy that Morgan could have otherwise pursued for being overcharged. Whether the Commissioner correctly interpreted the pre-Act 54 statutes is only justiciable if the district court first finds that Act 54 is unconstitutional.</w:t>
      </w:r>
    </w:p>
    <w:p>
      <w:pPr>
        <w:pStyle w:val="BodyText"/>
      </w:pPr>
      <w:r>
        <w:t xml:space="preserve">Alternatively, the DAL could invalidate the Directive based on Act 54. However, requesting the DAL to invalidate the Directive based on Act 54—without first adjudicating Act 54’s constitutionality—would violate this Court’s holding in</w:t>
      </w:r>
      <w:r>
        <w:t xml:space="preserve"> </w:t>
      </w:r>
      <w:r>
        <w:rPr>
          <w:i/>
          <w:iCs/>
        </w:rPr>
        <w:t xml:space="preserve">Louisiana</w:t>
      </w:r>
      <w:r>
        <w:rPr>
          <w:i/>
          <w:iCs/>
        </w:rPr>
        <w:t xml:space="preserve"> </w:t>
      </w:r>
      <w:r>
        <w:rPr>
          <w:i/>
          <w:iCs/>
        </w:rPr>
        <w:t xml:space="preserve">Paddlewheels</w:t>
      </w:r>
      <w:r>
        <w:t xml:space="preserve">, which held that a plaintiff “did not have to exhaust any administrative remedy in order to challenge the constitutionality of a statute under which it was adversely affected, and only the district court can declare a statute unconstitutional.” 646</w:t>
      </w:r>
      <w:r>
        <w:t xml:space="preserve"> </w:t>
      </w:r>
      <w:r>
        <w:t xml:space="preserve">So. 2d at 888 n.4. And even Bankers itself now no longer believes that it would be “appropriate” for the DAL to evaluate the Directive in light of Act 54 at this stage of the case,</w:t>
      </w:r>
      <w:r>
        <w:t xml:space="preserve"> </w:t>
      </w:r>
      <w:r>
        <w:rPr>
          <w:i/>
          <w:iCs/>
        </w:rPr>
        <w:t xml:space="preserve">see</w:t>
      </w:r>
      <w:r>
        <w:t xml:space="preserve"> </w:t>
      </w:r>
      <w:r>
        <w:t xml:space="preserve">Bankers Reply in Support of Exceptions at 3, given the DAL’s stay and Morgan’s challenge to Act 54’s constitutionality.</w:t>
      </w:r>
    </w:p>
    <w:p>
      <w:pPr>
        <w:keepNext/>
        <w:keepLines/>
        <w:spacing w:before="288" w:after="240" w:line="276" w:lineRule="exact"/>
        <w:ind w:left="0" w:firstLine="0"/>
        <w:jc w:val="center"/>
      </w:pPr>
      <w:r>
        <w:rPr>
          <w:b/>
          <w:bCs/>
        </w:rPr>
        <w:t xml:space="preserve">VI.</w:t>
      </w:r>
      <w:r>
        <w:rPr>
          <w:b/>
          <w:bCs/>
        </w:rPr>
        <w:t xml:space="preserve"> </w:t>
      </w:r>
      <w:r>
        <w:rPr>
          <w:b/>
          <w:bCs/>
        </w:rPr>
        <w:t xml:space="preserve">CONCLUSION</w:t>
      </w:r>
    </w:p>
    <w:p>
      <w:pPr>
        <w:pStyle w:val="BodyText"/>
      </w:pPr>
      <w:r>
        <w:t xml:space="preserve">More than two years have passed since the Commissioner issued the Directive intended to compensate about 50,000 New Orleans families for being overcharged. The Directive was intended to compensate those families for profits that the bail bond industry illegally reaped and that New Orleans families could have spent on mortgages, rent, utilities, education, transportation, healthcare, and other necessities. Those families deserve to know without any further delay whether the legislature violated Louisiana’s Constitution by passing legislation intended to strip them of this compensation and to insulate the bail bond industry from any liability.</w:t>
      </w:r>
    </w:p>
    <w:p>
      <w:pPr>
        <w:pStyle w:val="BodyText"/>
      </w:pPr>
      <w:r>
        <w:t xml:space="preserve">For the aforementioned reasons, this Court should reverse the district court and order it to lift its stay and to adjudicate Morgan’s constitutional claims before the DAL resolves the Directive’s validity. The constitutionality of Act 54 is the threshold question, the DAL does not have jurisdiction to resolve that question, and there is nothing within the DAL’s special expertise that it must decide before the district court can adjudicate Morgan’s constitutional claims.</w:t>
      </w: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552" w:lineRule="exact"/>
              <w:ind w:left="0" w:firstLine="0"/>
              <w:jc w:val="left"/>
            </w:pPr>
            <w:r>
              <w:t xml:space="preserve">Respectfully</w:t>
            </w:r>
            <w:r>
              <w:t xml:space="preserve"> </w:t>
            </w:r>
            <w:r>
              <w:t xml:space="preserve">submitted,</w:t>
            </w:r>
          </w:p>
          <w:p>
            <w:pPr>
              <w:spacing w:before="0" w:after="0" w:line="144"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4464"/>
              <w:gridCol w:w="4896"/>
            </w:tblGrid>
            <w:tr>
              <w:trPr>
                <w:cantSplit/>
              </w:trPr>
              <w:tc>
                <w:tcPr>
                  <w:tcW w:w="4464" w:type="dxa"/>
                </w:tcPr>
                <w:p>
                  <w:pPr>
                    <w:spacing w:before="0" w:after="0" w:line="276" w:lineRule="exact"/>
                    <w:ind w:left="0" w:firstLine="0"/>
                    <w:jc w:val="left"/>
                  </w:pPr>
                  <w:r>
                    <w:t xml:space="preserve">/s/</w:t>
                  </w:r>
                  <w:r>
                    <w:t xml:space="preserve"> </w:t>
                  </w:r>
                  <w:r>
                    <w:t xml:space="preserve">Micah</w:t>
                  </w:r>
                  <w:r>
                    <w:t xml:space="preserve"> </w:t>
                  </w:r>
                  <w:r>
                    <w:t xml:space="preserve">West</w:t>
                  </w:r>
                </w:p>
                <w:p>
                  <w:pPr>
                    <w:spacing w:before="0" w:after="0" w:line="276" w:lineRule="exact"/>
                    <w:ind w:left="0" w:firstLine="0"/>
                    <w:jc w:val="left"/>
                  </w:pPr>
                  <w:r>
                    <w:t xml:space="preserve">Micah</w:t>
                  </w:r>
                  <w:r>
                    <w:t xml:space="preserve"> </w:t>
                  </w:r>
                  <w:r>
                    <w:t xml:space="preserve">West</w:t>
                  </w:r>
                  <w:r>
                    <w:t xml:space="preserve"> </w:t>
                  </w:r>
                  <w:r>
                    <w:t xml:space="preserve">(ASB</w:t>
                    <w:noBreakHyphen/>
                    <w:t xml:space="preserve">1842-J82F*)</w:t>
                  </w:r>
                </w:p>
                <w:p>
                  <w:pPr>
                    <w:spacing w:before="0" w:after="0" w:line="276" w:lineRule="exact"/>
                    <w:ind w:left="0" w:firstLine="0"/>
                    <w:jc w:val="left"/>
                  </w:pPr>
                  <w:r>
                    <w:t xml:space="preserve">Anjana</w:t>
                  </w:r>
                  <w:r>
                    <w:t xml:space="preserve"> </w:t>
                  </w:r>
                  <w:r>
                    <w:t xml:space="preserve">Joshi</w:t>
                  </w:r>
                  <w:r>
                    <w:t xml:space="preserve"> </w:t>
                  </w:r>
                  <w:r>
                    <w:t xml:space="preserve">(39020)</w:t>
                  </w:r>
                </w:p>
                <w:p>
                  <w:pPr>
                    <w:spacing w:before="0" w:after="0" w:line="276" w:lineRule="exact"/>
                    <w:ind w:left="0" w:firstLine="0"/>
                    <w:jc w:val="left"/>
                  </w:pPr>
                  <w:r>
                    <w:t xml:space="preserve">SOUTHERN</w:t>
                  </w:r>
                  <w:r>
                    <w:t xml:space="preserve"> </w:t>
                  </w:r>
                  <w:r>
                    <w:t xml:space="preserve">POVERTY</w:t>
                  </w:r>
                  <w:r>
                    <w:t xml:space="preserve"> </w:t>
                  </w:r>
                  <w:r>
                    <w:t xml:space="preserve">LAW</w:t>
                  </w:r>
                  <w:r>
                    <w:t xml:space="preserve"> </w:t>
                  </w:r>
                  <w:r>
                    <w:t xml:space="preserve">CENTER</w:t>
                  </w:r>
                </w:p>
                <w:p>
                  <w:pPr>
                    <w:spacing w:before="0" w:after="0" w:line="276" w:lineRule="exact"/>
                    <w:ind w:left="0" w:firstLine="0"/>
                    <w:jc w:val="left"/>
                  </w:pPr>
                  <w:r>
                    <w:t xml:space="preserve">201</w:t>
                  </w:r>
                  <w:r>
                    <w:t xml:space="preserve"> </w:t>
                  </w:r>
                  <w:r>
                    <w:t xml:space="preserve">St.</w:t>
                  </w:r>
                  <w:r>
                    <w:t xml:space="preserve"> </w:t>
                  </w:r>
                  <w:r>
                    <w:t xml:space="preserve">Charles</w:t>
                  </w:r>
                  <w:r>
                    <w:t xml:space="preserve"> </w:t>
                  </w:r>
                  <w:r>
                    <w:t xml:space="preserve">Ave,</w:t>
                  </w:r>
                  <w:r>
                    <w:t xml:space="preserve"> </w:t>
                  </w:r>
                  <w:r>
                    <w:t xml:space="preserve">Suite</w:t>
                  </w:r>
                  <w:r>
                    <w:t xml:space="preserve"> </w:t>
                  </w:r>
                  <w:r>
                    <w:t xml:space="preserve">2000</w:t>
                  </w:r>
                </w:p>
                <w:p>
                  <w:pPr>
                    <w:spacing w:before="0" w:after="0" w:line="276" w:lineRule="exact"/>
                    <w:ind w:left="0" w:firstLine="0"/>
                    <w:jc w:val="left"/>
                  </w:pPr>
                  <w:r>
                    <w:t xml:space="preserve">New</w:t>
                  </w:r>
                  <w:r>
                    <w:t xml:space="preserve"> </w:t>
                  </w:r>
                  <w:r>
                    <w:t xml:space="preserve">Orleans,</w:t>
                  </w:r>
                  <w:r>
                    <w:t xml:space="preserve"> </w:t>
                  </w:r>
                  <w:r>
                    <w:t xml:space="preserve">LA</w:t>
                  </w:r>
                  <w:r>
                    <w:t xml:space="preserve"> </w:t>
                  </w:r>
                  <w:r>
                    <w:t xml:space="preserve">70170</w:t>
                  </w:r>
                </w:p>
                <w:p>
                  <w:pPr>
                    <w:spacing w:before="0" w:after="0" w:line="276" w:lineRule="exact"/>
                    <w:ind w:left="0" w:firstLine="0"/>
                    <w:jc w:val="left"/>
                  </w:pPr>
                  <w:r>
                    <w:t xml:space="preserve">Telephone:</w:t>
                  </w:r>
                  <w:r>
                    <w:t xml:space="preserve"> </w:t>
                  </w:r>
                  <w:r>
                    <w:t xml:space="preserve">504</w:t>
                    <w:noBreakHyphen/>
                    <w:t xml:space="preserve">486</w:t>
                    <w:noBreakHyphen/>
                    <w:t xml:space="preserve">8982</w:t>
                  </w:r>
                </w:p>
                <w:p>
                  <w:pPr>
                    <w:spacing w:before="0" w:after="0" w:line="276" w:lineRule="exact"/>
                    <w:ind w:left="0" w:firstLine="0"/>
                    <w:jc w:val="left"/>
                  </w:pPr>
                  <w:r>
                    <w:t xml:space="preserve">Fax:</w:t>
                  </w:r>
                  <w:r>
                    <w:t xml:space="preserve"> </w:t>
                  </w:r>
                  <w:r>
                    <w:t xml:space="preserve">504</w:t>
                    <w:noBreakHyphen/>
                    <w:t xml:space="preserve">486</w:t>
                    <w:noBreakHyphen/>
                    <w:t xml:space="preserve">8947</w:t>
                  </w:r>
                </w:p>
                <w:p>
                  <w:pPr>
                    <w:spacing w:before="0" w:after="0" w:line="276" w:lineRule="exact"/>
                    <w:ind w:left="0" w:firstLine="0"/>
                    <w:jc w:val="left"/>
                  </w:pPr>
                  <w:r>
                    <w:t xml:space="preserve">William</w:t>
                  </w:r>
                  <w:r>
                    <w:t xml:space="preserve"> </w:t>
                  </w:r>
                  <w:r>
                    <w:t xml:space="preserve">Patrick</w:t>
                  </w:r>
                  <w:r>
                    <w:t xml:space="preserve"> </w:t>
                  </w:r>
                  <w:r>
                    <w:t xml:space="preserve">Quigley</w:t>
                  </w:r>
                  <w:r>
                    <w:t xml:space="preserve"> </w:t>
                  </w:r>
                  <w:r>
                    <w:t xml:space="preserve">(07769)</w:t>
                  </w:r>
                </w:p>
                <w:p>
                  <w:pPr>
                    <w:spacing w:before="0" w:after="0" w:line="276" w:lineRule="exact"/>
                    <w:ind w:left="0" w:firstLine="0"/>
                    <w:jc w:val="left"/>
                  </w:pPr>
                  <w:r>
                    <w:t xml:space="preserve">LOYOLA</w:t>
                  </w:r>
                  <w:r>
                    <w:t xml:space="preserve"> </w:t>
                  </w:r>
                  <w:r>
                    <w:t xml:space="preserve">UNIVERSITY</w:t>
                  </w:r>
                  <w:r>
                    <w:t xml:space="preserve"> </w:t>
                  </w:r>
                  <w:r>
                    <w:t xml:space="preserve">NEW</w:t>
                  </w:r>
                  <w:r>
                    <w:t xml:space="preserve"> </w:t>
                  </w:r>
                  <w:r>
                    <w:t xml:space="preserve">ORLEANS</w:t>
                  </w:r>
                </w:p>
                <w:p>
                  <w:pPr>
                    <w:spacing w:before="0" w:after="0" w:line="276" w:lineRule="exact"/>
                    <w:ind w:left="0" w:firstLine="0"/>
                    <w:jc w:val="left"/>
                  </w:pPr>
                  <w:r>
                    <w:t xml:space="preserve">7214</w:t>
                  </w:r>
                  <w:r>
                    <w:t xml:space="preserve"> </w:t>
                  </w:r>
                  <w:r>
                    <w:t xml:space="preserve">St.</w:t>
                  </w:r>
                  <w:r>
                    <w:t xml:space="preserve"> </w:t>
                  </w:r>
                  <w:r>
                    <w:t xml:space="preserve">Charles</w:t>
                  </w:r>
                  <w:r>
                    <w:t xml:space="preserve"> </w:t>
                  </w:r>
                  <w:r>
                    <w:t xml:space="preserve">Avenue</w:t>
                  </w:r>
                </w:p>
                <w:p>
                  <w:pPr>
                    <w:spacing w:before="0" w:after="0" w:line="276" w:lineRule="exact"/>
                    <w:ind w:left="0" w:firstLine="0"/>
                    <w:jc w:val="left"/>
                  </w:pPr>
                  <w:r>
                    <w:t xml:space="preserve">New</w:t>
                  </w:r>
                  <w:r>
                    <w:t xml:space="preserve"> </w:t>
                  </w:r>
                  <w:r>
                    <w:t xml:space="preserve">Orleans,</w:t>
                  </w:r>
                  <w:r>
                    <w:t xml:space="preserve"> </w:t>
                  </w:r>
                  <w:r>
                    <w:t xml:space="preserve">LA</w:t>
                  </w:r>
                  <w:r>
                    <w:t xml:space="preserve"> </w:t>
                  </w:r>
                  <w:r>
                    <w:t xml:space="preserve">70118</w:t>
                  </w:r>
                </w:p>
                <w:p>
                  <w:pPr>
                    <w:spacing w:before="0" w:after="0" w:line="276" w:lineRule="exact"/>
                    <w:ind w:left="0" w:firstLine="0"/>
                    <w:jc w:val="left"/>
                  </w:pPr>
                  <w:r>
                    <w:t xml:space="preserve">Telephone:</w:t>
                  </w:r>
                  <w:r>
                    <w:t xml:space="preserve"> </w:t>
                  </w:r>
                  <w:r>
                    <w:t xml:space="preserve">504</w:t>
                    <w:noBreakHyphen/>
                    <w:t xml:space="preserve">710</w:t>
                    <w:noBreakHyphen/>
                    <w:t xml:space="preserve">3074</w:t>
                  </w:r>
                </w:p>
                <w:p>
                  <w:pPr>
                    <w:spacing w:before="0" w:after="0" w:line="276" w:lineRule="exact"/>
                    <w:ind w:left="0" w:firstLine="0"/>
                    <w:jc w:val="left"/>
                  </w:pPr>
                  <w:r>
                    <w:t xml:space="preserve">Email:</w:t>
                  </w:r>
                  <w:r>
                    <w:t xml:space="preserve"> </w:t>
                  </w:r>
                  <w:r>
                    <w:t xml:space="preserve">quigley@loyno.edu</w:t>
                  </w:r>
                </w:p>
                <w:p>
                  <w:pPr>
                    <w:spacing w:before="0" w:after="0" w:line="276" w:lineRule="exact"/>
                    <w:ind w:left="0" w:firstLine="0"/>
                    <w:jc w:val="left"/>
                  </w:pPr>
                  <w:r>
                    <w:t xml:space="preserve">Attorneys</w:t>
                  </w:r>
                  <w:r>
                    <w:t xml:space="preserve"> </w:t>
                  </w:r>
                  <w:r>
                    <w:t xml:space="preserve">for</w:t>
                  </w:r>
                  <w:r>
                    <w:t xml:space="preserve"> </w:t>
                  </w:r>
                  <w:r>
                    <w:t xml:space="preserve">Jerome</w:t>
                  </w:r>
                  <w:r>
                    <w:t xml:space="preserve"> </w:t>
                  </w:r>
                  <w:r>
                    <w:t xml:space="preserve">Morgan,</w:t>
                  </w:r>
                  <w:r>
                    <w:t xml:space="preserve"> </w:t>
                  </w:r>
                  <w:r>
                    <w:t xml:space="preserve">Plaintiff-Applicant</w:t>
                  </w:r>
                </w:p>
                <w:p>
                  <w:pPr>
                    <w:spacing w:before="0" w:after="0" w:line="276" w:lineRule="exact"/>
                    <w:ind w:left="0" w:firstLine="0"/>
                    <w:jc w:val="left"/>
                  </w:pPr>
                  <w:r>
                    <w:t xml:space="preserve">*admitted</w:t>
                  </w:r>
                  <w:r>
                    <w:t xml:space="preserve"> </w:t>
                  </w:r>
                  <w:r>
                    <w:t xml:space="preserve">pro</w:t>
                  </w:r>
                  <w:r>
                    <w:t xml:space="preserve"> </w:t>
                  </w:r>
                  <w:r>
                    <w:t xml:space="preserve">hac</w:t>
                  </w:r>
                  <w:r>
                    <w:t xml:space="preserve"> </w:t>
                  </w:r>
                  <w:r>
                    <w:t xml:space="preserve">vice</w:t>
                  </w:r>
                </w:p>
              </w:tc>
              <w:tc>
                <w:tcPr>
                  <w:tcW w:w="4896" w:type="dxa"/>
                  <w:tcMar>
                    <w:left w:w="432" w:type="dxa"/>
                  </w:tcMar>
                </w:tcPr>
                <w:p>
                  <w:pPr>
                    <w:spacing w:before="0" w:after="0" w:line="1" w:lineRule="exact"/>
                  </w:pPr>
                </w:p>
              </w:tc>
            </w:tr>
          </w:tbl>
          <w:p>
            <w:pPr>
              <w:spacing w:before="0" w:after="0" w:line="1" w:lineRule="exact"/>
            </w:pPr>
          </w:p>
        </w:tc>
      </w:tr>
    </w:tbl>
    <w:p>
      <w:pPr>
        <w:pageBreakBefore/>
        <w:spacing w:before="0" w:after="0" w:line="1" w:lineRule="exact"/>
      </w:pPr>
    </w:p>
    <w:p>
      <w:pPr>
        <w:spacing w:before="0" w:after="288" w:line="276" w:lineRule="exact"/>
        <w:ind w:left="0" w:firstLine="0"/>
        <w:jc w:val="center"/>
      </w:pPr>
      <w:r>
        <w:rPr>
          <w:b/>
          <w:bCs/>
        </w:rPr>
        <w:t xml:space="preserve">VERIFICATION</w:t>
      </w:r>
    </w:p>
    <w:p>
      <w:pPr>
        <w:spacing w:before="0" w:after="0" w:line="552" w:lineRule="exact"/>
        <w:ind w:left="0" w:firstLine="720"/>
        <w:jc w:val="left"/>
      </w:pPr>
      <w:r>
        <w:t xml:space="preserve">STATE</w:t>
      </w:r>
      <w:r>
        <w:t xml:space="preserve"> </w:t>
      </w:r>
      <w:r>
        <w:t xml:space="preserve">OF</w:t>
      </w:r>
      <w:r>
        <w:t xml:space="preserve"> </w:t>
      </w:r>
      <w:r>
        <w:t xml:space="preserve">Alabama,</w:t>
      </w:r>
      <w:r>
        <w:t xml:space="preserve"> </w:t>
      </w:r>
      <w:r>
        <w:t xml:space="preserve">COUNTY</w:t>
      </w:r>
      <w:r>
        <w:t xml:space="preserve"> </w:t>
      </w:r>
      <w:r>
        <w:t xml:space="preserve">OF</w:t>
      </w:r>
      <w:r>
        <w:t xml:space="preserve"> </w:t>
      </w:r>
      <w:r>
        <w:t xml:space="preserve">Montgomery.</w:t>
      </w:r>
    </w:p>
    <w:p>
      <w:pPr>
        <w:spacing w:before="0" w:after="0" w:line="552" w:lineRule="exact"/>
        <w:ind w:left="0" w:firstLine="720"/>
        <w:jc w:val="left"/>
      </w:pPr>
      <w:r>
        <w:t xml:space="preserve">Before</w:t>
      </w:r>
      <w:r>
        <w:t xml:space="preserve"> </w:t>
      </w:r>
      <w:r>
        <w:t xml:space="preserve">me,</w:t>
      </w:r>
      <w:r>
        <w:t xml:space="preserve"> </w:t>
      </w:r>
      <w:r>
        <w:t xml:space="preserve">the</w:t>
      </w:r>
      <w:r>
        <w:t xml:space="preserve"> </w:t>
      </w:r>
      <w:r>
        <w:t xml:space="preserve">undersigned</w:t>
      </w:r>
      <w:r>
        <w:t xml:space="preserve"> </w:t>
      </w:r>
      <w:r>
        <w:t xml:space="preserve">authority,</w:t>
      </w:r>
      <w:r>
        <w:t xml:space="preserve"> </w:t>
      </w:r>
      <w:r>
        <w:t xml:space="preserve">personally</w:t>
      </w:r>
      <w:r>
        <w:t xml:space="preserve"> </w:t>
      </w:r>
      <w:r>
        <w:t xml:space="preserve">came</w:t>
      </w:r>
      <w:r>
        <w:t xml:space="preserve"> </w:t>
      </w:r>
      <w:r>
        <w:t xml:space="preserve">and</w:t>
      </w:r>
      <w:r>
        <w:t xml:space="preserve"> </w:t>
      </w:r>
      <w:r>
        <w:t xml:space="preserve">appeared</w:t>
      </w:r>
      <w:r>
        <w:t xml:space="preserve"> </w:t>
      </w:r>
      <w:r>
        <w:t xml:space="preserve">Micah</w:t>
      </w:r>
      <w:r>
        <w:t xml:space="preserve"> </w:t>
      </w:r>
      <w:r>
        <w:t xml:space="preserve">West</w:t>
      </w:r>
      <w:r>
        <w:t xml:space="preserve"> </w:t>
      </w:r>
      <w:r>
        <w:t xml:space="preserve">(“Affiant”),</w:t>
      </w:r>
      <w:r>
        <w:t xml:space="preserve"> </w:t>
      </w:r>
      <w:r>
        <w:t xml:space="preserve">who,</w:t>
      </w:r>
      <w:r>
        <w:t xml:space="preserve"> </w:t>
      </w:r>
      <w:r>
        <w:t xml:space="preserve">being</w:t>
      </w:r>
      <w:r>
        <w:t xml:space="preserve"> </w:t>
      </w:r>
      <w:r>
        <w:t xml:space="preserve">duly</w:t>
      </w:r>
      <w:r>
        <w:t xml:space="preserve"> </w:t>
      </w:r>
      <w:r>
        <w:t xml:space="preserve">sworn</w:t>
      </w:r>
      <w:r>
        <w:t xml:space="preserve"> </w:t>
      </w:r>
      <w:r>
        <w:t xml:space="preserve">and</w:t>
      </w:r>
      <w:r>
        <w:t xml:space="preserve"> </w:t>
      </w:r>
      <w:r>
        <w:t xml:space="preserve">deposed,</w:t>
      </w:r>
      <w:r>
        <w:t xml:space="preserve"> </w:t>
      </w:r>
      <w:r>
        <w:t xml:space="preserve">stated</w:t>
      </w:r>
      <w:r>
        <w:t xml:space="preserve"> </w:t>
      </w:r>
      <w:r>
        <w:t xml:space="preserve">that</w:t>
      </w:r>
      <w:r>
        <w:t xml:space="preserve"> </w:t>
      </w:r>
      <w:r>
        <w:t xml:space="preserve">he</w:t>
      </w:r>
      <w:r>
        <w:t xml:space="preserve"> </w:t>
      </w:r>
      <w:r>
        <w:t xml:space="preserve">is</w:t>
      </w:r>
      <w:r>
        <w:t xml:space="preserve"> </w:t>
      </w:r>
      <w:r>
        <w:t xml:space="preserve">counsel</w:t>
      </w:r>
      <w:r>
        <w:t xml:space="preserve"> </w:t>
      </w:r>
      <w:r>
        <w:t xml:space="preserve">of</w:t>
      </w:r>
      <w:r>
        <w:t xml:space="preserve"> </w:t>
      </w:r>
      <w:r>
        <w:t xml:space="preserve">record</w:t>
      </w:r>
      <w:r>
        <w:t xml:space="preserve"> </w:t>
      </w:r>
      <w:r>
        <w:t xml:space="preserve">for</w:t>
      </w:r>
      <w:r>
        <w:t xml:space="preserve"> </w:t>
      </w:r>
      <w:r>
        <w:t xml:space="preserve">Jerome</w:t>
      </w:r>
      <w:r>
        <w:t xml:space="preserve"> </w:t>
      </w:r>
      <w:r>
        <w:t xml:space="preserve">Morgan,</w:t>
      </w:r>
      <w:r>
        <w:t xml:space="preserve"> </w:t>
      </w:r>
      <w:r>
        <w:t xml:space="preserve">on</w:t>
      </w:r>
      <w:r>
        <w:t xml:space="preserve"> </w:t>
      </w:r>
      <w:r>
        <w:t xml:space="preserve">behalf</w:t>
      </w:r>
      <w:r>
        <w:t xml:space="preserve"> </w:t>
      </w:r>
      <w:r>
        <w:t xml:space="preserve">of</w:t>
      </w:r>
      <w:r>
        <w:t xml:space="preserve"> </w:t>
      </w:r>
      <w:r>
        <w:t xml:space="preserve">himself</w:t>
      </w:r>
      <w:r>
        <w:t xml:space="preserve"> </w:t>
      </w:r>
      <w:r>
        <w:t xml:space="preserve">and</w:t>
      </w:r>
      <w:r>
        <w:t xml:space="preserve"> </w:t>
      </w:r>
      <w:r>
        <w:t xml:space="preserve">all</w:t>
      </w:r>
      <w:r>
        <w:t xml:space="preserve"> </w:t>
      </w:r>
      <w:r>
        <w:t xml:space="preserve">others</w:t>
      </w:r>
      <w:r>
        <w:t xml:space="preserve"> </w:t>
      </w:r>
      <w:r>
        <w:t xml:space="preserve">similarly</w:t>
      </w:r>
      <w:r>
        <w:t xml:space="preserve"> </w:t>
      </w:r>
      <w:r>
        <w:t xml:space="preserve">situated,</w:t>
      </w:r>
      <w:r>
        <w:t xml:space="preserve"> </w:t>
      </w:r>
      <w:r>
        <w:t xml:space="preserve">the</w:t>
      </w:r>
      <w:r>
        <w:t xml:space="preserve"> </w:t>
      </w:r>
      <w:r>
        <w:t xml:space="preserve">applicant</w:t>
      </w:r>
      <w:r>
        <w:t xml:space="preserve"> </w:t>
      </w:r>
      <w:r>
        <w:t xml:space="preserve">herein;</w:t>
      </w:r>
      <w:r>
        <w:t xml:space="preserve"> </w:t>
      </w:r>
      <w:r>
        <w:t xml:space="preserve">he</w:t>
      </w:r>
      <w:r>
        <w:t xml:space="preserve"> </w:t>
      </w:r>
      <w:r>
        <w:t xml:space="preserve">has</w:t>
      </w:r>
      <w:r>
        <w:t xml:space="preserve"> </w:t>
      </w:r>
      <w:r>
        <w:t xml:space="preserve">reviewed</w:t>
      </w:r>
      <w:r>
        <w:t xml:space="preserve"> </w:t>
      </w:r>
      <w:r>
        <w:t xml:space="preserve">the</w:t>
      </w:r>
      <w:r>
        <w:t xml:space="preserve"> </w:t>
      </w:r>
      <w:r>
        <w:t xml:space="preserve">foregoing</w:t>
      </w:r>
      <w:r>
        <w:t xml:space="preserve"> </w:t>
      </w:r>
      <w:r>
        <w:t xml:space="preserve">application</w:t>
      </w:r>
      <w:r>
        <w:t xml:space="preserve"> </w:t>
      </w:r>
      <w:r>
        <w:t xml:space="preserve">for</w:t>
      </w:r>
      <w:r>
        <w:t xml:space="preserve"> </w:t>
      </w:r>
      <w:r>
        <w:t xml:space="preserve">supervisory</w:t>
      </w:r>
      <w:r>
        <w:t xml:space="preserve"> </w:t>
      </w:r>
      <w:r>
        <w:t xml:space="preserve">writ;</w:t>
      </w:r>
      <w:r>
        <w:t xml:space="preserve"> </w:t>
      </w:r>
      <w:r>
        <w:t xml:space="preserve">and</w:t>
      </w:r>
      <w:r>
        <w:t xml:space="preserve"> </w:t>
      </w:r>
      <w:r>
        <w:t xml:space="preserve">all</w:t>
      </w:r>
      <w:r>
        <w:t xml:space="preserve"> </w:t>
      </w:r>
      <w:r>
        <w:t xml:space="preserve">of</w:t>
      </w:r>
      <w:r>
        <w:t xml:space="preserve"> </w:t>
      </w:r>
      <w:r>
        <w:t xml:space="preserve">the</w:t>
      </w:r>
      <w:r>
        <w:t xml:space="preserve"> </w:t>
      </w:r>
      <w:r>
        <w:t xml:space="preserve">allegations</w:t>
      </w:r>
      <w:r>
        <w:t xml:space="preserve"> </w:t>
      </w:r>
      <w:r>
        <w:t xml:space="preserve">therein</w:t>
      </w:r>
      <w:r>
        <w:t xml:space="preserve"> </w:t>
      </w:r>
      <w:r>
        <w:t xml:space="preserve">are</w:t>
      </w:r>
      <w:r>
        <w:t xml:space="preserve"> </w:t>
      </w:r>
      <w:r>
        <w:t xml:space="preserve">true</w:t>
      </w:r>
      <w:r>
        <w:t xml:space="preserve"> </w:t>
      </w:r>
      <w:r>
        <w:t xml:space="preserve">and</w:t>
      </w:r>
      <w:r>
        <w:t xml:space="preserve"> </w:t>
      </w:r>
      <w:r>
        <w:t xml:space="preserve">correct</w:t>
      </w:r>
      <w:r>
        <w:t xml:space="preserve"> </w:t>
      </w:r>
      <w:r>
        <w:t xml:space="preserve">to</w:t>
      </w:r>
      <w:r>
        <w:t xml:space="preserve"> </w:t>
      </w:r>
      <w:r>
        <w:t xml:space="preserve">the</w:t>
      </w:r>
      <w:r>
        <w:t xml:space="preserve"> </w:t>
      </w:r>
      <w:r>
        <w:t xml:space="preserve">best</w:t>
      </w:r>
      <w:r>
        <w:t xml:space="preserve"> </w:t>
      </w:r>
      <w:r>
        <w:t xml:space="preserve">of</w:t>
      </w:r>
      <w:r>
        <w:t xml:space="preserve"> </w:t>
      </w:r>
      <w:r>
        <w:t xml:space="preserve">his</w:t>
      </w:r>
      <w:r>
        <w:t xml:space="preserve"> </w:t>
      </w:r>
      <w:r>
        <w:t xml:space="preserve">knowledge.</w:t>
      </w:r>
      <w:r>
        <w:t xml:space="preserve"> </w:t>
      </w:r>
      <w:r>
        <w:t xml:space="preserve">Affiant</w:t>
      </w:r>
      <w:r>
        <w:t xml:space="preserve"> </w:t>
      </w:r>
      <w:r>
        <w:t xml:space="preserve">further</w:t>
      </w:r>
      <w:r>
        <w:t xml:space="preserve"> </w:t>
      </w:r>
      <w:r>
        <w:t xml:space="preserve">stated</w:t>
      </w:r>
      <w:r>
        <w:t xml:space="preserve"> </w:t>
      </w:r>
      <w:r>
        <w:t xml:space="preserve">that</w:t>
      </w:r>
      <w:r>
        <w:t xml:space="preserve"> </w:t>
      </w:r>
      <w:r>
        <w:t xml:space="preserve">on</w:t>
      </w:r>
      <w:r>
        <w:t xml:space="preserve"> </w:t>
      </w:r>
      <w:r>
        <w:t xml:space="preserve">this</w:t>
      </w:r>
      <w:r>
        <w:t xml:space="preserve"> </w:t>
      </w:r>
      <w:r>
        <w:t xml:space="preserve">day,</w:t>
      </w:r>
      <w:r>
        <w:t xml:space="preserve"> </w:t>
      </w:r>
      <w:r>
        <w:t xml:space="preserve">copies</w:t>
      </w:r>
      <w:r>
        <w:t xml:space="preserve"> </w:t>
      </w:r>
      <w:r>
        <w:t xml:space="preserve">of</w:t>
      </w:r>
      <w:r>
        <w:t xml:space="preserve"> </w:t>
      </w:r>
      <w:r>
        <w:t xml:space="preserve">this</w:t>
      </w:r>
      <w:r>
        <w:t xml:space="preserve"> </w:t>
      </w:r>
      <w:r>
        <w:t xml:space="preserve">application</w:t>
      </w:r>
      <w:r>
        <w:t xml:space="preserve"> </w:t>
      </w:r>
      <w:r>
        <w:t xml:space="preserve">were</w:t>
      </w:r>
      <w:r>
        <w:t xml:space="preserve"> </w:t>
      </w:r>
      <w:r>
        <w:t xml:space="preserve">duly</w:t>
      </w:r>
      <w:r>
        <w:t xml:space="preserve"> </w:t>
      </w:r>
      <w:r>
        <w:t xml:space="preserve">served</w:t>
      </w:r>
      <w:r>
        <w:t xml:space="preserve"> </w:t>
      </w:r>
      <w:r>
        <w:t xml:space="preserve">by</w:t>
      </w:r>
      <w:r>
        <w:t xml:space="preserve"> </w:t>
      </w:r>
      <w:r>
        <w:t xml:space="preserve">United</w:t>
      </w:r>
      <w:r>
        <w:t xml:space="preserve"> </w:t>
      </w:r>
      <w:r>
        <w:t xml:space="preserve">States</w:t>
      </w:r>
      <w:r>
        <w:t xml:space="preserve"> </w:t>
      </w:r>
      <w:r>
        <w:t xml:space="preserve">mail</w:t>
      </w:r>
      <w:r>
        <w:t xml:space="preserve"> </w:t>
      </w:r>
      <w:r>
        <w:t xml:space="preserve">(and</w:t>
      </w:r>
      <w:r>
        <w:t xml:space="preserve"> </w:t>
      </w:r>
      <w:r>
        <w:t xml:space="preserve">email</w:t>
      </w:r>
      <w:r>
        <w:t xml:space="preserve"> </w:t>
      </w:r>
      <w:r>
        <w:t xml:space="preserve">for</w:t>
      </w:r>
      <w:r>
        <w:t xml:space="preserve"> </w:t>
      </w:r>
      <w:r>
        <w:t xml:space="preserve">all</w:t>
      </w:r>
      <w:r>
        <w:t xml:space="preserve"> </w:t>
      </w:r>
      <w:r>
        <w:t xml:space="preserve">counsel)</w:t>
      </w:r>
      <w:r>
        <w:t xml:space="preserve"> </w:t>
      </w:r>
      <w:r>
        <w:t xml:space="preserve">upon</w:t>
      </w:r>
      <w:r>
        <w:t xml:space="preserve"> </w:t>
      </w:r>
      <w:r>
        <w:t xml:space="preserve">the</w:t>
      </w:r>
      <w:r>
        <w:t xml:space="preserve"> </w:t>
      </w:r>
      <w:r>
        <w:t xml:space="preserve">following</w:t>
      </w:r>
      <w:r>
        <w:t xml:space="preserve"> </w:t>
      </w:r>
      <w:r>
        <w:t xml:space="preserve">addressees,</w:t>
      </w:r>
      <w:r>
        <w:t xml:space="preserve"> </w:t>
      </w:r>
      <w:r>
        <w:t xml:space="preserve">who</w:t>
      </w:r>
      <w:r>
        <w:t xml:space="preserve"> </w:t>
      </w:r>
      <w:r>
        <w:t xml:space="preserve">are,</w:t>
      </w:r>
      <w:r>
        <w:t xml:space="preserve"> </w:t>
      </w:r>
      <w:r>
        <w:t xml:space="preserve">respectively,</w:t>
      </w:r>
      <w:r>
        <w:t xml:space="preserve"> </w:t>
      </w:r>
      <w:r>
        <w:t xml:space="preserve">the</w:t>
      </w:r>
      <w:r>
        <w:t xml:space="preserve"> </w:t>
      </w:r>
      <w:r>
        <w:t xml:space="preserve">Clerk</w:t>
      </w:r>
      <w:r>
        <w:t xml:space="preserve"> </w:t>
      </w:r>
      <w:r>
        <w:t xml:space="preserve">of</w:t>
      </w:r>
      <w:r>
        <w:t xml:space="preserve"> </w:t>
      </w:r>
      <w:r>
        <w:t xml:space="preserve">Court</w:t>
      </w:r>
      <w:r>
        <w:t xml:space="preserve"> </w:t>
      </w:r>
      <w:r>
        <w:t xml:space="preserve">for</w:t>
      </w:r>
      <w:r>
        <w:t xml:space="preserve"> </w:t>
      </w:r>
      <w:r>
        <w:t xml:space="preserve">the</w:t>
      </w:r>
      <w:r>
        <w:t xml:space="preserve"> </w:t>
      </w:r>
      <w:r>
        <w:t xml:space="preserve">Fourth</w:t>
      </w:r>
      <w:r>
        <w:t xml:space="preserve"> </w:t>
      </w:r>
      <w:r>
        <w:t xml:space="preserve">Circuit</w:t>
      </w:r>
      <w:r>
        <w:t xml:space="preserve"> </w:t>
      </w:r>
      <w:r>
        <w:t xml:space="preserve">Court</w:t>
      </w:r>
      <w:r>
        <w:t xml:space="preserve"> </w:t>
      </w:r>
      <w:r>
        <w:t xml:space="preserve">of</w:t>
      </w:r>
      <w:r>
        <w:t xml:space="preserve"> </w:t>
      </w:r>
      <w:r>
        <w:t xml:space="preserve">Appeal,</w:t>
      </w:r>
      <w:r>
        <w:t xml:space="preserve"> </w:t>
      </w:r>
      <w:r>
        <w:t xml:space="preserve">the</w:t>
      </w:r>
      <w:r>
        <w:t xml:space="preserve"> </w:t>
      </w:r>
      <w:r>
        <w:t xml:space="preserve">district</w:t>
      </w:r>
      <w:r>
        <w:t xml:space="preserve"> </w:t>
      </w:r>
      <w:r>
        <w:t xml:space="preserve">court,</w:t>
      </w:r>
      <w:r>
        <w:t xml:space="preserve"> </w:t>
      </w:r>
      <w:r>
        <w:t xml:space="preserve">and</w:t>
      </w:r>
      <w:r>
        <w:t xml:space="preserve"> </w:t>
      </w:r>
      <w:r>
        <w:t xml:space="preserve">all</w:t>
      </w:r>
      <w:r>
        <w:t xml:space="preserve"> </w:t>
      </w:r>
      <w:r>
        <w:t xml:space="preserve">counsel</w:t>
      </w:r>
      <w:r>
        <w:t xml:space="preserve"> </w:t>
      </w:r>
      <w:r>
        <w:t xml:space="preserve">of</w:t>
      </w:r>
      <w:r>
        <w:t xml:space="preserve"> </w:t>
      </w:r>
      <w:r>
        <w:t xml:space="preserve">record:</w:t>
      </w:r>
    </w:p>
    <w:p>
      <w:pPr>
        <w:spacing w:before="288" w:after="0" w:line="276" w:lineRule="exact"/>
        <w:ind w:left="0" w:firstLine="0"/>
        <w:jc w:val="left"/>
      </w:pPr>
      <w:r>
        <w:t xml:space="preserve">Jon</w:t>
      </w:r>
      <w:r>
        <w:t xml:space="preserve"> </w:t>
      </w:r>
      <w:r>
        <w:t xml:space="preserve">McGill</w:t>
      </w:r>
    </w:p>
    <w:p>
      <w:pPr>
        <w:spacing w:before="0" w:after="0" w:line="276" w:lineRule="exact"/>
        <w:ind w:left="0" w:firstLine="0"/>
        <w:jc w:val="left"/>
      </w:pPr>
      <w:r>
        <w:t xml:space="preserve">Donald</w:t>
      </w:r>
      <w:r>
        <w:t xml:space="preserve"> </w:t>
      </w:r>
      <w:r>
        <w:t xml:space="preserve">Dorenkamp</w:t>
      </w:r>
      <w:r>
        <w:t xml:space="preserve"> </w:t>
      </w:r>
      <w:r>
        <w:t xml:space="preserve">II</w:t>
      </w:r>
    </w:p>
    <w:p>
      <w:pPr>
        <w:spacing w:before="0" w:after="0" w:line="276" w:lineRule="exact"/>
        <w:ind w:left="0" w:firstLine="0"/>
        <w:jc w:val="left"/>
      </w:pPr>
      <w:r>
        <w:t xml:space="preserve">LAW</w:t>
      </w:r>
      <w:r>
        <w:t xml:space="preserve"> </w:t>
      </w:r>
      <w:r>
        <w:t xml:space="preserve">OFFICES</w:t>
      </w:r>
      <w:r>
        <w:t xml:space="preserve"> </w:t>
      </w:r>
      <w:r>
        <w:t xml:space="preserve">OF</w:t>
      </w:r>
      <w:r>
        <w:t xml:space="preserve"> </w:t>
      </w:r>
      <w:r>
        <w:t xml:space="preserve">JON</w:t>
      </w:r>
      <w:r>
        <w:t xml:space="preserve"> </w:t>
      </w:r>
      <w:r>
        <w:t xml:space="preserve">S.</w:t>
      </w:r>
      <w:r>
        <w:t xml:space="preserve"> </w:t>
      </w:r>
      <w:r>
        <w:t xml:space="preserve">MCGILL,</w:t>
      </w:r>
      <w:r>
        <w:t xml:space="preserve"> </w:t>
      </w:r>
      <w:r>
        <w:t xml:space="preserve">LLC</w:t>
      </w:r>
    </w:p>
    <w:p>
      <w:pPr>
        <w:spacing w:before="0" w:after="0" w:line="276" w:lineRule="exact"/>
        <w:ind w:left="0" w:firstLine="0"/>
        <w:jc w:val="left"/>
      </w:pPr>
      <w:r>
        <w:t xml:space="preserve">235</w:t>
      </w:r>
      <w:r>
        <w:t xml:space="preserve"> </w:t>
      </w:r>
      <w:r>
        <w:t xml:space="preserve">Derbigny</w:t>
      </w:r>
      <w:r>
        <w:t xml:space="preserve"> </w:t>
      </w:r>
      <w:r>
        <w:t xml:space="preserve">Street,</w:t>
      </w:r>
      <w:r>
        <w:t xml:space="preserve"> </w:t>
      </w:r>
      <w:r>
        <w:t xml:space="preserve">Ste.</w:t>
      </w:r>
      <w:r>
        <w:t xml:space="preserve"> </w:t>
      </w:r>
      <w:r>
        <w:t xml:space="preserve">100</w:t>
      </w:r>
    </w:p>
    <w:p>
      <w:pPr>
        <w:spacing w:before="0" w:after="0" w:line="276" w:lineRule="exact"/>
        <w:ind w:left="0" w:firstLine="0"/>
        <w:jc w:val="left"/>
      </w:pPr>
      <w:r>
        <w:t xml:space="preserve">Gretna,</w:t>
      </w:r>
      <w:r>
        <w:t xml:space="preserve"> </w:t>
      </w:r>
      <w:r>
        <w:t xml:space="preserve">LA</w:t>
      </w:r>
      <w:r>
        <w:t xml:space="preserve"> </w:t>
      </w:r>
      <w:r>
        <w:t xml:space="preserve">70053</w:t>
      </w:r>
    </w:p>
    <w:p>
      <w:pPr>
        <w:spacing w:before="0" w:after="0" w:line="276" w:lineRule="exact"/>
        <w:ind w:left="0" w:firstLine="0"/>
        <w:jc w:val="left"/>
      </w:pPr>
      <w:r>
        <w:t xml:space="preserve">(504)</w:t>
      </w:r>
      <w:r>
        <w:t xml:space="preserve"> </w:t>
      </w:r>
      <w:r>
        <w:t xml:space="preserve">208</w:t>
        <w:noBreakHyphen/>
        <w:t xml:space="preserve">5551</w:t>
      </w:r>
    </w:p>
    <w:p>
      <w:pPr>
        <w:spacing w:before="0" w:after="0" w:line="276" w:lineRule="exact"/>
        <w:ind w:left="0" w:firstLine="0"/>
        <w:jc w:val="left"/>
      </w:pPr>
      <w:r>
        <w:t xml:space="preserve">jon@jonsmcgilllaw.com</w:t>
      </w:r>
    </w:p>
    <w:p>
      <w:pPr>
        <w:spacing w:before="0" w:after="0" w:line="276" w:lineRule="exact"/>
        <w:ind w:left="0" w:firstLine="0"/>
        <w:jc w:val="left"/>
      </w:pPr>
    </w:p>
    <w:p>
      <w:pPr>
        <w:spacing w:before="0" w:after="0" w:line="276" w:lineRule="exact"/>
        <w:ind w:left="0" w:firstLine="0"/>
        <w:jc w:val="left"/>
      </w:pPr>
      <w:r>
        <w:t xml:space="preserve">Charles</w:t>
      </w:r>
      <w:r>
        <w:t xml:space="preserve"> </w:t>
      </w:r>
      <w:r>
        <w:t xml:space="preserve">P.</w:t>
      </w:r>
      <w:r>
        <w:t xml:space="preserve"> </w:t>
      </w:r>
      <w:r>
        <w:t xml:space="preserve">Blanchard</w:t>
      </w:r>
    </w:p>
    <w:p>
      <w:pPr>
        <w:spacing w:before="0" w:after="0" w:line="276" w:lineRule="exact"/>
        <w:ind w:left="0" w:firstLine="0"/>
        <w:jc w:val="left"/>
      </w:pPr>
      <w:r>
        <w:t xml:space="preserve">CHAFFE</w:t>
      </w:r>
      <w:r>
        <w:t xml:space="preserve"> </w:t>
      </w:r>
      <w:r>
        <w:t xml:space="preserve">MCCALL</w:t>
      </w:r>
      <w:r>
        <w:t xml:space="preserve"> </w:t>
      </w:r>
      <w:r>
        <w:t xml:space="preserve">LLP</w:t>
      </w:r>
    </w:p>
    <w:p>
      <w:pPr>
        <w:spacing w:before="0" w:after="0" w:line="276" w:lineRule="exact"/>
        <w:ind w:left="0" w:firstLine="0"/>
        <w:jc w:val="left"/>
      </w:pPr>
      <w:r>
        <w:t xml:space="preserve">8550</w:t>
      </w:r>
      <w:r>
        <w:t xml:space="preserve"> </w:t>
      </w:r>
      <w:r>
        <w:t xml:space="preserve">United</w:t>
      </w:r>
      <w:r>
        <w:t xml:space="preserve"> </w:t>
      </w:r>
      <w:r>
        <w:t xml:space="preserve">Plaza</w:t>
      </w:r>
      <w:r>
        <w:t xml:space="preserve"> </w:t>
      </w:r>
      <w:r>
        <w:t xml:space="preserve">Blvd.,</w:t>
      </w:r>
      <w:r>
        <w:t xml:space="preserve"> </w:t>
      </w:r>
      <w:r>
        <w:t xml:space="preserve">Ste.</w:t>
      </w:r>
      <w:r>
        <w:t xml:space="preserve"> </w:t>
      </w:r>
      <w:r>
        <w:t xml:space="preserve">202</w:t>
      </w:r>
    </w:p>
    <w:p>
      <w:pPr>
        <w:spacing w:before="0" w:after="0" w:line="276" w:lineRule="exact"/>
        <w:ind w:left="0" w:firstLine="0"/>
        <w:jc w:val="left"/>
      </w:pPr>
      <w:r>
        <w:t xml:space="preserve">Baton</w:t>
      </w:r>
      <w:r>
        <w:t xml:space="preserve"> </w:t>
      </w:r>
      <w:r>
        <w:t xml:space="preserve">Rouge,</w:t>
      </w:r>
      <w:r>
        <w:t xml:space="preserve"> </w:t>
      </w:r>
      <w:r>
        <w:t xml:space="preserve">LA</w:t>
      </w:r>
      <w:r>
        <w:t xml:space="preserve"> </w:t>
      </w:r>
      <w:r>
        <w:t xml:space="preserve">70809</w:t>
        <w:noBreakHyphen/>
        <w:t xml:space="preserve">2256</w:t>
      </w:r>
    </w:p>
    <w:p>
      <w:pPr>
        <w:spacing w:before="0" w:after="0" w:line="276" w:lineRule="exact"/>
        <w:ind w:left="0" w:firstLine="0"/>
        <w:jc w:val="left"/>
      </w:pPr>
      <w:r>
        <w:t xml:space="preserve">(504)</w:t>
      </w:r>
      <w:r>
        <w:t xml:space="preserve"> </w:t>
      </w:r>
      <w:r>
        <w:t xml:space="preserve">585</w:t>
        <w:noBreakHyphen/>
        <w:t xml:space="preserve">7000</w:t>
      </w:r>
    </w:p>
    <w:p>
      <w:pPr>
        <w:spacing w:before="0" w:after="0" w:line="276" w:lineRule="exact"/>
        <w:ind w:left="0" w:firstLine="0"/>
        <w:jc w:val="left"/>
      </w:pPr>
      <w:r>
        <w:t xml:space="preserve">blanchard@chaffe.com</w:t>
      </w:r>
    </w:p>
    <w:p>
      <w:pPr>
        <w:spacing w:before="0" w:after="0" w:line="276" w:lineRule="exact"/>
        <w:ind w:left="0" w:firstLine="0"/>
        <w:jc w:val="left"/>
      </w:pPr>
      <w:r>
        <w:t xml:space="preserve">Counsel</w:t>
      </w:r>
      <w:r>
        <w:t xml:space="preserve"> </w:t>
      </w:r>
      <w:r>
        <w:t xml:space="preserve">to</w:t>
      </w:r>
      <w:r>
        <w:t xml:space="preserve"> </w:t>
      </w:r>
      <w:r>
        <w:t xml:space="preserve">Blair</w:t>
      </w:r>
      <w:r>
        <w:t xml:space="preserve"> </w:t>
      </w:r>
      <w:r>
        <w:t xml:space="preserve">Bail</w:t>
      </w:r>
      <w:r>
        <w:t xml:space="preserve"> </w:t>
      </w:r>
      <w:r>
        <w:t xml:space="preserve">Bonds,</w:t>
      </w:r>
      <w:r>
        <w:t xml:space="preserve"> </w:t>
      </w:r>
      <w:r>
        <w:t xml:space="preserve">Inc.</w:t>
      </w:r>
    </w:p>
    <w:p>
      <w:pPr>
        <w:spacing w:before="0" w:after="0" w:line="276" w:lineRule="exact"/>
        <w:ind w:left="0" w:firstLine="0"/>
        <w:jc w:val="left"/>
      </w:pPr>
    </w:p>
    <w:p>
      <w:pPr>
        <w:spacing w:before="0" w:after="0" w:line="276" w:lineRule="exact"/>
        <w:ind w:left="0" w:firstLine="0"/>
        <w:jc w:val="left"/>
      </w:pPr>
      <w:r>
        <w:t xml:space="preserve">Justin</w:t>
      </w:r>
      <w:r>
        <w:t xml:space="preserve"> </w:t>
      </w:r>
      <w:r>
        <w:t xml:space="preserve">I.</w:t>
      </w:r>
      <w:r>
        <w:t xml:space="preserve"> </w:t>
      </w:r>
      <w:r>
        <w:t xml:space="preserve">Woods</w:t>
      </w:r>
    </w:p>
    <w:p>
      <w:pPr>
        <w:spacing w:before="0" w:after="0" w:line="276" w:lineRule="exact"/>
        <w:ind w:left="0" w:firstLine="0"/>
        <w:jc w:val="left"/>
      </w:pPr>
      <w:r>
        <w:t xml:space="preserve">Clerk</w:t>
      </w:r>
      <w:r>
        <w:t xml:space="preserve"> </w:t>
      </w:r>
      <w:r>
        <w:t xml:space="preserve">of</w:t>
      </w:r>
      <w:r>
        <w:t xml:space="preserve"> </w:t>
      </w:r>
      <w:r>
        <w:t xml:space="preserve">Court</w:t>
      </w:r>
    </w:p>
    <w:p>
      <w:pPr>
        <w:spacing w:before="0" w:after="0" w:line="276" w:lineRule="exact"/>
        <w:ind w:left="0" w:firstLine="0"/>
        <w:jc w:val="left"/>
      </w:pPr>
      <w:r>
        <w:t xml:space="preserve">Louisiana</w:t>
      </w:r>
      <w:r>
        <w:t xml:space="preserve"> </w:t>
      </w:r>
      <w:r>
        <w:t xml:space="preserve">Court</w:t>
      </w:r>
      <w:r>
        <w:t xml:space="preserve"> </w:t>
      </w:r>
      <w:r>
        <w:t xml:space="preserve">of</w:t>
      </w:r>
      <w:r>
        <w:t xml:space="preserve"> </w:t>
      </w:r>
      <w:r>
        <w:t xml:space="preserve">Appeal,</w:t>
      </w:r>
      <w:r>
        <w:t xml:space="preserve"> </w:t>
      </w:r>
      <w:r>
        <w:t xml:space="preserve">Fourth</w:t>
      </w:r>
      <w:r>
        <w:t xml:space="preserve"> </w:t>
      </w:r>
      <w:r>
        <w:t xml:space="preserve">Circuit</w:t>
      </w:r>
    </w:p>
    <w:p>
      <w:pPr>
        <w:spacing w:before="0" w:after="0" w:line="276" w:lineRule="exact"/>
        <w:ind w:left="0" w:firstLine="0"/>
        <w:jc w:val="left"/>
      </w:pPr>
      <w:r>
        <w:t xml:space="preserve">410</w:t>
      </w:r>
      <w:r>
        <w:t xml:space="preserve"> </w:t>
      </w:r>
      <w:r>
        <w:t xml:space="preserve">Royal</w:t>
      </w:r>
      <w:r>
        <w:t xml:space="preserve"> </w:t>
      </w:r>
      <w:r>
        <w:t xml:space="preserve">Street</w:t>
      </w:r>
    </w:p>
    <w:p>
      <w:pPr>
        <w:spacing w:before="0" w:after="0" w:line="276" w:lineRule="exact"/>
        <w:ind w:left="0" w:firstLine="0"/>
        <w:jc w:val="left"/>
      </w:pPr>
      <w:r>
        <w:t xml:space="preserve">New</w:t>
      </w:r>
      <w:r>
        <w:t xml:space="preserve"> </w:t>
      </w:r>
      <w:r>
        <w:t xml:space="preserve">Orleans,</w:t>
      </w:r>
      <w:r>
        <w:t xml:space="preserve"> </w:t>
      </w:r>
      <w:r>
        <w:t xml:space="preserve">Louisiana</w:t>
      </w:r>
      <w:r>
        <w:t xml:space="preserve"> </w:t>
      </w:r>
      <w:r>
        <w:t xml:space="preserve">70130</w:t>
        <w:noBreakHyphen/>
        <w:t xml:space="preserve">2199</w:t>
      </w:r>
    </w:p>
    <w:p>
      <w:pPr>
        <w:spacing w:before="0" w:after="0" w:line="276" w:lineRule="exact"/>
        <w:ind w:left="0" w:firstLine="0"/>
        <w:jc w:val="left"/>
      </w:pPr>
    </w:p>
    <w:p>
      <w:pPr>
        <w:spacing w:before="0" w:after="0" w:line="276" w:lineRule="exact"/>
        <w:ind w:left="0" w:firstLine="0"/>
        <w:jc w:val="left"/>
      </w:pPr>
      <w:r>
        <w:t xml:space="preserve">Hon.</w:t>
      </w:r>
      <w:r>
        <w:t xml:space="preserve"> </w:t>
      </w:r>
      <w:r>
        <w:t xml:space="preserve">Robin</w:t>
      </w:r>
      <w:r>
        <w:t xml:space="preserve"> </w:t>
      </w:r>
      <w:r>
        <w:t xml:space="preserve">M.</w:t>
      </w:r>
      <w:r>
        <w:t xml:space="preserve"> </w:t>
      </w:r>
      <w:r>
        <w:t xml:space="preserve">Giarrusso</w:t>
      </w:r>
    </w:p>
    <w:p>
      <w:pPr>
        <w:spacing w:before="0" w:after="0" w:line="276" w:lineRule="exact"/>
        <w:ind w:left="0" w:firstLine="0"/>
        <w:jc w:val="left"/>
      </w:pPr>
      <w:r>
        <w:t xml:space="preserve">Civil</w:t>
      </w:r>
      <w:r>
        <w:t xml:space="preserve"> </w:t>
      </w:r>
      <w:r>
        <w:t xml:space="preserve">District</w:t>
      </w:r>
      <w:r>
        <w:t xml:space="preserve"> </w:t>
      </w:r>
      <w:r>
        <w:t xml:space="preserve">Court,</w:t>
      </w:r>
      <w:r>
        <w:t xml:space="preserve"> </w:t>
      </w:r>
      <w:r>
        <w:t xml:space="preserve">Parish</w:t>
      </w:r>
      <w:r>
        <w:t xml:space="preserve"> </w:t>
      </w:r>
      <w:r>
        <w:t xml:space="preserve">of</w:t>
      </w:r>
      <w:r>
        <w:t xml:space="preserve"> </w:t>
      </w:r>
      <w:r>
        <w:t xml:space="preserve">Orleans</w:t>
      </w:r>
      <w:r>
        <w:t xml:space="preserve"> </w:t>
      </w:r>
      <w:r>
        <w:t xml:space="preserve">Judge</w:t>
      </w:r>
    </w:p>
    <w:p>
      <w:pPr>
        <w:spacing w:before="0" w:after="0" w:line="276" w:lineRule="exact"/>
        <w:ind w:left="0" w:firstLine="0"/>
        <w:jc w:val="left"/>
      </w:pPr>
      <w:r>
        <w:t xml:space="preserve">421</w:t>
      </w:r>
      <w:r>
        <w:t xml:space="preserve"> </w:t>
      </w:r>
      <w:r>
        <w:t xml:space="preserve">Loyola</w:t>
      </w:r>
      <w:r>
        <w:t xml:space="preserve"> </w:t>
      </w:r>
      <w:r>
        <w:t xml:space="preserve">Avenue,</w:t>
      </w:r>
      <w:r>
        <w:t xml:space="preserve"> </w:t>
      </w:r>
      <w:r>
        <w:t xml:space="preserve">Room</w:t>
      </w:r>
      <w:r>
        <w:t xml:space="preserve"> </w:t>
      </w:r>
      <w:r>
        <w:t xml:space="preserve">411</w:t>
      </w:r>
    </w:p>
    <w:p>
      <w:pPr>
        <w:spacing w:before="0" w:after="0" w:line="276" w:lineRule="exact"/>
        <w:ind w:left="0" w:firstLine="0"/>
        <w:jc w:val="left"/>
      </w:pPr>
      <w:r>
        <w:t xml:space="preserve">New</w:t>
      </w:r>
      <w:r>
        <w:t xml:space="preserve"> </w:t>
      </w:r>
      <w:r>
        <w:t xml:space="preserve">Orleans,</w:t>
      </w:r>
      <w:r>
        <w:t xml:space="preserve"> </w:t>
      </w:r>
      <w:r>
        <w:t xml:space="preserve">Louisiana</w:t>
      </w:r>
      <w:r>
        <w:t xml:space="preserve"> </w:t>
      </w:r>
      <w:r>
        <w:t xml:space="preserve">70112</w:t>
      </w:r>
    </w:p>
    <w:p>
      <w:pPr>
        <w:spacing w:before="0" w:after="0" w:line="276" w:lineRule="exact"/>
        <w:ind w:left="0" w:firstLine="0"/>
        <w:jc w:val="left"/>
      </w:pPr>
      <w:r>
        <w:t xml:space="preserve">Stephen</w:t>
      </w:r>
      <w:r>
        <w:t xml:space="preserve"> </w:t>
      </w:r>
      <w:r>
        <w:t xml:space="preserve">D.</w:t>
      </w:r>
      <w:r>
        <w:t xml:space="preserve"> </w:t>
      </w:r>
      <w:r>
        <w:t xml:space="preserve">Marx</w:t>
      </w:r>
    </w:p>
    <w:p>
      <w:pPr>
        <w:spacing w:before="0" w:after="0" w:line="276" w:lineRule="exact"/>
        <w:ind w:left="0" w:firstLine="0"/>
        <w:jc w:val="left"/>
      </w:pPr>
      <w:r>
        <w:t xml:space="preserve">CHEHARDY</w:t>
      </w:r>
      <w:r>
        <w:t xml:space="preserve"> </w:t>
      </w:r>
      <w:r>
        <w:t xml:space="preserve">SHERMAN</w:t>
      </w:r>
      <w:r>
        <w:t xml:space="preserve"> </w:t>
      </w:r>
      <w:r>
        <w:t xml:space="preserve">ELLIS</w:t>
      </w:r>
    </w:p>
    <w:p>
      <w:pPr>
        <w:spacing w:before="0" w:after="0" w:line="276" w:lineRule="exact"/>
        <w:ind w:left="0" w:firstLine="0"/>
        <w:jc w:val="left"/>
      </w:pPr>
      <w:r>
        <w:t xml:space="preserve">One</w:t>
      </w:r>
      <w:r>
        <w:t xml:space="preserve"> </w:t>
      </w:r>
      <w:r>
        <w:t xml:space="preserve">Galleria</w:t>
      </w:r>
      <w:r>
        <w:t xml:space="preserve"> </w:t>
      </w:r>
      <w:r>
        <w:t xml:space="preserve">Blvd.,</w:t>
      </w:r>
      <w:r>
        <w:t xml:space="preserve"> </w:t>
      </w:r>
      <w:r>
        <w:t xml:space="preserve">Ste.</w:t>
      </w:r>
      <w:r>
        <w:t xml:space="preserve"> </w:t>
      </w:r>
      <w:r>
        <w:t xml:space="preserve">1100</w:t>
      </w:r>
    </w:p>
    <w:p>
      <w:pPr>
        <w:spacing w:before="0" w:after="0" w:line="276" w:lineRule="exact"/>
        <w:ind w:left="0" w:firstLine="0"/>
        <w:jc w:val="left"/>
      </w:pPr>
      <w:r>
        <w:t xml:space="preserve">Metairie,</w:t>
      </w:r>
      <w:r>
        <w:t xml:space="preserve"> </w:t>
      </w:r>
      <w:r>
        <w:t xml:space="preserve">LA</w:t>
      </w:r>
      <w:r>
        <w:t xml:space="preserve"> </w:t>
      </w:r>
      <w:r>
        <w:t xml:space="preserve">70001</w:t>
        <w:noBreakHyphen/>
        <w:t xml:space="preserve">0931</w:t>
      </w:r>
    </w:p>
    <w:p>
      <w:pPr>
        <w:spacing w:before="0" w:after="0" w:line="276" w:lineRule="exact"/>
        <w:ind w:left="0" w:firstLine="0"/>
        <w:jc w:val="left"/>
      </w:pPr>
      <w:r>
        <w:t xml:space="preserve">(504)</w:t>
      </w:r>
      <w:r>
        <w:t xml:space="preserve"> </w:t>
      </w:r>
      <w:r>
        <w:t xml:space="preserve">833</w:t>
        <w:noBreakHyphen/>
        <w:t xml:space="preserve">5600</w:t>
      </w:r>
    </w:p>
    <w:p>
      <w:pPr>
        <w:spacing w:before="0" w:after="0" w:line="276" w:lineRule="exact"/>
        <w:ind w:left="0" w:firstLine="0"/>
        <w:jc w:val="left"/>
      </w:pPr>
      <w:r>
        <w:t xml:space="preserve">sdm@chehardy.com</w:t>
      </w:r>
    </w:p>
    <w:p>
      <w:pPr>
        <w:spacing w:before="0" w:after="0" w:line="276" w:lineRule="exact"/>
        <w:ind w:left="0" w:firstLine="0"/>
        <w:jc w:val="left"/>
      </w:pPr>
    </w:p>
    <w:p>
      <w:pPr>
        <w:spacing w:before="0" w:after="0" w:line="276" w:lineRule="exact"/>
        <w:ind w:left="0" w:firstLine="0"/>
        <w:jc w:val="left"/>
      </w:pPr>
      <w:r>
        <w:t xml:space="preserve">Ethan</w:t>
      </w:r>
      <w:r>
        <w:t xml:space="preserve"> </w:t>
      </w:r>
      <w:r>
        <w:t xml:space="preserve">J.</w:t>
      </w:r>
      <w:r>
        <w:t xml:space="preserve"> </w:t>
      </w:r>
      <w:r>
        <w:t xml:space="preserve">Loeb</w:t>
      </w:r>
    </w:p>
    <w:p>
      <w:pPr>
        <w:spacing w:before="0" w:after="0" w:line="276" w:lineRule="exact"/>
        <w:ind w:left="0" w:firstLine="0"/>
        <w:jc w:val="left"/>
      </w:pPr>
      <w:r>
        <w:t xml:space="preserve">E.</w:t>
      </w:r>
      <w:r>
        <w:t xml:space="preserve"> </w:t>
      </w:r>
      <w:r>
        <w:t xml:space="preserve">Colin</w:t>
      </w:r>
      <w:r>
        <w:t xml:space="preserve"> </w:t>
      </w:r>
      <w:r>
        <w:t xml:space="preserve">Thompson</w:t>
      </w:r>
    </w:p>
    <w:p>
      <w:pPr>
        <w:spacing w:before="0" w:after="0" w:line="276" w:lineRule="exact"/>
        <w:ind w:left="0" w:firstLine="0"/>
        <w:jc w:val="left"/>
      </w:pPr>
      <w:r>
        <w:t xml:space="preserve">Smolker,</w:t>
      </w:r>
      <w:r>
        <w:t xml:space="preserve"> </w:t>
      </w:r>
      <w:r>
        <w:t xml:space="preserve">Bartlett,</w:t>
      </w:r>
      <w:r>
        <w:t xml:space="preserve"> </w:t>
      </w:r>
      <w:r>
        <w:t xml:space="preserve">Loeb,</w:t>
      </w:r>
      <w:r>
        <w:t xml:space="preserve"> </w:t>
      </w:r>
      <w:r>
        <w:t xml:space="preserve">Hinds</w:t>
      </w:r>
      <w:r>
        <w:t xml:space="preserve"> </w:t>
      </w:r>
      <w:r>
        <w:t xml:space="preserve">&amp;</w:t>
      </w:r>
      <w:r>
        <w:t xml:space="preserve"> </w:t>
      </w:r>
      <w:r>
        <w:t xml:space="preserve">Thompson,</w:t>
      </w:r>
      <w:r>
        <w:t xml:space="preserve"> </w:t>
      </w:r>
      <w:r>
        <w:t xml:space="preserve">P.A.</w:t>
      </w:r>
    </w:p>
    <w:p>
      <w:pPr>
        <w:spacing w:before="0" w:after="0" w:line="276" w:lineRule="exact"/>
        <w:ind w:left="0" w:firstLine="0"/>
        <w:jc w:val="left"/>
      </w:pPr>
      <w:r>
        <w:t xml:space="preserve">100</w:t>
      </w:r>
      <w:r>
        <w:t xml:space="preserve"> </w:t>
      </w:r>
      <w:r>
        <w:t xml:space="preserve">N.</w:t>
      </w:r>
      <w:r>
        <w:t xml:space="preserve"> </w:t>
      </w:r>
      <w:r>
        <w:t xml:space="preserve">Tampa</w:t>
      </w:r>
      <w:r>
        <w:t xml:space="preserve"> </w:t>
      </w:r>
      <w:r>
        <w:t xml:space="preserve">Street,</w:t>
      </w:r>
      <w:r>
        <w:t xml:space="preserve"> </w:t>
      </w:r>
      <w:r>
        <w:t xml:space="preserve">Suite</w:t>
      </w:r>
      <w:r>
        <w:t xml:space="preserve"> </w:t>
      </w:r>
      <w:r>
        <w:t xml:space="preserve">2050</w:t>
      </w:r>
    </w:p>
    <w:p>
      <w:pPr>
        <w:spacing w:before="0" w:after="0" w:line="276" w:lineRule="exact"/>
        <w:ind w:left="0" w:firstLine="0"/>
        <w:jc w:val="left"/>
      </w:pPr>
      <w:r>
        <w:t xml:space="preserve">Tampa,</w:t>
      </w:r>
      <w:r>
        <w:t xml:space="preserve"> </w:t>
      </w:r>
      <w:r>
        <w:t xml:space="preserve">FL</w:t>
      </w:r>
      <w:r>
        <w:t xml:space="preserve"> </w:t>
      </w:r>
      <w:r>
        <w:t xml:space="preserve">33602</w:t>
      </w:r>
    </w:p>
    <w:p>
      <w:pPr>
        <w:spacing w:before="0" w:after="0" w:line="276" w:lineRule="exact"/>
        <w:ind w:left="0" w:firstLine="0"/>
        <w:jc w:val="left"/>
      </w:pPr>
      <w:r>
        <w:t xml:space="preserve">(813)</w:t>
      </w:r>
      <w:r>
        <w:t xml:space="preserve"> </w:t>
      </w:r>
      <w:r>
        <w:t xml:space="preserve">223</w:t>
        <w:noBreakHyphen/>
        <w:t xml:space="preserve">3888</w:t>
      </w:r>
    </w:p>
    <w:p>
      <w:pPr>
        <w:spacing w:before="0" w:after="0" w:line="276" w:lineRule="exact"/>
        <w:ind w:left="0" w:firstLine="0"/>
        <w:jc w:val="left"/>
      </w:pPr>
      <w:r>
        <w:t xml:space="preserve">EthanL@sblfirm.com</w:t>
      </w:r>
    </w:p>
    <w:p>
      <w:pPr>
        <w:spacing w:before="0" w:after="0" w:line="276" w:lineRule="exact"/>
        <w:ind w:left="0" w:firstLine="0"/>
        <w:jc w:val="left"/>
      </w:pPr>
      <w:r>
        <w:t xml:space="preserve">colinT@sblfirm.com</w:t>
      </w:r>
    </w:p>
    <w:p>
      <w:pPr>
        <w:spacing w:before="0" w:after="0" w:line="276" w:lineRule="exact"/>
        <w:ind w:left="0" w:firstLine="0"/>
        <w:jc w:val="left"/>
      </w:pPr>
      <w:r>
        <w:t xml:space="preserve">Counsel</w:t>
      </w:r>
      <w:r>
        <w:t xml:space="preserve"> </w:t>
      </w:r>
      <w:r>
        <w:t xml:space="preserve">to</w:t>
      </w:r>
      <w:r>
        <w:t xml:space="preserve"> </w:t>
      </w:r>
      <w:r>
        <w:t xml:space="preserve">Bankers</w:t>
      </w:r>
      <w:r>
        <w:t xml:space="preserve"> </w:t>
      </w:r>
      <w:r>
        <w:t xml:space="preserve">Insurance</w:t>
      </w:r>
      <w:r>
        <w:t xml:space="preserve"> </w:t>
      </w:r>
      <w:r>
        <w:t xml:space="preserve">Company,</w:t>
      </w:r>
      <w:r>
        <w:t xml:space="preserve"> </w:t>
      </w:r>
      <w:r>
        <w:t xml:space="preserve">Inc.</w:t>
      </w:r>
    </w:p>
    <w:p>
      <w:pPr>
        <w:spacing w:before="336" w:after="0" w:line="276" w:lineRule="exact"/>
        <w:ind w:left="4608" w:firstLine="0"/>
        <w:jc w:val="left"/>
      </w:pPr>
      <w:r>
        <w:t xml:space="preserve">Micah</w:t>
      </w:r>
      <w:r>
        <w:t xml:space="preserve"> </w:t>
      </w:r>
      <w:r>
        <w:t xml:space="preserve">West</w:t>
      </w:r>
      <w:r>
        <w:t xml:space="preserve"> </w:t>
      </w:r>
      <w:r>
        <w:t xml:space="preserve">(ASB</w:t>
        <w:noBreakHyphen/>
        <w:t xml:space="preserve">1842-J82F*)</w:t>
      </w:r>
    </w:p>
    <w:p>
      <w:pPr>
        <w:spacing w:before="0" w:after="0" w:line="276" w:lineRule="exact"/>
        <w:ind w:left="4608" w:firstLine="0"/>
        <w:jc w:val="left"/>
      </w:pPr>
      <w:r>
        <w:t xml:space="preserve">*Admitted</w:t>
      </w:r>
      <w:r>
        <w:t xml:space="preserve"> </w:t>
      </w:r>
      <w:r>
        <w:t xml:space="preserve">Pro</w:t>
      </w:r>
      <w:r>
        <w:t xml:space="preserve"> </w:t>
      </w:r>
      <w:r>
        <w:t xml:space="preserve">Hac</w:t>
      </w:r>
      <w:r>
        <w:t xml:space="preserve"> </w:t>
      </w:r>
      <w:r>
        <w:t xml:space="preserve">Vice</w:t>
      </w:r>
    </w:p>
    <w:p>
      <w:pPr>
        <w:spacing w:before="0" w:after="0" w:line="276" w:lineRule="exact"/>
        <w:ind w:left="4608" w:firstLine="0"/>
        <w:jc w:val="left"/>
      </w:pPr>
    </w:p>
    <w:p>
      <w:pPr>
        <w:spacing w:before="0" w:after="0" w:line="276" w:lineRule="exact"/>
        <w:ind w:left="4608" w:firstLine="0"/>
        <w:jc w:val="left"/>
      </w:pPr>
      <w:r>
        <w:t xml:space="preserve">Sworn</w:t>
      </w:r>
      <w:r>
        <w:t xml:space="preserve"> </w:t>
      </w:r>
      <w:r>
        <w:t xml:space="preserve">to</w:t>
      </w:r>
      <w:r>
        <w:t xml:space="preserve"> </w:t>
      </w:r>
      <w:r>
        <w:t xml:space="preserve">and</w:t>
      </w:r>
      <w:r>
        <w:t xml:space="preserve"> </w:t>
      </w:r>
      <w:r>
        <w:t xml:space="preserve">subscribed</w:t>
      </w:r>
      <w:r>
        <w:t xml:space="preserve"> </w:t>
      </w:r>
      <w:r>
        <w:t xml:space="preserve">before</w:t>
      </w:r>
      <w:r>
        <w:t xml:space="preserve"> </w:t>
      </w:r>
      <w:r>
        <w:t xml:space="preserve">me,</w:t>
      </w:r>
      <w:r>
        <w:t xml:space="preserve"> </w:t>
      </w:r>
      <w:r>
        <w:t xml:space="preserve">this</w:t>
      </w:r>
      <w:r>
        <w:t xml:space="preserve"> </w:t>
      </w:r>
      <w:r>
        <w:t xml:space="preserve">8th</w:t>
      </w:r>
      <w:r>
        <w:t xml:space="preserve"> </w:t>
      </w:r>
      <w:r>
        <w:t xml:space="preserve">day</w:t>
      </w:r>
      <w:r>
        <w:t xml:space="preserve"> </w:t>
      </w:r>
      <w:r>
        <w:t xml:space="preserve">of</w:t>
      </w:r>
      <w:r>
        <w:t xml:space="preserve"> </w:t>
      </w:r>
      <w:r>
        <w:t xml:space="preserve">July,</w:t>
      </w:r>
      <w:r>
        <w:t xml:space="preserve"> </w:t>
      </w:r>
      <w:r>
        <w:t xml:space="preserve">2021.</w:t>
      </w:r>
    </w:p>
    <w:p>
      <w:pPr>
        <w:spacing w:before="0" w:after="0" w:line="276" w:lineRule="exact"/>
        <w:ind w:left="4608" w:firstLine="0"/>
        <w:jc w:val="left"/>
      </w:pPr>
    </w:p>
    <w:p>
      <w:pPr>
        <w:spacing w:before="0" w:after="0" w:line="276" w:lineRule="exact"/>
        <w:ind w:left="4608" w:firstLine="0"/>
        <w:jc w:val="left"/>
      </w:pPr>
      <w:r>
        <w:t xml:space="preserve">NOTARY</w:t>
      </w:r>
      <w:r>
        <w:t xml:space="preserve"> </w:t>
      </w:r>
      <w:r>
        <w:t xml:space="preserve">PUBLIC</w:t>
      </w:r>
    </w:p>
    <w:p>
      <w:pPr>
        <w:spacing w:before="0" w:after="0" w:line="276" w:lineRule="exact"/>
        <w:ind w:left="4608" w:firstLine="0"/>
        <w:jc w:val="left"/>
      </w:pPr>
      <w:r>
        <w:t xml:space="preserve">Printed</w:t>
      </w:r>
      <w:r>
        <w:t xml:space="preserve"> </w:t>
      </w:r>
      <w:r>
        <w:t xml:space="preserve">Name:</w:t>
      </w:r>
      <w:r>
        <w:t xml:space="preserve"> </w:t>
      </w:r>
      <w:r>
        <w:t xml:space="preserve">Paula</w:t>
      </w:r>
      <w:r>
        <w:t xml:space="preserve"> </w:t>
      </w:r>
      <w:r>
        <w:t xml:space="preserve">S</w:t>
      </w:r>
      <w:r>
        <w:t xml:space="preserve"> </w:t>
      </w:r>
      <w:r>
        <w:t xml:space="preserve">Hill</w:t>
      </w:r>
    </w:p>
    <w:p>
      <w:pPr>
        <w:spacing w:before="0" w:after="0" w:line="276" w:lineRule="exact"/>
        <w:ind w:left="4608" w:firstLine="0"/>
        <w:jc w:val="left"/>
      </w:pPr>
      <w:r>
        <w:t xml:space="preserve">My</w:t>
      </w:r>
      <w:r>
        <w:t xml:space="preserve"> </w:t>
      </w:r>
      <w:r>
        <w:t xml:space="preserve">commission</w:t>
      </w:r>
      <w:r>
        <w:t xml:space="preserve"> </w:t>
      </w:r>
      <w:r>
        <w:t xml:space="preserve">expires</w:t>
      </w:r>
      <w:r>
        <w:t xml:space="preserve"> </w:t>
      </w:r>
      <w:r>
        <w:t xml:space="preserve">on:</w:t>
      </w:r>
      <w:r>
        <w:t xml:space="preserve"> </w:t>
      </w:r>
      <w:r>
        <w:t xml:space="preserve">7/22/2024</w:t>
      </w:r>
    </w:p>
    <w:sectPr>
      <w:footerReference w:type="default" r:id="rIdXdPage"/>
      <w:pgSz w:w="12240" w:h="20160"/>
      <w:pgMar w:top="2160" w:right="1440" w:bottom="1440" w:left="1440" w:header="720" w:footer="732" w:gutter="0"/>
      <w:pgNumType w:fmt="decimal"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276" w:lineRule="exact"/>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Two district court judges in this case recused themselves because they had either hired—or been opposed by—Mr. Boutte in past re-election campaigns. Judge Giarrusso, the district court judge who ultimately sustained Bankers’ exceptions, also offered to recuse herself because she, too, had hired Mr. Boutte as part of her most recent re-election campaign.</w:t>
      </w:r>
      <w:r>
        <w:t xml:space="preserve"> </w:t>
      </w:r>
      <w:r>
        <w:rPr>
          <w:i/>
          <w:iCs/>
        </w:rPr>
        <w:t xml:space="preserve">See also</w:t>
      </w:r>
      <w:r>
        <w:t xml:space="preserve"> </w:t>
      </w:r>
      <w:r>
        <w:t xml:space="preserve">InJustice</w:t>
      </w:r>
      <w:r>
        <w:t xml:space="preserve"> </w:t>
      </w:r>
      <w:r>
        <w:t xml:space="preserve">Watch,</w:t>
      </w:r>
      <w:r>
        <w:t xml:space="preserve"> </w:t>
      </w:r>
      <w:r>
        <w:rPr>
          <w:i/>
          <w:iCs/>
        </w:rPr>
        <w:t xml:space="preserve">Around the country bail bondsmen’s political muscle works overtime against reform efforts</w:t>
      </w:r>
      <w:r>
        <w:t xml:space="preserve">, TheLensNola.org (Dec. 14, 2016), https://​thelensnola.​org/​2016/​12/​14/​around-​the-​country-​bailbondsmens-​political-​muscle-​works-​overtime-​against-​reform-​efforts/ (describing Mr. Boutte as a “power in New Orleans”); Jessica</w:t>
      </w:r>
      <w:r>
        <w:t xml:space="preserve"> </w:t>
      </w:r>
      <w:r>
        <w:t xml:space="preserve">Williams,</w:t>
      </w:r>
      <w:r>
        <w:t xml:space="preserve"> </w:t>
      </w:r>
      <w:r>
        <w:rPr>
          <w:i/>
          <w:iCs/>
        </w:rPr>
        <w:t xml:space="preserve">Facing little competition for seat in Congress, Cedric Richmond has begun to broaden his power base</w:t>
      </w:r>
      <w:r>
        <w:t xml:space="preserve">, Nola.com (Dec. 4, 2016), https://​www.​nola.​com/​article_e2824c59-⁠5a57-⁠558e-⁠84ad-⁠0c2882614fc7.​html (describing Mr. Boutte’s “no-holds-barred tactics,” intimidation, and attempts to “sometimes strong-arm rivals”).</w:t>
      </w:r>
    </w:p>
  </w:footnote>
  <w:footnote w:id="10">
    <w:p>
      <w:pPr>
        <w:pStyle w:val="FootnoteText"/>
      </w:pPr>
      <w:r>
        <w:rPr>
          <w:rStyle w:val="FootnoteReference"/>
        </w:rPr>
        <w:footnoteRef/>
      </w:r>
      <w:r>
        <w:t xml:space="preserve"> </w:t>
      </w:r>
      <w:r>
        <w:t xml:space="preserve">Mr. Morgan has included citations to the record but—except for his Petition for Class Certification and Declaratory Judgment, Directive 214, and the text of Act 54—has not attached those records.</w:t>
      </w:r>
      <w:r>
        <w:t xml:space="preserve"> </w:t>
      </w:r>
      <w:r>
        <w:rPr>
          <w:i/>
          <w:iCs/>
        </w:rPr>
        <w:t xml:space="preserve">See</w:t>
      </w:r>
      <w:r>
        <w:t xml:space="preserve"> </w:t>
      </w:r>
      <w:r>
        <w:t xml:space="preserve">Louisiana</w:t>
      </w:r>
      <w:r>
        <w:t xml:space="preserve"> </w:t>
      </w:r>
      <w:r>
        <w:t xml:space="preserve">Supreme Court Rule X, Section 3(6).</w:t>
      </w:r>
    </w:p>
  </w:footnote>
  <w:footnote w:id="11">
    <w:p>
      <w:pPr>
        <w:pStyle w:val="FootnoteText"/>
      </w:pPr>
      <w:r>
        <w:rPr>
          <w:rStyle w:val="FootnoteReference"/>
        </w:rPr>
        <w:footnoteRef/>
      </w:r>
      <w:r>
        <w:t xml:space="preserve"> </w:t>
      </w:r>
      <w:r>
        <w:t xml:space="preserve">La.</w:t>
      </w:r>
      <w:r>
        <w:t xml:space="preserve"> </w:t>
      </w:r>
      <w:r>
        <w:t xml:space="preserve">Stat. Ann. § 22:855(E)⁠(2);</w:t>
      </w:r>
      <w:r>
        <w:t xml:space="preserve"> </w:t>
      </w:r>
      <w:r>
        <w:rPr>
          <w:i/>
          <w:iCs/>
        </w:rPr>
        <w:t xml:space="preserve">see also</w:t>
      </w:r>
      <w:r>
        <w:t xml:space="preserve"> </w:t>
      </w:r>
      <w:r>
        <w:t xml:space="preserve">La.</w:t>
      </w:r>
      <w:r>
        <w:t xml:space="preserve"> </w:t>
      </w:r>
      <w:r>
        <w:t xml:space="preserve">Stat. Ann. § 49:964(B) (“Proceedings for review may be instituted by filing a petition in the district court of the parish in which the agency is located ⁠. ⁠. ⁠. ⁠.”). However, as discussed herein, Morgan properly filed his constitutional challenge to Act 54 in the Orleans Parish Civil District Court, the venue where he signed his bail bond contract, where he resides, and where Defendant Blair’s Bail Bonds’ principal place of business is located.</w:t>
      </w:r>
    </w:p>
  </w:footnote>
  <w:footnote w:id="12">
    <w:p>
      <w:pPr>
        <w:pStyle w:val="FootnoteText"/>
      </w:pPr>
      <w:r>
        <w:rPr>
          <w:rStyle w:val="FootnoteReference"/>
        </w:rPr>
        <w:footnoteRef/>
      </w:r>
      <w:r>
        <w:t xml:space="preserve"> </w:t>
      </w:r>
      <w:r>
        <w:t xml:space="preserve">Bankers did not explain why Morgan’s rights under state contract law turn on the outcome of the administrative proceedings, as administrative agencies typically do not resolve contract disputes.</w:t>
      </w:r>
    </w:p>
  </w:footnote>
  <w:footnote w:id="13">
    <w:p>
      <w:pPr>
        <w:pStyle w:val="FootnoteText"/>
      </w:pPr>
      <w:r>
        <w:rPr>
          <w:rStyle w:val="FootnoteReference"/>
        </w:rPr>
        <w:footnoteRef/>
      </w:r>
      <w:r>
        <w:t xml:space="preserve"> </w:t>
      </w:r>
      <w:r>
        <w:t xml:space="preserve">The amendment also prospectively reduced the criminal bail bond annual license fee in Orleans Parish from three dollars to “two dollars for each one hundred dollars worth of liability underwritten by the commercial surety.” Id.</w:t>
      </w:r>
    </w:p>
  </w:footnote>
  <w:footnote w:id="14">
    <w:p>
      <w:pPr>
        <w:pStyle w:val="FootnoteText"/>
      </w:pPr>
      <w:r>
        <w:rPr>
          <w:rStyle w:val="FootnoteReference"/>
        </w:rPr>
        <w:footnoteRef/>
      </w:r>
      <w:r>
        <w:t xml:space="preserve"> </w:t>
      </w:r>
      <w:r>
        <w:t xml:space="preserve">Bankers Br. in Opp. to Mot. to Stay at 11 (emphasis added) (internal citations omitted); Reply in Support of Exceptions at 3.</w:t>
      </w:r>
    </w:p>
  </w:footnote>
  <w:footnote w:id="15">
    <w:p>
      <w:pPr>
        <w:pStyle w:val="FootnoteText"/>
      </w:pPr>
      <w:r>
        <w:rPr>
          <w:rStyle w:val="FootnoteReference"/>
        </w:rPr>
        <w:footnoteRef/>
      </w:r>
      <w:r>
        <w:t xml:space="preserve"> </w:t>
      </w:r>
      <w:r>
        <w:t xml:space="preserve">Bankers Mot. Sum. Jud. at 6–7; Reply in Sup. of Exceptions at 7.</w:t>
      </w:r>
    </w:p>
  </w:footnote>
  <w:footnote w:id="16">
    <w:p>
      <w:pPr>
        <w:pStyle w:val="FootnoteText"/>
      </w:pPr>
      <w:r>
        <w:rPr>
          <w:rStyle w:val="FootnoteReference"/>
        </w:rPr>
        <w:footnoteRef/>
      </w:r>
      <w:r>
        <w:t xml:space="preserve"> </w:t>
      </w:r>
      <w:r>
        <w:t xml:space="preserve">Morgan separately filed a devolutive appeal to challenge the district court’s decision sustaining Bankers’ exception of no cause of action on Morgan’s first claim. In that appeal, Morgan recognized that his first claim is only justiciable if the district court first finds that Act 54 is unconstitutional. Morgan’s appeal remains pending.</w:t>
      </w:r>
    </w:p>
  </w:footnote>
  <w:footnote w:id="17">
    <w:p>
      <w:pPr>
        <w:pStyle w:val="FootnoteText"/>
      </w:pPr>
      <w:r>
        <w:rPr>
          <w:rStyle w:val="FootnoteReference"/>
        </w:rPr>
        <w:footnoteRef/>
      </w:r>
      <w:r>
        <w:t xml:space="preserve"> </w:t>
      </w:r>
      <w:r>
        <w:t xml:space="preserve">The day Bankers filed its response to Morgan’s writ application in the court of appeal it also moved for the DAL to lift the stay, which Morgan and the Commissioner opposed. A hearing is scheduled for August 2, 2021 in the DAL.</w:t>
      </w:r>
    </w:p>
  </w:footnote>
  <w:footnote w:id="18">
    <w:p>
      <w:pPr>
        <w:pStyle w:val="FootnoteText"/>
      </w:pPr>
      <w:r>
        <w:rPr>
          <w:rStyle w:val="FootnoteReference"/>
        </w:rPr>
        <w:footnoteRef/>
      </w:r>
      <w:r>
        <w:t xml:space="preserve"> </w:t>
      </w:r>
      <w:r>
        <w:t xml:space="preserve">This practice in Louisiana courts is consistent with that of courts nationwide, which have refused to abstain under the primary jurisdiction doctrine when questions of statutory construction are involved.</w:t>
      </w:r>
      <w:r>
        <w:t xml:space="preserve"> </w:t>
      </w:r>
      <w:r>
        <w:rPr>
          <w:i/>
          <w:iCs/>
        </w:rPr>
        <w:t xml:space="preserve">See, e.g.</w:t>
      </w:r>
      <w:r>
        <w:t xml:space="preserve">,</w:t>
      </w:r>
      <w:r>
        <w:t xml:space="preserve"> </w:t>
      </w:r>
      <w:r>
        <w:rPr>
          <w:i/>
          <w:iCs/>
        </w:rPr>
        <w:t xml:space="preserve">Borlem</w:t>
      </w:r>
      <w:r>
        <w:rPr>
          <w:i/>
          <w:iCs/>
        </w:rPr>
        <w:t xml:space="preserve"> </w:t>
      </w:r>
      <w:r>
        <w:rPr>
          <w:i/>
          <w:iCs/>
        </w:rPr>
        <w:t xml:space="preserve">S.A.-Empreedimentos Industriais v. United States</w:t>
      </w:r>
      <w:r>
        <w:t xml:space="preserve">, 710 F. Supp. 797, 802 (Ct. Int’l Trade 1989) (“The Court notes that it would be inappropriate to invoke the doctrine of primary jurisdiction were the question before this Court entirely one of statutory interpretation.”);</w:t>
      </w:r>
      <w:r>
        <w:t xml:space="preserve"> </w:t>
      </w:r>
      <w:r>
        <w:rPr>
          <w:i/>
          <w:iCs/>
        </w:rPr>
        <w:t xml:space="preserve">Envtl.Def.</w:t>
      </w:r>
      <w:r>
        <w:rPr>
          <w:i/>
          <w:iCs/>
        </w:rPr>
        <w:t xml:space="preserve"> </w:t>
      </w:r>
      <w:r>
        <w:rPr>
          <w:i/>
          <w:iCs/>
        </w:rPr>
        <w:t xml:space="preserve">Fund, Inc. v. Wheelabrator Techs. Inc.</w:t>
      </w:r>
      <w:r>
        <w:t xml:space="preserve">, 725 F. Supp. 758, 775 (S.D.N.Y. 1989) (“The instant controversy centers on the proper construction of [a statute], a purely legal issue. The policies underlying the primary jurisdiction doctrine would not be furthered by awaiting agency decision on that point.”);</w:t>
      </w:r>
      <w:r>
        <w:t xml:space="preserve"> </w:t>
      </w:r>
      <w:r>
        <w:rPr>
          <w:i/>
          <w:iCs/>
        </w:rPr>
        <w:t xml:space="preserve">Morrell</w:t>
      </w:r>
      <w:r>
        <w:rPr>
          <w:i/>
          <w:iCs/>
        </w:rPr>
        <w:t xml:space="preserve"> </w:t>
      </w:r>
      <w:r>
        <w:rPr>
          <w:i/>
          <w:iCs/>
        </w:rPr>
        <w:t xml:space="preserve">v. Harris</w:t>
      </w:r>
      <w:r>
        <w:t xml:space="preserve">, 505 F. Supp. 1063, 1068 (E.D. Pa. 1981) (“The issue is one of statutory construction ⁠. ⁠. ⁠. Statutory construction is one of the traditional tasks of the judiciary. Referral to the agency is thus not appropriate in this case.”).</w:t>
      </w:r>
    </w:p>
  </w:footnote>
  <w:footnote w:id="19">
    <w:p>
      <w:pPr>
        <w:pStyle w:val="FootnoteText"/>
      </w:pPr>
      <w:r>
        <w:rPr>
          <w:rStyle w:val="FootnoteReference"/>
        </w:rPr>
        <w:footnoteRef/>
      </w:r>
      <w:r>
        <w:t xml:space="preserve"> </w:t>
      </w:r>
      <w:r>
        <w:rPr>
          <w:i/>
          <w:iCs/>
        </w:rPr>
        <w:t xml:space="preserve">Debate on Bonds – Provides Relative to Criminal Bail Bonds</w:t>
      </w:r>
      <w:r>
        <w:t xml:space="preserve">, SB 108, 2019 Reg. Sess. La. (May 26, 2019) (statement of Rep. Katrina Jackson), https://​house.​louisiana.​gov/​H_Video/​VideoArchivePlayer?​v=house/​2019/​may/​0523_19_Day26_2019RS_P2; https://​house.​louisiana.​gov/​H_Video/​VideoArchivePlayer?​v=house/​2019/​may/​0523_19_Day26_2019RS_P2;</w:t>
      </w:r>
      <w:r>
        <w:rPr>
          <w:i/>
          <w:iCs/>
        </w:rPr>
        <w:t xml:space="preserve">see also</w:t>
      </w:r>
      <w:r>
        <w:t xml:space="preserve"> </w:t>
      </w:r>
      <w:r>
        <w:rPr>
          <w:i/>
          <w:iCs/>
        </w:rPr>
        <w:t xml:space="preserve">Bonds– Provides Relative to Criminal Bail Bonds: Hearing on SB 108 Before the S. Comm. on Insurance</w:t>
      </w:r>
      <w:r>
        <w:t xml:space="preserve">, 2019 Leg., Reg. Sess. La. (Apr. 16, 2019) (“it is a New Orleans issue”) (statement of Sen. Gary Smith, Jr., Member, S. Comm. on Insurance), https://​senate.​la.​gov/​s_video/​videoarchive.​asp?​v=senate/​2019/​04/​041619INS_0.</w:t>
      </w:r>
    </w:p>
  </w:footnote>
  <w:footnote w:id="20">
    <w:p>
      <w:pPr>
        <w:pStyle w:val="FootnoteText"/>
      </w:pPr>
      <w:r>
        <w:rPr>
          <w:rStyle w:val="FootnoteReference"/>
        </w:rPr>
        <w:footnoteRef/>
      </w:r>
      <w:r>
        <w:t xml:space="preserve"> </w:t>
      </w:r>
      <w:r>
        <w:rPr>
          <w:i/>
          <w:iCs/>
        </w:rPr>
        <w:t xml:space="preserve">See also</w:t>
      </w:r>
      <w:r>
        <w:t xml:space="preserve"> </w:t>
      </w:r>
      <w:r>
        <w:rPr>
          <w:i/>
          <w:iCs/>
        </w:rPr>
        <w:t xml:space="preserve">Johno</w:t>
      </w:r>
      <w:r>
        <w:rPr>
          <w:i/>
          <w:iCs/>
        </w:rPr>
        <w:t xml:space="preserve"> </w:t>
      </w:r>
      <w:r>
        <w:rPr>
          <w:i/>
          <w:iCs/>
        </w:rPr>
        <w:t xml:space="preserve">v. Doe</w:t>
      </w:r>
      <w:r>
        <w:t xml:space="preserve">, 16</w:t>
      </w:r>
      <w:r>
        <w:noBreakHyphen/>
      </w:r>
      <w:r>
        <w:t xml:space="preserve">0087 (La. 12/6/16), 218 So. 3d 1004, 1009 (statute violated due process that retroactively took away homeowner’s ability to pursue relief under strict liability theory after parish government allegedly unlawfully demolished his house following Hurricane Katrina);</w:t>
      </w:r>
      <w:r>
        <w:t xml:space="preserve"> </w:t>
      </w:r>
      <w:r>
        <w:rPr>
          <w:i/>
          <w:iCs/>
        </w:rPr>
        <w:t xml:space="preserve">see also</w:t>
      </w:r>
      <w:r>
        <w:t xml:space="preserve"> </w:t>
      </w:r>
      <w:r>
        <w:rPr>
          <w:i/>
          <w:iCs/>
        </w:rPr>
        <w:t xml:space="preserve">Burmaster</w:t>
      </w:r>
      <w:r>
        <w:rPr>
          <w:i/>
          <w:iCs/>
        </w:rPr>
        <w:t xml:space="preserve"> </w:t>
      </w:r>
      <w:r>
        <w:rPr>
          <w:i/>
          <w:iCs/>
        </w:rPr>
        <w:t xml:space="preserve">v. Plaquemines Par. Gov’t</w:t>
      </w:r>
      <w:r>
        <w:t xml:space="preserve">, 07</w:t>
      </w:r>
      <w:r>
        <w:noBreakHyphen/>
      </w:r>
      <w:r>
        <w:t xml:space="preserve">2432 (La. 5/21/08), 982 So. 2d 795, 806 (statute violated due process that retroactively eliminated strict liability for damages against parish government for actions taken after hurricanes Katrina or Rita);</w:t>
      </w:r>
      <w:r>
        <w:t xml:space="preserve"> </w:t>
      </w:r>
      <w:r>
        <w:rPr>
          <w:i/>
          <w:iCs/>
        </w:rPr>
        <w:t xml:space="preserve">Faucheaux</w:t>
      </w:r>
      <w:r>
        <w:rPr>
          <w:i/>
          <w:iCs/>
        </w:rPr>
        <w:t xml:space="preserve"> </w:t>
      </w:r>
      <w:r>
        <w:rPr>
          <w:i/>
          <w:iCs/>
        </w:rPr>
        <w:t xml:space="preserve">v. Alton Ochsner Med. Found. Hosp. &amp; Clinic</w:t>
      </w:r>
      <w:r>
        <w:t xml:space="preserve">, 85</w:t>
      </w:r>
      <w:r>
        <w:noBreakHyphen/>
      </w:r>
      <w:r>
        <w:t xml:space="preserve">0968 (La. 6/17/85), 470 So. 2d 878, 879 (statutes that retroactively granted immunity to physicians, hospitals, and blood banks from strict liability for blood transfusions that transmitted viruses violated due process because plaintiff’s injuries occurred prior to the effective date of the statutes’ enactment).</w:t>
      </w:r>
    </w:p>
  </w:footnote>
  <w:footnote w:id="21">
    <w:p>
      <w:pPr>
        <w:pStyle w:val="FootnoteText"/>
      </w:pPr>
      <w:r>
        <w:rPr>
          <w:rStyle w:val="FootnoteReference"/>
        </w:rPr>
        <w:footnoteRef/>
      </w:r>
      <w:r>
        <w:t xml:space="preserve"> </w:t>
      </w:r>
      <w:r>
        <w:t xml:space="preserve">“The cause of an obligation is unlawful when the enforcement of the obligation would produce a result prohibited by law or against public policy.”</w:t>
      </w:r>
      <w:r>
        <w:t xml:space="preserve"> </w:t>
      </w:r>
      <w:r>
        <w:rPr>
          <w:i/>
          <w:iCs/>
        </w:rPr>
        <w:t xml:space="preserve">See also</w:t>
      </w:r>
      <w:r>
        <w:t xml:space="preserve"> </w:t>
      </w:r>
      <w:r>
        <w:rPr>
          <w:i/>
          <w:iCs/>
        </w:rPr>
        <w:t xml:space="preserve">Commercial</w:t>
      </w:r>
      <w:r>
        <w:rPr>
          <w:i/>
          <w:iCs/>
        </w:rPr>
        <w:t xml:space="preserve"> </w:t>
      </w:r>
      <w:r>
        <w:rPr>
          <w:i/>
          <w:iCs/>
        </w:rPr>
        <w:t xml:space="preserve">Union Ins. Co. v. Bernard</w:t>
      </w:r>
      <w:r>
        <w:t xml:space="preserve">, 303 So. 2d 728, 732 (La. 1974) (“[e]xcessive rates are forbidden”).</w:t>
      </w:r>
    </w:p>
  </w:footnote>
  <w:footnote w:id="22">
    <w:p>
      <w:pPr>
        <w:pStyle w:val="FootnoteText"/>
      </w:pPr>
      <w:r>
        <w:rPr>
          <w:rStyle w:val="FootnoteReference"/>
        </w:rPr>
        <w:footnoteRef/>
      </w:r>
      <w:r>
        <w:t xml:space="preserve"> </w:t>
      </w:r>
      <w:r>
        <w:t xml:space="preserve">“Persons may not by their juridical acts derogate from laws enacted for the protection of the public interest. Any act in derogation of such laws is an absolute nullity.”</w:t>
      </w:r>
    </w:p>
  </w:footnote>
  <w:footnote w:id="23">
    <w:p>
      <w:pPr>
        <w:pStyle w:val="FootnoteText"/>
      </w:pPr>
      <w:r>
        <w:rPr>
          <w:rStyle w:val="FootnoteReference"/>
        </w:rPr>
        <w:footnoteRef/>
      </w:r>
      <w:r>
        <w:t xml:space="preserve"> </w:t>
      </w:r>
      <w:r>
        <w:t xml:space="preserve">“An absolutely null contract, or a relatively null contract that has been declared null by the court, is deemed never to have existed. The parties must be restored to the situation that existed before the contract was made. If it is impossible or impracticable to make restoration in kind, it may be made through an award of damages.”</w:t>
      </w:r>
    </w:p>
  </w:footnote>
  <w:footnote w:id="24">
    <w:p>
      <w:pPr>
        <w:pStyle w:val="FootnoteText"/>
      </w:pPr>
      <w:r>
        <w:rPr>
          <w:rStyle w:val="FootnoteReference"/>
        </w:rPr>
        <w:footnoteRef/>
      </w:r>
      <w:r>
        <w:t xml:space="preserve"> </w:t>
      </w:r>
      <w:r>
        <w:t xml:space="preserve">Louisiana courts have applied these due process principles to statutes that indirectly eliminate a person’s administrative remedies—by, for example, taking away a plaintiff’s ability to prove his claim. In</w:t>
      </w:r>
      <w:r>
        <w:t xml:space="preserve"> </w:t>
      </w:r>
      <w:r>
        <w:rPr>
          <w:i/>
          <w:iCs/>
        </w:rPr>
        <w:t xml:space="preserve">Michel</w:t>
      </w:r>
      <w:r>
        <w:rPr>
          <w:i/>
          <w:iCs/>
        </w:rPr>
        <w:t xml:space="preserve"> </w:t>
      </w:r>
      <w:r>
        <w:rPr>
          <w:i/>
          <w:iCs/>
        </w:rPr>
        <w:t xml:space="preserve">v. State, Div. of Admin. Law</w:t>
      </w:r>
      <w:r>
        <w:t xml:space="preserve">, 13</w:t>
      </w:r>
      <w:r>
        <w:noBreakHyphen/>
      </w:r>
      <w:r>
        <w:t xml:space="preserve">1419, (La. App. 1st Cir. 11/03/14), 167 So. 3d 654, 663, for instance, the First Circuit invalidated a statute that retroactively eliminated a plaintiff’s right to subpoena an officer to an administrative hearing. The statute violated due process because the practical impact of the amendment was to foreclose the plaintiff’s ability to fight the suspension and obtain reinstatement: the plaintiff’s ability to prevail turned on his ability to subpoena the arresting officer to the administrative hearing. Here, Act 54 goes beyond making it harder for Morgan to prevail: Act 54 eliminates any remedy under La.</w:t>
      </w:r>
      <w:r>
        <w:t xml:space="preserve"> </w:t>
      </w:r>
      <w:r>
        <w:t xml:space="preserve">Rev. Stat. § 22:855(E).</w:t>
      </w:r>
    </w:p>
  </w:footnote>
</w:footnotes>
</file>

<file path=word/ftr-add.xml><?xml version="1.0" encoding="utf-8"?>
<w:ftr xmlns:w="http://schemas.openxmlformats.org/wordprocessingml/2006/main" xmlns:r="http://schemas.openxmlformats.org/officeDocument/2006/relationships">
  <w:p>
    <w:pPr>
      <w:spacing w:before="0" w:after="0"/>
      <w:jc w:val="center"/>
    </w:pPr>
    <w:r>
      <w:t>Add-</w:t>
    </w:r>
    <w:r>
      <w:fldChar w:fldCharType="begin"/>
    </w:r>
    <w:r>
      <w:instrText xml:space="preserve"> PAGE </w:instrText>
    </w:r>
    <w:r>
      <w:fldChar w:fldCharType="separate"/>
    </w:r>
    <w:r>
      <w:t>1</w:t>
    </w:r>
    <w:r>
      <w:fldChar w:fldCharType="end"/>
    </w:r>
  </w:p>
</w:ftr>
</file>

<file path=word/ftr-none.xml><?xml version="1.0" encoding="utf-8"?>
<w:ftr xmlns:w="http://schemas.openxmlformats.org/wordprocessingml/2006/main" xmlns:r="http://schemas.openxmlformats.org/officeDocument/2006/relationships">
  <w:p>
    <w:pPr>
      <w:spacing w:before="0" w:after="0"/>
      <w:jc w:val="center"/>
    </w:pPr>
  </w:p>
</w:ftr>
</file>

<file path=word/ftr-own1.xml><?xml version="1.0" encoding="utf-8"?>
<w:ftr xmlns:w="http://schemas.openxmlformats.org/wordprocessingml/2006/main" xmlns:r="http://schemas.openxmlformats.org/officeDocument/2006/relationships">
  <w:p>
    <w:pPr>
      <w:spacing w:before="0" w:after="0" w:line="276" w:lineRule="exact"/>
      <w:jc w:val="center"/>
    </w:pPr>
    <w:r>
      <w:fldChar w:fldCharType="begin"/>
    </w:r>
    <w:r>
      <w:instrText xml:space="preserve"> PAGE </w:instrText>
    </w:r>
    <w:r>
      <w:fldChar w:fldCharType="separate"/>
    </w:r>
    <w:r>
      <w:t>1</w:t>
    </w:r>
    <w:r>
      <w:fldChar w:fldCharType="end"/>
    </w:r>
  </w:p>
</w:ftr>
</file>

<file path=word/ftr-own2.xml><?xml version="1.0" encoding="utf-8"?>
<w:ftr xmlns:w="http://schemas.openxmlformats.org/wordprocessingml/2006/main" xmlns:r="http://schemas.openxmlformats.org/officeDocument/2006/relationships">
  <w:p>
    <w:pPr>
      <w:spacing w:before="0" w:after="0" w:line="276" w:lineRule="exact"/>
      <w:jc w:val="center"/>
    </w:pPr>
  </w:p>
</w:ftr>
</file>

<file path=word/ftr-page.xml><?xml version="1.0" encoding="utf-8"?>
<w:ftr xmlns:w="http://schemas.openxmlformats.org/wordprocessingml/2006/main" xmlns:r="http://schemas.openxmlformats.org/officeDocument/2006/relationships">
  <w:p>
    <w:pPr>
      <w:spacing w:before="0" w:after="0"/>
      <w:jc w:val="center"/>
    </w:pP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552"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276" w:lineRule="exact"/>
      <w:ind w:firstLine="0"/>
      <w:jc w:val="center"/>
      <w:outlineLvl w:val="0"/>
    </w:pPr>
    <w:rPr>
      <w:rFonts w:ascii="Times New Roman" w:hAnsi="Times New Roman" w:eastAsia="Times New Roman" w:cs="Times New Roman"/>
      <w:b/>
      <w:bCs/>
      <w:caps/>
      <w:color w:val="000000"/>
      <w:sz w:val="24"/>
      <w:szCs w:val="24"/>
    </w:rPr>
  </w:style>
  <w:style w:type="paragraph" w:styleId="Heading2">
    <w:name w:val="heading 2"/>
    <w:basedOn w:val="Normal"/>
    <w:next w:val="BodyText"/>
    <w:link w:val="Heading2Char"/>
    <w:uiPriority w:val="9"/>
    <w:semiHidden/>
    <w:unhideWhenUsed/>
    <w:qFormat/>
    <w:rsid w:val="00A10FD9"/>
    <w:pPr>
      <w:keepNext/>
      <w:keepLines/>
      <w:spacing w:before="240" w:after="120" w:line="276" w:lineRule="exact"/>
      <w:ind w:firstLine="0"/>
      <w:outlineLvl w:val="1"/>
    </w:pPr>
    <w:rPr>
      <w:rFonts w:ascii="Times New Roman" w:hAnsi="Times New Roman" w:eastAsia="Times New Roman" w:cs="Times New Roman"/>
      <w:b/>
      <w:bCs/>
      <w:color w:val="000000"/>
      <w:sz w:val="24"/>
      <w:szCs w:val="24"/>
    </w:rPr>
  </w:style>
  <w:style w:type="paragraph" w:styleId="Heading3">
    <w:name w:val="heading 3"/>
    <w:basedOn w:val="Normal"/>
    <w:next w:val="BodyText"/>
    <w:link w:val="Heading3Char"/>
    <w:uiPriority w:val="9"/>
    <w:semiHidden/>
    <w:unhideWhenUsed/>
    <w:qFormat/>
    <w:rsid w:val="00A10FD9"/>
    <w:pPr>
      <w:keepNext/>
      <w:keepLines/>
      <w:spacing w:before="240" w:after="120" w:line="276" w:lineRule="exact"/>
      <w:ind w:firstLine="0"/>
      <w:outlineLvl w:val="2"/>
    </w:pPr>
    <w:rPr>
      <w:rFonts w:ascii="Times New Roman" w:hAnsi="Times New Roman" w:eastAsia="Times New Roman" w:cs="Times New Roman"/>
      <w:b/>
      <w:bCs/>
      <w:color w:val="000000"/>
      <w:sz w:val="24"/>
      <w:szCs w:val="24"/>
    </w:rPr>
  </w:style>
  <w:style w:type="paragraph" w:styleId="Heading4">
    <w:name w:val="heading 4"/>
    <w:basedOn w:val="Normal"/>
    <w:next w:val="BodyText"/>
    <w:link w:val="Heading4Char"/>
    <w:uiPriority w:val="9"/>
    <w:semiHidden/>
    <w:unhideWhenUsed/>
    <w:qFormat/>
    <w:rsid w:val="00A10FD9"/>
    <w:pPr>
      <w:keepNext/>
      <w:keepLines/>
      <w:spacing w:before="240" w:after="120" w:line="276" w:lineRule="exact"/>
      <w:ind w:firstLine="0"/>
      <w:outlineLvl w:val="3"/>
    </w:pPr>
    <w:rPr>
      <w:rFonts w:ascii="Times New Roman" w:hAnsi="Times New Roman" w:eastAsia="Times New Roman" w:cs="Times New Roman"/>
      <w:b/>
      <w:bCs/>
      <w:i/>
      <w:color w:val="000000"/>
      <w:sz w:val="24"/>
      <w:szCs w:val="24"/>
    </w:rPr>
  </w:style>
  <w:style w:type="paragraph" w:styleId="Heading5">
    <w:name w:val="heading 5"/>
    <w:basedOn w:val="Normal"/>
    <w:next w:val="BodyText"/>
    <w:link w:val="Heading5Char"/>
    <w:uiPriority w:val="9"/>
    <w:semiHidden/>
    <w:unhideWhenUsed/>
    <w:qFormat/>
    <w:rsid w:val="00A10FD9"/>
    <w:pPr>
      <w:keepNext/>
      <w:keepLines/>
      <w:spacing w:before="240" w:after="120" w:line="276" w:lineRule="exact"/>
      <w:ind w:firstLine="0"/>
      <w:outlineLvl w:val="4"/>
    </w:pPr>
    <w:rPr>
      <w:rFonts w:ascii="Times New Roman" w:hAnsi="Times New Roman" w:eastAsia="Times New Roman" w:cs="Times New Roman"/>
      <w:b/>
      <w:bCs/>
      <w:i/>
      <w:color w:val="000000"/>
      <w:sz w:val="24"/>
      <w:szCs w:val="24"/>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552" w:lineRule="exact"/>
      <w:ind w:left="720" w:hanging="720"/>
    </w:pPr>
  </w:style>
  <w:style w:type="paragraph" w:styleId="BlockText">
    <w:name w:val="Block Text"/>
    <w:basedOn w:val="BodyText"/>
    <w:next w:val="BodyText"/>
    <w:uiPriority w:val="9"/>
    <w:unhideWhenUsed/>
    <w:qFormat/>
    <w:pPr>
      <w:spacing w:before="280" w:after="280" w:line="276" w:lineRule="exact"/>
      <w:ind w:firstLine="0" w:left="720" w:right="720"/>
    </w:pPr>
  </w:style>
  <w:style w:type="paragraph" w:styleId="FootnoteText">
    <w:name w:val="Footnote Text"/>
    <w:basedOn w:val="Normal"/>
    <w:next w:val="FootnoteText"/>
    <w:uiPriority w:val="9"/>
    <w:unhideWhenUsed/>
    <w:qFormat/>
    <w:pPr>
      <w:keepLines/>
      <w:spacing w:before="0" w:after="80" w:line="276" w:lineRule="exact"/>
    </w:pPr>
    <w:rPr>
      <w:sz w:val="24"/>
      <w:szCs w:val="24"/>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Note">
    <w:name w:val="Body Text Note"/>
    <w:basedOn w:val="BodyText"/>
    <w:qFormat/>
    <w:pPr>
      <w:widowControl w:val="0"/>
    </w:pPr>
  </w:style>
  <w:style w:type="paragraph" w:customStyle="1" w:styleId="XdQuote">
    <w:name w:val="Xd Quote"/>
    <w:basedOn w:val="Normal"/>
    <w:qFormat/>
    <w:pPr>
      <w:spacing w:before="120" w:after="120" w:line="276" w:lineRule="exact"/>
      <w:ind w:left="720" w:right="720" w:firstLine="0"/>
    </w:pPr>
  </w:style>
  <w:style w:type="paragraph" w:customStyle="1" w:styleId="XdQuoteFirst">
    <w:name w:val="Xd Quote First"/>
    <w:basedOn w:val="Normal"/>
    <w:qFormat/>
    <w:pPr>
      <w:spacing w:before="240" w:after="120" w:line="276" w:lineRule="exact"/>
      <w:ind w:left="720" w:right="720" w:firstLine="0"/>
    </w:pPr>
  </w:style>
  <w:style w:type="paragraph" w:customStyle="1" w:styleId="XdQuoteLast">
    <w:name w:val="Xd Quote Last"/>
    <w:basedOn w:val="Normal"/>
    <w:qFormat/>
    <w:pPr>
      <w:spacing w:before="120" w:after="240" w:line="276" w:lineRule="exact"/>
      <w:ind w:left="720" w:right="720" w:firstLine="0"/>
    </w:pPr>
  </w:style>
  <w:style w:type="paragraph" w:customStyle="1" w:styleId="XdQuoteOnly">
    <w:name w:val="Xd Quote Only"/>
    <w:basedOn w:val="Normal"/>
    <w:qFormat/>
    <w:pPr>
      <w:spacing w:before="240" w:after="240" w:line="276" w:lineRule="exact"/>
      <w:ind w:left="720" w:right="720" w:firstLine="0"/>
    </w:pPr>
  </w:style>
  <w:style w:type="paragraph" w:customStyle="1" w:styleId="XdTail">
    <w:name w:val="Xd Tail"/>
    <w:basedOn w:val="Normal"/>
    <w:qFormat/>
    <w:pPr>
      <w:spacing w:before="0" w:after="0" w:line="276" w:lineRule="exact"/>
      <w:ind w:firstLine="0"/>
    </w:pPr>
  </w:style>
  <w:style w:type="paragraph" w:customStyle="1" w:styleId="XdList1">
    <w:name w:val="XdList 1"/>
    <w:basedOn w:val="Normal"/>
    <w:qFormat/>
    <w:pPr>
      <w:spacing w:before="0" w:after="0" w:line="552" w:lineRule="exact"/>
      <w:ind w:left="720" w:hanging="720"/>
    </w:pPr>
  </w:style>
  <w:style w:type="paragraph" w:customStyle="1" w:styleId="XdList2">
    <w:name w:val="XdList 2"/>
    <w:basedOn w:val="Normal"/>
    <w:qFormat/>
    <w:pPr>
      <w:spacing w:before="0" w:after="0" w:line="552" w:lineRule="exact"/>
      <w:ind w:left="1440" w:hanging="720"/>
    </w:pPr>
  </w:style>
  <w:style w:type="paragraph" w:customStyle="1" w:styleId="XdList3">
    <w:name w:val="XdList 3"/>
    <w:basedOn w:val="Normal"/>
    <w:qFormat/>
    <w:pPr>
      <w:spacing w:before="0" w:after="0" w:line="552" w:lineRule="exact"/>
      <w:ind w:left="2160" w:hanging="720"/>
    </w:pPr>
  </w:style>
  <w:style w:type="paragraph" w:customStyle="1" w:styleId="XdTailList1">
    <w:name w:val="XdTailList 1"/>
    <w:basedOn w:val="Normal"/>
    <w:qFormat/>
    <w:pPr>
      <w:spacing w:before="0" w:after="0" w:line="276" w:lineRule="exact"/>
      <w:ind w:left="720" w:hanging="720"/>
    </w:pPr>
  </w:style>
  <w:style w:type="paragraph" w:customStyle="1" w:styleId="XdTailList2">
    <w:name w:val="XdTailList 2"/>
    <w:basedOn w:val="Normal"/>
    <w:qFormat/>
    <w:pPr>
      <w:spacing w:before="0" w:after="0" w:line="276" w:lineRule="exact"/>
      <w:ind w:left="1440" w:hanging="720"/>
    </w:pPr>
  </w:style>
  <w:style w:type="paragraph" w:customStyle="1" w:styleId="XdTailList3">
    <w:name w:val="XdTailList 3"/>
    <w:basedOn w:val="Normal"/>
    <w:qFormat/>
    <w:pPr>
      <w:spacing w:before="0" w:after="0" w:line="276" w:lineRule="exact"/>
      <w:ind w:left="2160" w:hanging="720"/>
    </w:pPr>
  </w:style>
  <w:style w:type="paragraph" w:customStyle="1" w:styleId="XdQuoteList1">
    <w:name w:val="Xd Quote List 1"/>
    <w:basedOn w:val="Normal"/>
    <w:qFormat/>
    <w:pPr>
      <w:spacing w:before="0" w:after="0" w:line="276" w:lineRule="exact"/>
      <w:ind w:left="1440" w:right="720" w:hanging="720"/>
    </w:pPr>
  </w:style>
  <w:style w:type="paragraph" w:customStyle="1" w:styleId="XdQuoteList2">
    <w:name w:val="Xd Quote List 2"/>
    <w:basedOn w:val="Normal"/>
    <w:qFormat/>
    <w:pPr>
      <w:spacing w:before="0" w:after="0" w:line="276" w:lineRule="exact"/>
      <w:ind w:left="2160" w:right="720" w:hanging="720"/>
    </w:pPr>
  </w:style>
  <w:style w:type="paragraph" w:customStyle="1" w:styleId="XdQuoteList3">
    <w:name w:val="Xd Quote List 3"/>
    <w:basedOn w:val="Normal"/>
    <w:qFormat/>
    <w:pPr>
      <w:spacing w:before="0" w:after="0" w:line="276" w:lineRule="exact"/>
      <w:ind w:left="2880" w:right="720" w:hanging="720"/>
    </w:pPr>
  </w:style>
  <w:style w:type="paragraph" w:customStyle="1" w:styleId="XdQuoteOnly">
    <w:name w:val="XdQuoteOnly"/>
    <w:basedOn w:val="BodyText"/>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 Type="http://schemas.openxmlformats.org/officeDocument/2006/relationships/footer" Id="rIdFtrNone" Target="ftr-none.xml"/><Relationship Type="http://schemas.openxmlformats.org/officeDocument/2006/relationships/footer" Id="rIdFtrPage" Target="ftr-page.xml"/><Relationship Type="http://schemas.openxmlformats.org/officeDocument/2006/relationships/footer" Id="rIdFtrAdd" Target="ftr-add.xml"/><Relationship Type="http://schemas.openxmlformats.org/officeDocument/2006/relationships/footer" Id="rIdXdPage" Target="ftr-own1.xml"/><Relationship Type="http://schemas.openxmlformats.org/officeDocument/2006/relationships/footer" Id="rIdXdNone" Target="ftr-own2.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