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JUSTIN ANDERSON (15526)</w:t>
      </w:r>
    </w:p>
    <w:p>
      <w:pPr>
        <w:pStyle w:val="Single"/>
      </w:pPr>
      <w:r>
        <w:t xml:space="preserve">Assistant Utah Attorney General</w:t>
      </w:r>
    </w:p>
    <w:p>
      <w:pPr>
        <w:pStyle w:val="Single"/>
      </w:pPr>
      <w:r>
        <w:t xml:space="preserve">DEREK E. BROWN (10476)</w:t>
      </w:r>
    </w:p>
    <w:p>
      <w:pPr>
        <w:pStyle w:val="Single"/>
      </w:pPr>
      <w:r>
        <w:t xml:space="preserve">Utah Attorney General</w:t>
      </w:r>
    </w:p>
    <w:p>
      <w:pPr>
        <w:pStyle w:val="Single"/>
      </w:pPr>
      <w:r>
        <w:t xml:space="preserve">160 East 300 South, Sixth Floor</w:t>
      </w:r>
    </w:p>
    <w:p>
      <w:pPr>
        <w:pStyle w:val="Single"/>
      </w:pPr>
      <w:r>
        <w:t xml:space="preserve">P.O. Box 140856</w:t>
      </w:r>
    </w:p>
    <w:p>
      <w:pPr>
        <w:pStyle w:val="Single"/>
      </w:pPr>
      <w:r>
        <w:t xml:space="preserve">Salt Lake City, Utah 84114-0856</w:t>
      </w:r>
    </w:p>
    <w:p>
      <w:pPr>
        <w:pStyle w:val="Single"/>
      </w:pPr>
      <w:r>
        <w:t xml:space="preserve">Telephone: (801) 366-0100</w:t>
      </w:r>
    </w:p>
    <w:p>
      <w:pPr>
        <w:pStyle w:val="Single"/>
      </w:pPr>
      <w:r>
        <w:t xml:space="preserve">Facsimile: (801) 366-0101</w:t>
      </w:r>
    </w:p>
    <w:p>
      <w:pPr>
        <w:pStyle w:val="Single"/>
      </w:pPr>
      <w:r>
        <w:t xml:space="preserve">E-mail: justinpanderson@agutah.gov</w:t>
      </w:r>
    </w:p>
    <w:p>
      <w:pPr>
        <w:pStyle w:val="Single"/>
      </w:pPr>
      <w:r>
        <w:rPr>
          <w:i/>
          <w:iCs/>
        </w:rPr>
        <w:t xml:space="preserve">Attorney for the Honorable Charles A. Stormont</w:t>
      </w:r>
    </w:p>
    <w:p>
      <w:pPr>
        <w:pStyle w:val="Single"/>
        <w:spacing w:before="260"/>
      </w:pPr>
    </w:p>
    <w:p>
      <w:pPr>
        <w:pStyle w:val="Centered"/>
      </w:pPr>
      <w:r>
        <w:rPr>
          <w:b/>
          <w:bCs/>
        </w:rPr>
        <w:t xml:space="preserve">IN THE UNITED STATES DISTRICT COURT</w:t>
      </w:r>
    </w:p>
    <w:p>
      <w:pPr>
        <w:pStyle w:val="Centered"/>
      </w:pPr>
      <w:r>
        <w:rPr>
          <w:b/>
          <w:bCs/>
        </w:rPr>
        <w:t xml:space="preserve">IN AND FOR THE DISTRICT OF UTAH, CENTRAL DIVISION</w:t>
      </w:r>
    </w:p>
    <w:p>
      <w:pPr>
        <w:pStyle w:val="Single"/>
        <w:spacing w:before="260"/>
      </w:pPr>
    </w:p>
    <w:tbl>
      <w:tblPr>
        <w:tblW w:w="9360" w:type="dxa"/>
        <w:tblLayout w:type="fixed"/>
        <w:tblCellMar>
          <w:left w:w="0" w:type="dxa"/>
          <w:right w:w="0" w:type="dxa"/>
        </w:tblCellMar>
      </w:tblPr>
      <w:tblGrid>
        <w:gridCol w:w="5460"/>
        <w:gridCol w:w="3900"/>
      </w:tblGrid>
      <w:tr>
        <w:trPr>
          <w:cantSplit/>
        </w:trPr>
        <w:tc>
          <w:tcPr>
            <w:tcW w:w="5460" w:type="dxa"/>
            <w:tcBorders>
              <w:right w:val="single" w:sz="6" w:space="0" w:color="000000"/>
              <w:bottom w:val="single" w:sz="6" w:space="0" w:color="000000"/>
            </w:tcBorders>
            <w:tcMar>
              <w:right w:w="312" w:type="dxa"/>
              <w:bottom w:w="260" w:type="dxa"/>
            </w:tcMar>
          </w:tcPr>
          <w:p>
            <w:pPr>
              <w:pStyle w:val="Single"/>
            </w:pPr>
            <w:r>
              <w:t xml:space="preserve">GREGORY R. MILLER, an individual,</w:t>
            </w:r>
          </w:p>
          <w:p>
            <w:pPr>
              <w:pStyle w:val="Single"/>
              <w:ind w:left="2592"/>
            </w:pPr>
            <w:r>
              <w:t xml:space="preserve">Plaintiff,</w:t>
            </w:r>
          </w:p>
          <w:p>
            <w:pPr>
              <w:pStyle w:val="Centered"/>
              <w:spacing w:before="260" w:after="260"/>
            </w:pPr>
            <w:r>
              <w:t xml:space="preserve">v.</w:t>
            </w:r>
          </w:p>
          <w:p>
            <w:pPr>
              <w:pStyle w:val="Single"/>
            </w:pPr>
            <w:r>
              <w:t xml:space="preserve">HON. CHARLES A. STORMONT, in his personal capacity; JACK ELBAUM (a.k.a. YAKI ELBAUM AND JACK INBAR-PRATER); EVAN S. STRASSBERG; NPEC, LLC; and GLYDE SOLAR LLC,</w:t>
            </w:r>
          </w:p>
          <w:p>
            <w:pPr>
              <w:pStyle w:val="Single"/>
              <w:ind w:left="2592"/>
            </w:pPr>
            <w:r>
              <w:t xml:space="preserve">Defendants.</w:t>
            </w:r>
          </w:p>
        </w:tc>
        <w:tc>
          <w:tcPr>
            <w:tcW w:w="3900" w:type="dxa"/>
            <w:tcMar>
              <w:left w:w="312" w:type="dxa"/>
              <w:top w:w="60" w:type="dxa"/>
            </w:tcMar>
          </w:tcPr>
          <w:p>
            <w:pPr>
              <w:pStyle w:val="Single"/>
            </w:pPr>
            <w:r>
              <w:t xml:space="preserve">Case No. 2:25-cv-00857-DAO</w:t>
            </w:r>
          </w:p>
          <w:p>
            <w:pPr>
              <w:pStyle w:val="Single"/>
              <w:spacing w:before="260"/>
            </w:pPr>
            <w:r>
              <w:rPr>
                <w:b/>
                <w:bCs/>
              </w:rPr>
              <w:t xml:space="preserve">DEFENDANT STORMONT’S MOTION TO DISMISS AND MEMORANDUM IN SUPPORT</w:t>
            </w:r>
          </w:p>
          <w:p>
            <w:pPr>
              <w:pStyle w:val="Single"/>
              <w:spacing w:before="260"/>
            </w:pPr>
            <w:r>
              <w:t xml:space="preserve">Judge Daphne A. Oberg</w:t>
            </w:r>
          </w:p>
        </w:tc>
      </w:tr>
    </w:tbl>
    <w:p>
      <w:pPr>
        <w:pStyle w:val="FirstParagraph"/>
      </w:pPr>
      <w:r>
        <w:t xml:space="preserve">Defendant the Honorable Charles A. Stormont (“Judge Stormont” or “Stormont”), by and through counsel, Justin Anderson, Assistant Utah Attorney General, moves to dismiss Plaintiff Miller’s Complaint pursuant to Federal Rules of Civil Procedure 12(b)(1) and 12(b)(6). The bases of the motion are:</w:t>
      </w:r>
    </w:p>
    <w:p>
      <w:pPr>
        <w:pStyle w:val="Hanging"/>
      </w:pPr>
      <w:r>
        <w:t xml:space="preserve">•</w:t>
      </w:r>
      <w:r>
        <w:tab/>
      </w:r>
      <w:r>
        <w:t xml:space="preserve">Plaintiff’s claims are barred by judicial immunity;</w:t>
      </w:r>
    </w:p>
    <w:p>
      <w:pPr>
        <w:pStyle w:val="Hanging"/>
      </w:pPr>
      <w:r>
        <w:t xml:space="preserve">•</w:t>
      </w:r>
      <w:r>
        <w:tab/>
      </w:r>
      <w:r>
        <w:t xml:space="preserve">Plaintiff’s claims for injunctive relief are barred by the Federal Courts Improvement Act; and</w:t>
      </w:r>
    </w:p>
    <w:p>
      <w:pPr>
        <w:pStyle w:val="Hanging"/>
      </w:pPr>
      <w:r>
        <w:t xml:space="preserve">•</w:t>
      </w:r>
      <w:r>
        <w:tab/>
      </w:r>
      <w:r>
        <w:t xml:space="preserve">Plaintiff’s claims are barred by the Rooker-Feldman doctrine and Younger abstention.</w:t>
      </w:r>
    </w:p>
    <w:p>
      <w:pPr>
        <w:pStyle w:val="Hanging"/>
      </w:pPr>
      <w:r>
        <w:t xml:space="preserve">•</w:t>
      </w:r>
      <w:r>
        <w:tab/>
      </w:r>
      <w:r>
        <w:t xml:space="preserve">Plaintiff’s claim for intentional infliction of emotional distress is barred by the UGIA.</w:t>
      </w:r>
    </w:p>
    <w:p>
      <w:pPr>
        <w:pStyle w:val="BodyText"/>
      </w:pPr>
      <w:r>
        <w:t xml:space="preserve">For these reasons, more fully discussed in the following Memorandum of Law, Judge Stormont requests that the Court dismiss all claims in Plaintiff Miller’s Complaint against him, with prejudice.</w:t>
      </w:r>
    </w:p>
    <w:p>
      <w:r>
        <w:br w:type="page"/>
      </w:r>
    </w:p>
    <w:p>
      <w:pPr>
        <w:pStyle w:val="Centered"/>
      </w:pPr>
      <w:r>
        <w:rPr>
          <w:b/>
          <w:bCs/>
        </w:rPr>
        <w:t>TABLE OF CONTENTS</w:t>
      </w:r>
    </w:p>
    <w:p>
      <w:pPr>
        <w:pStyle w:val="Single"/>
        <w:spacing w:before="260"/>
      </w:pPr>
    </w:p>
    <w:p>
      <w:pPr>
        <w:pStyle w:val="TOCEntry1"/>
      </w:pPr>
      <w:r>
        <w:fldChar w:fldCharType="begin"/>
      </w:r>
      <w:r>
        <w:instrText xml:space="preserve"> TOC \o "1-4" \h </w:instrText>
      </w:r>
      <w:r>
        <w:fldChar w:fldCharType="separate"/>
      </w:r>
      <w:r>
        <w:t xml:space="preserve">MEMORANDUM OF LAW</w:t>
      </w:r>
    </w:p>
    <w:p>
      <w:pPr>
        <w:pStyle w:val="TOCEntry1"/>
      </w:pPr>
      <w:r>
        <w:t xml:space="preserve">FACTUAL BACKGROUND</w:t>
      </w:r>
    </w:p>
    <w:p>
      <w:pPr>
        <w:pStyle w:val="TOCEntry1"/>
      </w:pPr>
      <w:r>
        <w:t xml:space="preserve">LEGAL STANDARD</w:t>
      </w:r>
    </w:p>
    <w:p>
      <w:pPr>
        <w:pStyle w:val="TOCEntry1"/>
      </w:pPr>
      <w:r>
        <w:t xml:space="preserve">LEGAL ARGUMENT</w:t>
      </w:r>
    </w:p>
    <w:p>
      <w:pPr>
        <w:pStyle w:val="TOCEntry2"/>
      </w:pPr>
      <w:r>
        <w:t xml:space="preserve">I.</w:t>
      </w:r>
      <w:r>
        <w:tab/>
      </w:r>
      <w:r>
        <w:t xml:space="preserve">Judicial Immunity Bars Miller’s Claims Against Judge Stormont, including allegations of conspiracy.</w:t>
      </w:r>
    </w:p>
    <w:p>
      <w:pPr>
        <w:pStyle w:val="TOCEntry3"/>
      </w:pPr>
      <w:r>
        <w:t xml:space="preserve">A.</w:t>
      </w:r>
      <w:r>
        <w:tab/>
      </w:r>
      <w:r>
        <w:t xml:space="preserve">Stormont is immune for his judicial acts in the case at issue.</w:t>
      </w:r>
    </w:p>
    <w:p>
      <w:pPr>
        <w:pStyle w:val="TOCEntry3"/>
      </w:pPr>
      <w:r>
        <w:t xml:space="preserve">B.</w:t>
      </w:r>
      <w:r>
        <w:tab/>
      </w:r>
      <w:r>
        <w:t xml:space="preserve">No exception to judicial immunity applies and Stormont retains immunity.</w:t>
      </w:r>
    </w:p>
    <w:p>
      <w:pPr>
        <w:pStyle w:val="TOCEntry2"/>
      </w:pPr>
      <w:r>
        <w:t xml:space="preserve">II.</w:t>
      </w:r>
      <w:r>
        <w:tab/>
      </w:r>
      <w:r>
        <w:t xml:space="preserve">Any Remaining Claims for Relief Are Barred.</w:t>
      </w:r>
    </w:p>
    <w:p>
      <w:pPr>
        <w:pStyle w:val="TOCEntry3"/>
      </w:pPr>
      <w:r>
        <w:t xml:space="preserve">A.</w:t>
      </w:r>
      <w:r>
        <w:tab/>
      </w:r>
      <w:r>
        <w:t xml:space="preserve">Miller’s Request for Injunctive Relief Is Barred by § 1983 Itself.</w:t>
      </w:r>
    </w:p>
    <w:p>
      <w:pPr>
        <w:pStyle w:val="TOCEntry3"/>
      </w:pPr>
      <w:r>
        <w:t xml:space="preserve">B.</w:t>
      </w:r>
      <w:r>
        <w:tab/>
      </w:r>
      <w:r>
        <w:t xml:space="preserve">Miller’s Request for Declaratory Relief Is Barred.</w:t>
      </w:r>
    </w:p>
    <w:p>
      <w:pPr>
        <w:pStyle w:val="TOCEntry2"/>
      </w:pPr>
      <w:r>
        <w:t xml:space="preserve">III.</w:t>
      </w:r>
      <w:r>
        <w:tab/>
      </w:r>
      <w:r>
        <w:t xml:space="preserve">Miller’s state law tort should also be dismissed.</w:t>
      </w:r>
    </w:p>
    <w:p>
      <w:pPr>
        <w:pStyle w:val="TOCEntry3"/>
      </w:pPr>
      <w:r>
        <w:t xml:space="preserve">A.</w:t>
      </w:r>
      <w:r>
        <w:tab/>
      </w:r>
      <w:r>
        <w:t xml:space="preserve">Plaintiff did not file a notice of claim</w:t>
      </w:r>
    </w:p>
    <w:p>
      <w:pPr>
        <w:pStyle w:val="TOCEntry1"/>
      </w:pPr>
      <w:r>
        <w:t xml:space="preserve">CONCLUSION</w:t>
      </w:r>
      <w:r>
        <w:fldChar w:fldCharType="end"/>
      </w:r>
    </w:p>
    <w:p>
      <w:r>
        <w:br w:type="page"/>
      </w:r>
    </w:p>
    <w:p>
      <w:pPr>
        <w:pStyle w:val="Centered"/>
      </w:pPr>
      <w:r>
        <w:rPr>
          <w:b/>
          <w:bCs/>
        </w:rPr>
        <w:t>TABLE OF AUTHORITIES</w:t>
      </w:r>
    </w:p>
    <w:p>
      <w:pPr>
        <w:pStyle w:val="Single"/>
        <w:spacing w:before="260"/>
      </w:pPr>
    </w:p>
    <w:p>
      <w:pPr>
        <w:pStyle w:val="TOAGroup"/>
      </w:pPr>
      <w:r>
        <w:t>Cases</w:t>
      </w:r>
    </w:p>
    <w:p>
      <w:pPr>
        <w:pStyle w:val="TOAEntry"/>
      </w:pPr>
      <w:r>
        <w:rPr>
          <w:i/>
          <w:iCs/>
        </w:rPr>
        <w:t xml:space="preserve">Bailey v. Utah State Bar</w:t>
      </w:r>
      <w:r>
        <w:t xml:space="preserve">, </w:t>
      </w:r>
      <w:r>
        <w:t xml:space="preserve">846 P.2d 1278 (Utah 1993)</w:t>
      </w:r>
    </w:p>
    <w:p>
      <w:pPr>
        <w:pStyle w:val="TOAEntry"/>
      </w:pPr>
      <w:r>
        <w:rPr>
          <w:i/>
          <w:iCs/>
        </w:rPr>
        <w:t xml:space="preserve">Bradley v. Fisher</w:t>
      </w:r>
      <w:r>
        <w:t xml:space="preserve">, </w:t>
      </w:r>
      <w:r>
        <w:t xml:space="preserve">80 U.S. (13 Wall.) 335 (1871)</w:t>
      </w:r>
    </w:p>
    <w:p>
      <w:pPr>
        <w:pStyle w:val="TOAEntry"/>
      </w:pPr>
      <w:r>
        <w:rPr>
          <w:i/>
          <w:iCs/>
        </w:rPr>
        <w:t xml:space="preserve">Cunningham v. Weber County</w:t>
      </w:r>
      <w:r>
        <w:t xml:space="preserve">, </w:t>
      </w:r>
      <w:r>
        <w:t xml:space="preserve">506 P.3d 575 (Utah 2022)</w:t>
      </w:r>
    </w:p>
    <w:p>
      <w:pPr>
        <w:pStyle w:val="TOAEntry"/>
      </w:pPr>
      <w:r>
        <w:rPr>
          <w:i/>
          <w:iCs/>
        </w:rPr>
        <w:t xml:space="preserve">Forrester v. White</w:t>
      </w:r>
      <w:r>
        <w:t xml:space="preserve">, </w:t>
      </w:r>
      <w:r>
        <w:t xml:space="preserve">484 U.S. 219 (1988)</w:t>
      </w:r>
    </w:p>
    <w:p>
      <w:pPr>
        <w:pStyle w:val="TOAEntry"/>
      </w:pPr>
      <w:r>
        <w:rPr>
          <w:i/>
          <w:iCs/>
        </w:rPr>
        <w:t xml:space="preserve">Hall v. Witteman</w:t>
      </w:r>
      <w:r>
        <w:t xml:space="preserve">, </w:t>
      </w:r>
      <w:r>
        <w:t xml:space="preserve">584 F.3d 859 (10th Cir. 2009)</w:t>
      </w:r>
    </w:p>
    <w:p>
      <w:pPr>
        <w:pStyle w:val="TOAEntry"/>
      </w:pPr>
      <w:r>
        <w:rPr>
          <w:i/>
          <w:iCs/>
        </w:rPr>
        <w:t xml:space="preserve">Leverington v. City of Colo. Springs</w:t>
      </w:r>
      <w:r>
        <w:t xml:space="preserve">, </w:t>
      </w:r>
      <w:r>
        <w:t xml:space="preserve">643 F.3d 719 (10th Cir. 2011)</w:t>
      </w:r>
    </w:p>
    <w:p>
      <w:pPr>
        <w:pStyle w:val="TOAEntry"/>
      </w:pPr>
      <w:r>
        <w:rPr>
          <w:i/>
          <w:iCs/>
        </w:rPr>
        <w:t xml:space="preserve">Mann v. Boatright</w:t>
      </w:r>
      <w:r>
        <w:t xml:space="preserve">, </w:t>
      </w:r>
      <w:r>
        <w:t xml:space="preserve">477 F.3d 1140 (10th Cir. 2007)</w:t>
      </w:r>
    </w:p>
    <w:p>
      <w:pPr>
        <w:pStyle w:val="TOAEntry"/>
      </w:pPr>
      <w:r>
        <w:rPr>
          <w:i/>
          <w:iCs/>
        </w:rPr>
        <w:t xml:space="preserve">Mireles v. Waco</w:t>
      </w:r>
      <w:r>
        <w:t xml:space="preserve">, </w:t>
      </w:r>
      <w:r>
        <w:t xml:space="preserve">502 U.S. 9 (1991)</w:t>
      </w:r>
    </w:p>
    <w:p>
      <w:pPr>
        <w:pStyle w:val="TOAEntry"/>
      </w:pPr>
      <w:r>
        <w:rPr>
          <w:i/>
          <w:iCs/>
        </w:rPr>
        <w:t xml:space="preserve">Muscogee (Creek) Nation v. Okla. Tax Comm’n</w:t>
      </w:r>
      <w:r>
        <w:t xml:space="preserve">, </w:t>
      </w:r>
      <w:r>
        <w:t xml:space="preserve">611 F.3d 1222 (10th Cir. 2010)</w:t>
      </w:r>
    </w:p>
    <w:p>
      <w:pPr>
        <w:pStyle w:val="TOAEntry"/>
      </w:pPr>
      <w:r>
        <w:rPr>
          <w:i/>
          <w:iCs/>
        </w:rPr>
        <w:t xml:space="preserve">Rienhardt v. Kelly</w:t>
      </w:r>
      <w:r>
        <w:t xml:space="preserve">, </w:t>
      </w:r>
      <w:r>
        <w:t xml:space="preserve">164 F.3d 1296 (10th Cir. 1999)</w:t>
      </w:r>
    </w:p>
    <w:p>
      <w:pPr>
        <w:pStyle w:val="TOAEntry"/>
      </w:pPr>
      <w:r>
        <w:rPr>
          <w:i/>
          <w:iCs/>
        </w:rPr>
        <w:t xml:space="preserve">Snell v. Tunnell</w:t>
      </w:r>
      <w:r>
        <w:t xml:space="preserve">, </w:t>
      </w:r>
      <w:r>
        <w:t xml:space="preserve">920 F.2d 673 (10th Cir. 1990)</w:t>
      </w:r>
    </w:p>
    <w:p>
      <w:pPr>
        <w:pStyle w:val="TOAEntry"/>
      </w:pPr>
      <w:r>
        <w:rPr>
          <w:i/>
          <w:iCs/>
        </w:rPr>
        <w:t xml:space="preserve">Stein v. Disciplinary Bd. of Supreme Court of N.M.</w:t>
      </w:r>
      <w:r>
        <w:t xml:space="preserve">, </w:t>
      </w:r>
      <w:r>
        <w:t xml:space="preserve">520 F.3d 1183 (10th Cir. 2008)</w:t>
      </w:r>
    </w:p>
    <w:p>
      <w:pPr>
        <w:pStyle w:val="TOAGroup"/>
      </w:pPr>
      <w:r>
        <w:t>Statutes</w:t>
      </w:r>
    </w:p>
    <w:p>
      <w:pPr>
        <w:pStyle w:val="TOAEntry"/>
      </w:pPr>
      <w:r>
        <w:t xml:space="preserve">42 U.S.C. § 1983</w:t>
      </w:r>
    </w:p>
    <w:p>
      <w:pPr>
        <w:pStyle w:val="TOAEntry"/>
      </w:pPr>
      <w:r>
        <w:t xml:space="preserve">Utah Code Ann. § 63G-7-101</w:t>
      </w:r>
    </w:p>
    <w:p>
      <w:pPr>
        <w:pStyle w:val="TOAEntry"/>
      </w:pPr>
      <w:r>
        <w:t xml:space="preserve">Utah Code Ann. § 63G-7-401</w:t>
      </w:r>
    </w:p>
    <w:p>
      <w:pPr>
        <w:pStyle w:val="TOAGroup"/>
      </w:pPr>
      <w:r>
        <w:t>Rules</w:t>
      </w:r>
    </w:p>
    <w:p>
      <w:pPr>
        <w:pStyle w:val="TOAEntry"/>
      </w:pPr>
      <w:r>
        <w:t xml:space="preserve">Fed. R. Civ. P. 12(b)(1)</w:t>
      </w:r>
    </w:p>
    <w:p>
      <w:pPr>
        <w:pStyle w:val="TOAEntry"/>
      </w:pPr>
      <w:r>
        <w:t xml:space="preserve">Fed. R. Civ. P. 12(b)(6)</w:t>
      </w:r>
    </w:p>
    <w:p>
      <w:pPr>
        <w:pStyle w:val="TOAGroup"/>
      </w:pPr>
      <w:r>
        <w:t>Other Authorities</w:t>
      </w:r>
    </w:p>
    <w:p>
      <w:pPr>
        <w:pStyle w:val="TOAEntry"/>
      </w:pPr>
      <w:r>
        <w:t xml:space="preserve">Utah Const. art. VIII, § 5</w:t>
      </w:r>
    </w:p>
    <w:p>
      <w:r>
        <w:br w:type="page"/>
      </w:r>
    </w:p>
    <w:p>
      <w:pPr>
        <w:pStyle w:val="Heading1"/>
      </w:pPr>
      <w:bookmarkStart w:id="9" w:name="_cd83b0b34d4652a15b688c42fabcc913e2f2c3d"/>
      <w:r>
        <w:t xml:space="preserve">MEMORANDUM OF LAW</w:t>
      </w:r>
      <w:bookmarkEnd w:id="9"/>
    </w:p>
    <w:p>
      <w:pPr>
        <w:pStyle w:val="FirstParagraph"/>
      </w:pPr>
      <w:r>
        <w:t xml:space="preserve">Plaintiff Miller was sued by his once employer, NPEC LLC (“NPEC”), in state court. Miller and NPEC subsequently entered into a settlement whereby Miller would refrain from any communication about NPEC or its CEO, Jack Elbaum. This agreement was memorialized in a permanent injunction enforceable through May 31, 2024. The Honorable Charles A. Stormont, District Judge of the Utah Third District Court, extended the permanent injunction until May 31, 2025.</w:t>
      </w:r>
    </w:p>
    <w:p>
      <w:pPr>
        <w:pStyle w:val="BodyText"/>
      </w:pPr>
      <w:r>
        <w:t xml:space="preserve">Miller has now sued Judge Stormont, alleging that the judge’s rulings and actions impaired his contractual rights, deprived him of his First Amendment right to free speech, deprived him of his right to counsel in contempt proceedings, interfered with Miller’s civil rights through “conspiracy,” failed to prevent a conspiracy to interfere with civil rights, and intentionally inflicted emotional distress.</w:t>
      </w:r>
    </w:p>
    <w:p>
      <w:pPr>
        <w:pStyle w:val="BodyText"/>
      </w:pPr>
      <w:r>
        <w:t xml:space="preserve">Miller’s Complaint must be dismissed against Judge Stormont. Judicial immunity bars any claims for monetary damages against the judge for the decisions he made in his case. And Miller’s other claims for declaratory or injunctive relief are barred by the Rooker-Feldman doctrine, the Younger abstention doctrine, and the Federal Courts Improvement Act. Miller’s claims to intentional infliction of emotional distress also must be dismissed because Miller failed to comply with the Utah Governmental Immunity Act.</w:t>
      </w:r>
    </w:p>
    <w:p>
      <w:pPr>
        <w:pStyle w:val="BodyText"/>
      </w:pPr>
      <w:r>
        <w:t xml:space="preserve">The case should be dismissed with prejudice because Miller cannot state a plausible claim for relief against Judge Stormont.</w:t>
      </w:r>
      <w:r>
        <w:rPr>
          <w:rStyle w:val="FootnoteReference"/>
        </w:rPr>
        <w:footnoteReference w:id="10"/>
      </w:r>
    </w:p>
    <w:p>
      <w:pPr>
        <w:pStyle w:val="Heading1"/>
      </w:pPr>
      <w:bookmarkStart w:id="11" w:name="_b8e5b8837ccf89115edfee2c48cc11b996d00ec"/>
      <w:r>
        <w:t xml:space="preserve">FACTUAL BACKGROUND</w:t>
      </w:r>
      <w:bookmarkEnd w:id="11"/>
    </w:p>
    <w:p>
      <w:pPr>
        <w:pStyle w:val="FirstParagraph"/>
      </w:pPr>
      <w:r>
        <w:t xml:space="preserve">The following facts taken from Plaintiffs’ Complaint are treated as true for the purposes of this motion only:</w:t>
      </w:r>
    </w:p>
    <w:p>
      <w:pPr>
        <w:pStyle w:val="Hanging"/>
      </w:pPr>
      <w:r>
        <w:t xml:space="preserve">1.</w:t>
      </w:r>
      <w:r>
        <w:tab/>
      </w:r>
      <w:r>
        <w:t xml:space="preserve">Plaintiff Miller is the defendant in the pending Utah state case NPEC LLC v. Miller. Compl. ¶ 1.</w:t>
      </w:r>
    </w:p>
    <w:p>
      <w:pPr>
        <w:pStyle w:val="Hanging"/>
      </w:pPr>
      <w:r>
        <w:t xml:space="preserve">2.</w:t>
      </w:r>
      <w:r>
        <w:tab/>
      </w:r>
      <w:r>
        <w:t xml:space="preserve">Judge Stormont has presided over the NPEC v. Miller case since May 16, 2024. Compl. ¶¶ 2, 51.</w:t>
      </w:r>
    </w:p>
    <w:p>
      <w:pPr>
        <w:pStyle w:val="Hanging"/>
      </w:pPr>
      <w:r>
        <w:t xml:space="preserve">3.</w:t>
      </w:r>
      <w:r>
        <w:tab/>
      </w:r>
      <w:r>
        <w:t xml:space="preserve">NPEC v. Miller began in 2013. Compl. ¶ 37.</w:t>
      </w:r>
    </w:p>
    <w:p>
      <w:pPr>
        <w:pStyle w:val="Hanging"/>
      </w:pPr>
      <w:r>
        <w:t xml:space="preserve">4.</w:t>
      </w:r>
      <w:r>
        <w:tab/>
      </w:r>
      <w:r>
        <w:t xml:space="preserve">In 2014 Miller and NPEC entered into a settlement agreement whereby Miller must refrain from any communication about NPEC and its CEO, Jack Elbaum. Compl. ¶¶ 3, 38–39.</w:t>
      </w:r>
    </w:p>
    <w:p>
      <w:pPr>
        <w:pStyle w:val="Hanging"/>
      </w:pPr>
      <w:r>
        <w:t xml:space="preserve">5.</w:t>
      </w:r>
      <w:r>
        <w:tab/>
      </w:r>
      <w:r>
        <w:t xml:space="preserve">Pursuant to that agreement, a permanent injunction was entered against Miller whereby Miller was enjoined from making statements about NPEC or Elbaum until May 31, 2024. Compl. ¶ 42.</w:t>
      </w:r>
    </w:p>
    <w:p>
      <w:pPr>
        <w:pStyle w:val="Hanging"/>
      </w:pPr>
      <w:r>
        <w:t xml:space="preserve">6.</w:t>
      </w:r>
      <w:r>
        <w:tab/>
      </w:r>
      <w:r>
        <w:t xml:space="preserve">On August 5, 2024, Stormont ordered the permanent injunction extended through May 31, 2025. Compl. ¶ 58.</w:t>
      </w:r>
    </w:p>
    <w:p>
      <w:pPr>
        <w:pStyle w:val="Hanging"/>
      </w:pPr>
      <w:r>
        <w:t xml:space="preserve">7.</w:t>
      </w:r>
      <w:r>
        <w:tab/>
      </w:r>
      <w:r>
        <w:t xml:space="preserve">Stormont has issued three contempt orders against Miller since the extension of the permanent injunction. Compl. ¶ 60.</w:t>
      </w:r>
    </w:p>
    <w:p>
      <w:pPr>
        <w:pStyle w:val="Hanging"/>
      </w:pPr>
      <w:r>
        <w:t xml:space="preserve">8.</w:t>
      </w:r>
      <w:r>
        <w:tab/>
      </w:r>
      <w:r>
        <w:t xml:space="preserve">Pursuant to the contempt orders and subsequent violations, Stormont has ordered Miller to be arrested and jailed for 90 days. Compl. ¶ 61.</w:t>
      </w:r>
    </w:p>
    <w:p>
      <w:pPr>
        <w:pStyle w:val="Hanging"/>
      </w:pPr>
      <w:r>
        <w:t xml:space="preserve">9.</w:t>
      </w:r>
      <w:r>
        <w:tab/>
      </w:r>
      <w:r>
        <w:t xml:space="preserve">Stormont ordered Miller to pay NPEC’s attorney fees for the contempt hearings. Compl. ¶ 62.</w:t>
      </w:r>
    </w:p>
    <w:p>
      <w:pPr>
        <w:pStyle w:val="Hanging"/>
      </w:pPr>
      <w:r>
        <w:t xml:space="preserve">10.</w:t>
      </w:r>
      <w:r>
        <w:tab/>
      </w:r>
      <w:r>
        <w:t xml:space="preserve">Miller was not appointed counsel for his contempt hearings. Compl. ¶ 137.</w:t>
      </w:r>
    </w:p>
    <w:p>
      <w:pPr>
        <w:pStyle w:val="Hanging"/>
      </w:pPr>
      <w:r>
        <w:t xml:space="preserve">11.</w:t>
      </w:r>
      <w:r>
        <w:tab/>
      </w:r>
      <w:r>
        <w:t xml:space="preserve">Stormont imposed a $100 daily fine, then a $200 daily fine, until Miller came into compliance with the injunction extension. Compl. ¶¶ 63, 66.</w:t>
      </w:r>
    </w:p>
    <w:p>
      <w:pPr>
        <w:pStyle w:val="Hanging"/>
      </w:pPr>
      <w:r>
        <w:t xml:space="preserve">12.</w:t>
      </w:r>
      <w:r>
        <w:tab/>
      </w:r>
      <w:r>
        <w:t xml:space="preserve">On July 31, 2025, Stormont again ordered the extension of the permanent injunction. Compl. ¶ 67.</w:t>
      </w:r>
    </w:p>
    <w:p>
      <w:pPr>
        <w:pStyle w:val="Hanging"/>
      </w:pPr>
      <w:r>
        <w:t xml:space="preserve">13.</w:t>
      </w:r>
      <w:r>
        <w:tab/>
      </w:r>
      <w:r>
        <w:t xml:space="preserve">Stormont and Elbaum are Jews. Compl. ¶ 22.</w:t>
      </w:r>
    </w:p>
    <w:p>
      <w:pPr>
        <w:pStyle w:val="Hanging"/>
      </w:pPr>
      <w:r>
        <w:t xml:space="preserve">14.</w:t>
      </w:r>
      <w:r>
        <w:tab/>
      </w:r>
      <w:r>
        <w:t xml:space="preserve">Miller contends that Stormont and other defendants “conspired to intimidate, harass, and emotionally distress Miller with an arrest warrant, jail sentences, judgements of attorney fees, and daily fines.” Compl. ¶¶ 19, 21.</w:t>
      </w:r>
    </w:p>
    <w:p>
      <w:pPr>
        <w:pStyle w:val="Heading1"/>
      </w:pPr>
      <w:bookmarkStart w:id="12" w:name="_f71bb8ee81b7f5e1fea0089ad4ffa65b0be4956"/>
      <w:r>
        <w:t xml:space="preserve">LEGAL STANDARD</w:t>
      </w:r>
      <w:bookmarkEnd w:id="12"/>
    </w:p>
    <w:p>
      <w:pPr>
        <w:pStyle w:val="FirstParagraph"/>
      </w:pPr>
      <w:r>
        <w:t xml:space="preserve">Defendant Stormont moves to dismiss Plaintiff’s Complaint pursuant to Federal Rule of Civil Procedure 12(b)(1) and Federal Rule of Civil Procedure 12(b)(6). Federal Rule of Civil Procedure 12(b)(1) permits dismissal of cases for “lack of subject-matter jurisdiction.” When a motion made pursuant to this rule is a “facial” attack on the claims as pleaded, as it is in this case, the motion is reviewed applying the same standards as one made pursuant to Rule 12(b)(6).</w:t>
      </w:r>
      <w:r>
        <w:t xml:space="preserve"> </w:t>
      </w:r>
      <w:r>
        <w:rPr>
          <w:i/>
          <w:iCs/>
        </w:rPr>
        <w:t xml:space="preserve">Muscogee (Creek) Nation v. Okla. Tax Comm’n</w:t>
      </w:r>
      <w:r>
        <w:t xml:space="preserve">, 611 F.3d 1222, 1227 n.1 (10th Cir. 2010).</w:t>
      </w:r>
    </w:p>
    <w:p>
      <w:pPr>
        <w:pStyle w:val="BodyText"/>
      </w:pPr>
      <w:r>
        <w:t xml:space="preserve">In reviewing a 12(b)(6) motion to dismiss, the court assumes the truth of well-pleaded facts and draws reasonable inference in a light most favorable to the plaintiff.</w:t>
      </w:r>
      <w:r>
        <w:t xml:space="preserve"> </w:t>
      </w:r>
      <w:r>
        <w:rPr>
          <w:i/>
          <w:iCs/>
        </w:rPr>
        <w:t xml:space="preserve">E.g.</w:t>
      </w:r>
      <w:r>
        <w:t xml:space="preserve">,</w:t>
      </w:r>
      <w:r>
        <w:t xml:space="preserve"> </w:t>
      </w:r>
      <w:r>
        <w:rPr>
          <w:i/>
          <w:iCs/>
        </w:rPr>
        <w:t xml:space="preserve">Leverington v. City of Colo. Springs</w:t>
      </w:r>
      <w:r>
        <w:t xml:space="preserve">, 643 F.3d 719, 723 (10th Cir. 2011). But a claim survives only if “there is plausibility in the complaint.”</w:t>
      </w:r>
      <w:r>
        <w:t xml:space="preserve"> </w:t>
      </w:r>
      <w:r>
        <w:rPr>
          <w:i/>
          <w:iCs/>
        </w:rPr>
        <w:t xml:space="preserve">Hall v. Witteman</w:t>
      </w:r>
      <w:r>
        <w:t xml:space="preserve">, 584 F.3d 859, 863 (10th Cir. 2009) (citations and quotations omitted).</w:t>
      </w:r>
    </w:p>
    <w:p>
      <w:pPr>
        <w:pStyle w:val="Heading1"/>
      </w:pPr>
      <w:bookmarkStart w:id="13" w:name="_48976e828c9f67615bd5c8bf34b0e100b8cce61"/>
      <w:r>
        <w:t xml:space="preserve">LEGAL ARGUMENT</w:t>
      </w:r>
      <w:bookmarkEnd w:id="13"/>
    </w:p>
    <w:p>
      <w:pPr>
        <w:pStyle w:val="FirstParagraph"/>
      </w:pPr>
      <w:r>
        <w:t xml:space="preserve">Miller brings to federal court his complaints about judicial decisions made by a state court judge in a state court case. He seeks monetary damages and a declaratory judgment. But the damages claims against Judge Stormont are barred by judicial immunity. And any other relief prayed for by Miller is barred by the Rooker-Feldman doctrine, the Younger abstention doctrine, or the Federal Courts Improvement Act. Miller’s claims for intentional infliction of emotional distress are barred by the Utah Government Immunity Act. The case should be dismissed.</w:t>
      </w:r>
    </w:p>
    <w:p>
      <w:pPr>
        <w:pStyle w:val="Heading2"/>
      </w:pPr>
      <w:bookmarkStart w:id="14" w:name="_0b1d1b669bdadea1ee3d9ac1112cd2cbb21a37e"/>
      <w:r>
        <w:t xml:space="preserve">I.</w:t>
      </w:r>
      <w:r>
        <w:tab/>
      </w:r>
      <w:r>
        <w:t xml:space="preserve">Judicial Immunity Bars Miller’s Claims Against Judge Stormont, including allegations of conspiracy.</w:t>
      </w:r>
      <w:bookmarkEnd w:id="14"/>
    </w:p>
    <w:p>
      <w:pPr>
        <w:pStyle w:val="Heading3"/>
      </w:pPr>
      <w:bookmarkStart w:id="15" w:name="_4d2b419be701560b94a8a888b3c7b3c11acc23c"/>
      <w:r>
        <w:t xml:space="preserve">A.</w:t>
      </w:r>
      <w:r>
        <w:tab/>
      </w:r>
      <w:r>
        <w:t xml:space="preserve">Stormont is immune for his judicial acts in the case at issue.</w:t>
      </w:r>
      <w:bookmarkEnd w:id="15"/>
    </w:p>
    <w:p>
      <w:pPr>
        <w:pStyle w:val="FirstParagraph"/>
      </w:pPr>
      <w:r>
        <w:t xml:space="preserve">It is well-settled that judges are shielded with absolute immunity from suits for money damages based on their judicial action, including suits pursuant to 42 U.S.C. § 1983, and for suits based on state law.</w:t>
      </w:r>
      <w:r>
        <w:t xml:space="preserve"> </w:t>
      </w:r>
      <w:r>
        <w:rPr>
          <w:i/>
          <w:iCs/>
        </w:rPr>
        <w:t xml:space="preserve">Mireles v. Waco</w:t>
      </w:r>
      <w:r>
        <w:t xml:space="preserve">, 502 U.S. 9, 9–10 (1991);</w:t>
      </w:r>
      <w:r>
        <w:t xml:space="preserve"> </w:t>
      </w:r>
      <w:r>
        <w:rPr>
          <w:i/>
          <w:iCs/>
        </w:rPr>
        <w:t xml:space="preserve">Forrester v. White</w:t>
      </w:r>
      <w:r>
        <w:t xml:space="preserve">, 484 U.S. 219, 225–26 (1988);</w:t>
      </w:r>
      <w:r>
        <w:t xml:space="preserve"> </w:t>
      </w:r>
      <w:r>
        <w:rPr>
          <w:i/>
          <w:iCs/>
        </w:rPr>
        <w:t xml:space="preserve">Stein v. Disciplinary Bd. of Supreme Court of NM</w:t>
      </w:r>
      <w:r>
        <w:t xml:space="preserve">, 520 F.3d 1183, 1189–90 (10th Cir. 2008) (citing</w:t>
      </w:r>
      <w:r>
        <w:t xml:space="preserve"> </w:t>
      </w:r>
      <w:r>
        <w:rPr>
          <w:i/>
          <w:iCs/>
        </w:rPr>
        <w:t xml:space="preserve">Snell v. Tunnell</w:t>
      </w:r>
      <w:r>
        <w:t xml:space="preserve">, 920 F.2d 673, 686 (10th Cir. 1990));</w:t>
      </w:r>
      <w:r>
        <w:t xml:space="preserve"> </w:t>
      </w:r>
      <w:r>
        <w:rPr>
          <w:i/>
          <w:iCs/>
        </w:rPr>
        <w:t xml:space="preserve">Bailey v. Utah State Bar</w:t>
      </w:r>
      <w:r>
        <w:t xml:space="preserve">, 846 P.2d 1278, 1280 (Utah 1993) (recognizing judicial immunity barring state law causes of action).</w:t>
      </w:r>
    </w:p>
    <w:p>
      <w:pPr>
        <w:pStyle w:val="BodyText"/>
      </w:pPr>
      <w:r>
        <w:t xml:space="preserve">The doctrine of judicial immunity ensures “that a judicial officer, in exercising the authority vested in him, shall be free to act upon his own convictions, without apprehension of personal consequences to himself.”</w:t>
      </w:r>
      <w:r>
        <w:t xml:space="preserve"> </w:t>
      </w:r>
      <w:r>
        <w:rPr>
          <w:i/>
          <w:iCs/>
        </w:rPr>
        <w:t xml:space="preserve">Bradley v. Fisher</w:t>
      </w:r>
      <w:r>
        <w:t xml:space="preserve">, 80 U.S. (13 Wall.) 335, 347 (1871). The rationale for this defense is to incorporate traditional common law immunities and to allow functionaries in the judicial system the latitude to perform their tasks absent the threat of retaliatory civil litigation.</w:t>
      </w:r>
      <w:r>
        <w:t xml:space="preserve"> </w:t>
      </w:r>
      <w:r>
        <w:rPr>
          <w:i/>
          <w:iCs/>
        </w:rPr>
        <w:t xml:space="preserve">Id.</w:t>
      </w:r>
    </w:p>
    <w:p>
      <w:pPr>
        <w:pStyle w:val="BodyText"/>
      </w:pPr>
      <w:r>
        <w:t xml:space="preserve">Miller’s claims for money damages against Judge Stormont all relate to decisions he made in the course of presiding over Miller’s state court case. He alleges that Judge Stormont wrongfully extended the preliminary injunction against Miller. And he further alleges that Stormont did not appoint Miller counsel for his contempt hearings. In fact, Miller makes no allegations against Judge Stormont except that he believes his decisions were wrong. Because each of Stormont’s acts were an exercise of judicial authority, Judicial immunity clearly applies to these claims.</w:t>
      </w:r>
    </w:p>
    <w:p>
      <w:pPr>
        <w:pStyle w:val="Heading3"/>
      </w:pPr>
      <w:bookmarkStart w:id="16" w:name="_1645c0bce0fc2b0ee20389f030c90ad3385e233"/>
      <w:r>
        <w:t xml:space="preserve">B.</w:t>
      </w:r>
      <w:r>
        <w:tab/>
      </w:r>
      <w:r>
        <w:t xml:space="preserve">No exception to judicial immunity applies and Stormont retains immunity.</w:t>
      </w:r>
      <w:bookmarkEnd w:id="16"/>
    </w:p>
    <w:p>
      <w:pPr>
        <w:pStyle w:val="FirstParagraph"/>
      </w:pPr>
      <w:r>
        <w:t xml:space="preserve">There are only two exceptions to absolute judicial immunity: (1) when the judge’s actions are taken outside his role as a judge, i.e., entirely non-judicial conduct, or (2) when the judge’s actions are taken in the complete absence of jurisdiction.</w:t>
      </w:r>
      <w:r>
        <w:t xml:space="preserve"> </w:t>
      </w:r>
      <w:r>
        <w:rPr>
          <w:i/>
          <w:iCs/>
        </w:rPr>
        <w:t xml:space="preserve">Mireles</w:t>
      </w:r>
      <w:r>
        <w:t xml:space="preserve">, 502 U.S. at 11–13;</w:t>
      </w:r>
      <w:r>
        <w:t xml:space="preserve"> </w:t>
      </w:r>
      <w:r>
        <w:rPr>
          <w:i/>
          <w:iCs/>
        </w:rPr>
        <w:t xml:space="preserve">see also</w:t>
      </w:r>
      <w:r>
        <w:t xml:space="preserve"> </w:t>
      </w:r>
      <w:r>
        <w:rPr>
          <w:i/>
          <w:iCs/>
        </w:rPr>
        <w:t xml:space="preserve">Stein</w:t>
      </w:r>
      <w:r>
        <w:t xml:space="preserve">, 520 F.3d at 1195 (an act taken in excess of a court’s jurisdiction is not to be confused with an act taken in the complete absence of all jurisdiction.). Miller alleges that all subject matter jurisdiction over NPEC v. Miller ended upon the expiration of the permanent injunction on May 31, 2024, and that Stormont did not have jurisdiction to order an extension.</w:t>
      </w:r>
    </w:p>
    <w:p>
      <w:pPr>
        <w:pStyle w:val="BodyText"/>
      </w:pPr>
      <w:r>
        <w:t xml:space="preserve">All the claims made against Judge Stormont relate to his judicial acts, and neither exception to immunity applies. Particularly, Judge Stormont had jurisdiction to rule as he did. Pursuant to the Utah Constitution, Stormont, as a district court judge, has original jurisdiction for matters such as this. Utah Const. art. VIII, § 5. Further, the disputes at issue in NPEC v. Miller are ongoing, and thus, it cannot be said that Stormont lost subject matter jurisdiction, as contended by Miller. Additionally, Stormont’s order was made in response to NPEC’s motion for extension of the permanent injunction that was made before the injunction was set to end. Making an order on a motion is a “function normally performed by a judge” and made within Stormont’s “judicial capacity.” Thus, Stormont did not lack jurisdiction to rule on the extension of the preliminary injunction.</w:t>
      </w:r>
    </w:p>
    <w:p>
      <w:pPr>
        <w:pStyle w:val="Heading2"/>
      </w:pPr>
      <w:bookmarkStart w:id="17" w:name="_62b2cfc38aacd92095e8698046047cb75e4fa39"/>
      <w:r>
        <w:t xml:space="preserve">II.</w:t>
      </w:r>
      <w:r>
        <w:tab/>
      </w:r>
      <w:r>
        <w:t xml:space="preserve">Any Remaining Claims for Relief Are Barred.</w:t>
      </w:r>
      <w:bookmarkEnd w:id="17"/>
    </w:p>
    <w:p>
      <w:pPr>
        <w:pStyle w:val="FirstParagraph"/>
      </w:pPr>
      <w:r>
        <w:t xml:space="preserve">Judicial immunity clearly bars Miller’s claim for damages. To the extent that Miller’s Complaint may be read as requesting additional forms of injunctive or declaratory relief, (</w:t>
      </w:r>
      <w:r>
        <w:rPr>
          <w:i/>
          <w:iCs/>
        </w:rPr>
        <w:t xml:space="preserve">cf.</w:t>
      </w:r>
      <w:r>
        <w:t xml:space="preserve"> </w:t>
      </w:r>
      <w:r>
        <w:t xml:space="preserve">Compl., Prayer for Relief A–D), those claims are also barred.</w:t>
      </w:r>
    </w:p>
    <w:p>
      <w:pPr>
        <w:pStyle w:val="Heading3"/>
      </w:pPr>
      <w:bookmarkStart w:id="18" w:name="_b218466ec10a90be1ecb16e5db48e87e7404be0"/>
      <w:r>
        <w:t xml:space="preserve">A.</w:t>
      </w:r>
      <w:r>
        <w:tab/>
      </w:r>
      <w:r>
        <w:t xml:space="preserve">Miller’s Request for Injunctive Relief Is Barred by § 1983 Itself.</w:t>
      </w:r>
      <w:bookmarkEnd w:id="18"/>
    </w:p>
    <w:p>
      <w:pPr>
        <w:pStyle w:val="FirstParagraph"/>
      </w:pPr>
      <w:r>
        <w:t xml:space="preserve">Miller’s request for injunctive relief is barred by the plain language of 42 U.S.C. § 1983, upon which Miller specifically bases his claims. The Federal Courts Improvement Act amended § 1983 to bar suits for injunctive relief against judges for actions taken in their judicial capacity unless a declaratory decree was violated. 42 U.S.C. § 1983. No declaratory decree was violated, and there is no proof that declaratory relief is “unavailable.” Thus, Miller’s request for injunctive relief against Judge Stormont is barred.</w:t>
      </w:r>
    </w:p>
    <w:p>
      <w:pPr>
        <w:pStyle w:val="Heading3"/>
      </w:pPr>
      <w:bookmarkStart w:id="19" w:name="_a3159c16c12c02c9f9618018198c6f4197277d1"/>
      <w:r>
        <w:t xml:space="preserve">B.</w:t>
      </w:r>
      <w:r>
        <w:tab/>
      </w:r>
      <w:r>
        <w:t xml:space="preserve">Miller’s Request for Declaratory Relief Is Barred.</w:t>
      </w:r>
      <w:bookmarkEnd w:id="19"/>
    </w:p>
    <w:p>
      <w:pPr>
        <w:pStyle w:val="FirstParagraph"/>
      </w:pPr>
      <w:r>
        <w:t xml:space="preserve">Any request for declaratory relief is barred by the by Younger abstention, because Miller is seeking to have this Court sit and review the state court’s judgment or because he asks this Court to interfere with an ongoing state proceeding.</w:t>
      </w:r>
      <w:r>
        <w:t xml:space="preserve"> </w:t>
      </w:r>
      <w:r>
        <w:rPr>
          <w:i/>
          <w:iCs/>
        </w:rPr>
        <w:t xml:space="preserve">Mann v. Boatright</w:t>
      </w:r>
      <w:r>
        <w:t xml:space="preserve">, 477 F.3d 1140, 1146 (10th Cir. 2007);</w:t>
      </w:r>
      <w:r>
        <w:t xml:space="preserve"> </w:t>
      </w:r>
      <w:r>
        <w:rPr>
          <w:i/>
          <w:iCs/>
        </w:rPr>
        <w:t xml:space="preserve">Rienhardt v. Kelly</w:t>
      </w:r>
      <w:r>
        <w:t xml:space="preserve">, 164 F.3d 1296, 1302 (10th Cir. 1999) (“Younger abstention dictates that federal courts not interfere with state court proceedings by granting equitable relief—such as injunctions of important state proceedings or declaratory judgments regarding constitutional issues in those proceedings—when such relief could adequately be sought before the state court.”).</w:t>
      </w:r>
    </w:p>
    <w:p>
      <w:pPr>
        <w:pStyle w:val="Heading2"/>
      </w:pPr>
      <w:bookmarkStart w:id="20" w:name="_6bc06c79670092b767f590aa18208b5ce31f1b5"/>
      <w:r>
        <w:t xml:space="preserve">III.</w:t>
      </w:r>
      <w:r>
        <w:tab/>
      </w:r>
      <w:r>
        <w:t xml:space="preserve">Miller’s state law tort should also be dismissed.</w:t>
      </w:r>
      <w:bookmarkEnd w:id="20"/>
    </w:p>
    <w:p>
      <w:pPr>
        <w:pStyle w:val="FirstParagraph"/>
      </w:pPr>
      <w:r>
        <w:t xml:space="preserve">Miller’s Sixth Cause of Action, intentional infliction of emotional distress, is barred by the Utah Governmental Immunity Act for failure to comply with the notice of claim provision of the act.</w:t>
      </w:r>
    </w:p>
    <w:p>
      <w:pPr>
        <w:pStyle w:val="BodyText"/>
      </w:pPr>
      <w:r>
        <w:t xml:space="preserve">The GIAU “governs all claims against governmental entities or against their employees or agents arising out of the performance of the employee’s duties, within the scope of employment, or under color of authority.” Utah Code Ann. § 63G-7-101 (2)(b). Under the GIAU, “[a] governmental entity and an employee of a governmental entity retain immunity from suit unless that immunity has been expressly waived.” Utah Code Ann. § 63G-7-101(3);</w:t>
      </w:r>
      <w:r>
        <w:t xml:space="preserve"> </w:t>
      </w:r>
      <w:r>
        <w:rPr>
          <w:i/>
          <w:iCs/>
        </w:rPr>
        <w:t xml:space="preserve">see also</w:t>
      </w:r>
      <w:r>
        <w:t xml:space="preserve"> </w:t>
      </w:r>
      <w:r>
        <w:rPr>
          <w:i/>
          <w:iCs/>
        </w:rPr>
        <w:t xml:space="preserve">Cunningham v. Weber County</w:t>
      </w:r>
      <w:r>
        <w:t xml:space="preserve">, 506 P.3d 575, 581 (Utah 2022).</w:t>
      </w:r>
    </w:p>
    <w:p>
      <w:pPr>
        <w:pStyle w:val="Heading3"/>
      </w:pPr>
      <w:bookmarkStart w:id="21" w:name="_e2b04d4f33e7d108ab15a066b4ff3ab6c2b34d9"/>
      <w:r>
        <w:t xml:space="preserve">A.</w:t>
      </w:r>
      <w:r>
        <w:tab/>
      </w:r>
      <w:r>
        <w:t xml:space="preserve">Plaintiff did not file a notice of claim</w:t>
      </w:r>
      <w:bookmarkEnd w:id="21"/>
    </w:p>
    <w:p>
      <w:pPr>
        <w:pStyle w:val="FirstParagraph"/>
      </w:pPr>
      <w:r>
        <w:t xml:space="preserve">Miller’s sixth cause of action is barred because he has not filed a notice of claim under the Governmental Immunity Act of Utah (“GIA”), Utah Code § 63G-7-101</w:t>
      </w:r>
      <w:r>
        <w:t xml:space="preserve"> </w:t>
      </w:r>
      <w:r>
        <w:rPr>
          <w:i/>
          <w:iCs/>
        </w:rPr>
        <w:t xml:space="preserve">et seq.</w:t>
      </w:r>
      <w:r>
        <w:t xml:space="preserve"> </w:t>
      </w:r>
      <w:r>
        <w:t xml:space="preserve">The GIA mandates that “[a]ny person having a claim against a governmental entity, or against the governmental entity’s employee . . . shall file a written notice of claim with the entity before maintaining an action.” Utah Code § 63G-7-401(2).</w:t>
      </w:r>
    </w:p>
    <w:p>
      <w:pPr>
        <w:pStyle w:val="Heading1"/>
      </w:pPr>
      <w:bookmarkStart w:id="22" w:name="_conclusion"/>
      <w:r>
        <w:t xml:space="preserve">CONCLUSION</w:t>
      </w:r>
      <w:bookmarkEnd w:id="22"/>
    </w:p>
    <w:p>
      <w:pPr>
        <w:pStyle w:val="FirstParagraph"/>
      </w:pPr>
      <w:r>
        <w:t xml:space="preserve">Miller is attempting to sue Judge Stormont for judicial decisions made within the context of a state court case, over which he presided. Judicial immunity, the text of § 1983, and prudential doctrines all prohibit these claims. Miller can appeal the decisions he believes were wrong, but he cannot bring a separate cause of action for money damages against Judge Stormont. No notice of claim was filed barring Miller’s state law tort claim. Any remnant claims for relief fail. Miller’s Complaint should be dismissed with prejudice.</w:t>
      </w:r>
    </w:p>
    <w:tbl>
      <w:tblPr>
        <w:tblW w:w="9360" w:type="dxa"/>
        <w:tblLayout w:type="fixed"/>
        <w:tblCellMar>
          <w:left w:w="0" w:type="dxa"/>
          <w:right w:w="0" w:type="dxa"/>
        </w:tblCellMar>
      </w:tblPr>
      <w:tblGrid>
        <w:gridCol w:w="4752"/>
        <w:gridCol w:w="4608"/>
      </w:tblGrid>
      <w:tr>
        <w:trPr>
          <w:cantSplit/>
        </w:trPr>
        <w:tc>
          <w:tcPr>
            <w:tcW w:w="4752" w:type="dxa"/>
          </w:tcPr>
          <w:p>
            <w:pPr>
              <w:pStyle w:val="Single"/>
            </w:pPr>
            <w:r>
              <w:t xml:space="preserve">DATED: November 25, 2025</w:t>
            </w:r>
          </w:p>
        </w:tc>
        <w:tc>
          <w:tcPr>
            <w:tcW w:w="4608" w:type="dxa"/>
          </w:tcPr>
          <w:p>
            <w:pPr>
              <w:pStyle w:val="Single"/>
            </w:pPr>
            <w:r>
              <w:t xml:space="preserve">OFFICE OF THE UTAH ATTORNEY GENERAL</w:t>
            </w:r>
          </w:p>
          <w:p>
            <w:pPr>
              <w:pStyle w:val="Single"/>
              <w:spacing w:before="260"/>
            </w:pPr>
            <w:r>
              <w:t xml:space="preserve">/s/ JUSTIN P. ANDERSON</w:t>
            </w:r>
          </w:p>
          <w:p>
            <w:pPr>
              <w:pStyle w:val="Single"/>
            </w:pPr>
            <w:r>
              <w:t xml:space="preserve">JUSTIN P. ANDERSON</w:t>
            </w:r>
          </w:p>
          <w:p>
            <w:pPr>
              <w:pStyle w:val="Single"/>
            </w:pPr>
            <w:r>
              <w:t xml:space="preserve">Assistant Utah Attorney General</w:t>
            </w:r>
          </w:p>
          <w:p>
            <w:pPr>
              <w:pStyle w:val="Single"/>
            </w:pPr>
            <w:r>
              <w:t xml:space="preserve">Attorney for the Judicial Defendants</w:t>
            </w:r>
          </w:p>
        </w:tc>
      </w:tr>
    </w:tbl>
    <w:sectPr>
      <w:footerReference w:type="default" r:id="rIdFooter1"/>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This Court may also take judicial notice that the state court issued a vexatious litigant order against Miller in NPEC, LLC v. Miller Case No. 130905131.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pPr>
      <w:spacing w:before="0" w:after="0" w:line="520"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240" w:lineRule="auto"/>
    </w:pPr>
  </w:style>
  <w:style w:type="paragraph" w:styleId="Heading1">
    <w:name w:val="heading 1"/>
    <w:basedOn w:val="Normal"/>
    <w:next w:val="BodyText"/>
    <w:uiPriority w:val="9"/>
    <w:qFormat/>
    <w:pPr>
      <w:keepNext/>
      <w:keepLines/>
      <w:spacing w:before="520" w:after="520" w:line="240" w:lineRule="auto"/>
      <w:ind w:firstLine="0"/>
      <w:jc w:val="center"/>
      <w:outlineLvl w:val="0"/>
    </w:pPr>
    <w:rPr>
      <w:b/>
      <w:bCs/>
      <w:caps/>
    </w:rPr>
  </w:style>
  <w:style w:type="paragraph" w:styleId="Heading2">
    <w:name w:val="heading 2"/>
    <w:basedOn w:val="Normal"/>
    <w:next w:val="BodyText"/>
    <w:uiPriority w:val="9"/>
    <w:unhideWhenUsed/>
    <w:qFormat/>
    <w:pPr>
      <w:keepNext/>
      <w:keepLines/>
      <w:spacing w:before="520" w:after="520" w:line="240" w:lineRule="auto"/>
      <w:ind w:left="720" w:hanging="720" w:firstLine="0"/>
      <w:jc w:val="left"/>
      <w:outlineLvl w:val="1"/>
    </w:pPr>
    <w:rPr>
      <w:b/>
      <w:bCs/>
    </w:rPr>
  </w:style>
  <w:style w:type="paragraph" w:styleId="Heading3">
    <w:name w:val="heading 3"/>
    <w:basedOn w:val="Normal"/>
    <w:next w:val="BodyText"/>
    <w:uiPriority w:val="9"/>
    <w:unhideWhenUsed/>
    <w:qFormat/>
    <w:pPr>
      <w:keepNext/>
      <w:keepLines/>
      <w:spacing w:before="520" w:after="520" w:line="240" w:lineRule="auto"/>
      <w:ind w:left="1440" w:hanging="720" w:firstLine="0"/>
      <w:jc w:val="left"/>
      <w:outlineLvl w:val="2"/>
    </w:pPr>
    <w:rPr>
      <w:b/>
      <w:bCs/>
    </w:rPr>
  </w:style>
  <w:style w:type="paragraph" w:styleId="Heading4">
    <w:name w:val="heading 4"/>
    <w:basedOn w:val="Heading3"/>
    <w:next w:val="BodyText"/>
    <w:uiPriority w:val="9"/>
    <w:unhideWhenUsed/>
    <w:qFormat/>
    <w:pPr>
      <w:ind w:left="2160" w:hanging="720" w:firstLine="0"/>
      <w:outlineLvl w:val="3"/>
    </w:pPr>
  </w:style>
  <w:style w:type="paragraph" w:styleId="FootnoteText">
    <w:name w:val="footnote text"/>
    <w:basedOn w:val="Normal"/>
    <w:uiPriority w:val="99"/>
    <w:unhideWhenUsed/>
    <w:pPr>
      <w:spacing w:before="0" w:after="120" w:line="240" w:lineRule="auto"/>
    </w:pPr>
    <w:rPr>
      <w:sz w:val="26"/>
      <w:szCs w:val="26"/>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paragraph" w:styleId="Footer">
    <w:name w:val="footer"/>
    <w:basedOn w:val="Normal"/>
    <w:uiPriority w:val="99"/>
    <w:unhideWhenUsed/>
    <w:pPr>
      <w:spacing w:before="0" w:after="0" w:line="240" w:lineRule="auto"/>
      <w:jc w:val="center"/>
    </w:pPr>
    <w:rPr>
      <w:sz w:val="26"/>
      <w:szCs w:val="26"/>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customStyle="1" w:styleId="Hanging">
    <w:name w:val="Hanging"/>
    <w:basedOn w:val="Normal"/>
    <w:qFormat/>
    <w:pPr>
      <w:spacing w:before="0" w:after="0" w:line="520" w:lineRule="exact"/>
      <w:ind w:left="1296" w:hanging="576"/>
    </w:pPr>
  </w:style>
  <w:style w:type="paragraph" w:customStyle="1" w:styleId="TOCEntry1">
    <w:name w:val="TOC Entry 1"/>
    <w:basedOn w:val="Normal"/>
    <w:qFormat/>
    <w:pPr>
      <w:spacing w:before="0" w:after="260" w:line="240" w:lineRule="auto"/>
      <w:ind w:left="0" w:firstLine="0"/>
    </w:pPr>
  </w:style>
  <w:style w:type="paragraph" w:customStyle="1" w:styleId="TOCEntry2">
    <w:name w:val="TOC Entry 2"/>
    <w:basedOn w:val="Normal"/>
    <w:qFormat/>
    <w:pPr>
      <w:spacing w:before="0" w:after="260" w:line="240" w:lineRule="auto"/>
      <w:ind w:left="720" w:hanging="720" w:firstLine="0"/>
    </w:pPr>
  </w:style>
  <w:style w:type="paragraph" w:customStyle="1" w:styleId="TOCEntry3">
    <w:name w:val="TOC Entry 3"/>
    <w:basedOn w:val="Normal"/>
    <w:qFormat/>
    <w:pPr>
      <w:spacing w:before="0" w:after="260" w:line="240" w:lineRule="auto"/>
      <w:ind w:left="1440" w:hanging="720" w:firstLine="0"/>
    </w:pPr>
  </w:style>
  <w:style w:type="paragraph" w:customStyle="1" w:styleId="TOAGroup">
    <w:name w:val="TOA Group"/>
    <w:basedOn w:val="Normal"/>
    <w:qFormat/>
    <w:pPr>
      <w:keepNext/>
      <w:spacing w:before="260" w:after="260" w:line="240" w:lineRule="auto"/>
      <w:ind w:firstLine="0"/>
    </w:pPr>
    <w:rPr>
      <w:b/>
      <w:bCs/>
    </w:rPr>
  </w:style>
  <w:style w:type="paragraph" w:customStyle="1" w:styleId="TOAEntry">
    <w:name w:val="TOA Entry"/>
    <w:basedOn w:val="Normal"/>
    <w:qFormat/>
    <w:pPr>
      <w:spacing w:before="0" w:after="260" w:line="240" w:lineRule="auto"/>
      <w:ind w:left="504" w:hanging="504"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2026-10-15T12:56:37Z</dcterms:created>
  <dcterms:modified xsi:type="dcterms:W3CDTF">2026-10-15T12:56:37Z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DEFENDANT STORMONT’S MOTION TO DISMISS AND MEMORANDUM IN SUPPORT</vt:lpwstr>
  </property>
  <property fmtid="{D5CDD505-2E9C-101B-9397-08002B2CF9AE}" pid="4" name="caption">
    <vt:lpwstr/>
  </property>
  <property fmtid="{D5CDD505-2E9C-101B-9397-08002B2CF9AE}" pid="5" name="case_number">
    <vt:lpwstr>2:25-cv-00857-DAO</vt:lpwstr>
  </property>
  <property fmtid="{D5CDD505-2E9C-101B-9397-08002B2CF9AE}" pid="6" name="counsel">
    <vt:lpwstr/>
  </property>
  <property fmtid="{D5CDD505-2E9C-101B-9397-08002B2CF9AE}" pid="7" name="counsel_role">
    <vt:lpwstr>Attorney for the Honorable Charles A. Stormont</vt:lpwstr>
  </property>
  <property fmtid="{D5CDD505-2E9C-101B-9397-08002B2CF9AE}" pid="8" name="court">
    <vt:lpwstr/>
  </property>
  <property fmtid="{D5CDD505-2E9C-101B-9397-08002B2CF9AE}" pid="9" name="judge">
    <vt:lpwstr>Daphne A. Oberg</vt:lpwstr>
  </property>
  <property fmtid="{D5CDD505-2E9C-101B-9397-08002B2CF9AE}" pid="10" name="signature">
    <vt:lpwstr/>
  </property>
</Properties>
</file>