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40" w:lineRule="exact"/>
        <w:ind w:left="0" w:firstLine="0"/>
        <w:jc w:val="center"/>
      </w:pPr>
      <w:r>
        <w:rPr>
          <w:b/>
          <w:bCs/>
        </w:rPr>
        <w:t xml:space="preserve">Case</w:t>
      </w:r>
      <w:r>
        <w:rPr>
          <w:b/>
          <w:bCs/>
        </w:rPr>
        <w:t xml:space="preserve"> </w:t>
      </w:r>
      <w:r>
        <w:rPr>
          <w:b/>
          <w:bCs/>
        </w:rPr>
        <w:t xml:space="preserve">CC</w:t>
        <w:noBreakHyphen/>
        <w:t xml:space="preserve">25</w:t>
        <w:noBreakHyphen/>
        <w:t xml:space="preserve">1042</w:t>
      </w:r>
    </w:p>
    <w:p>
      <w:pPr>
        <w:spacing w:before="360" w:after="0" w:line="340" w:lineRule="exact"/>
        <w:ind w:left="0" w:firstLine="0"/>
        <w:jc w:val="center"/>
      </w:pPr>
      <w:r>
        <w:rPr>
          <w:b/>
          <w:bCs/>
        </w:rPr>
        <w:t xml:space="preserve">UNITED STATES BANKRUPTCY APPELLATE PANEL OF THE NINTH CIRCUIT</w:t>
      </w:r>
    </w:p>
    <w:p>
      <w:pPr>
        <w:spacing w:before="360" w:after="0" w:line="340" w:lineRule="exact"/>
        <w:ind w:left="0" w:firstLine="0"/>
        <w:jc w:val="center"/>
      </w:pPr>
      <w:r>
        <w:t xml:space="preserve">Leslie</w:t>
      </w:r>
      <w:r>
        <w:t xml:space="preserve"> </w:t>
      </w:r>
      <w:r>
        <w:t xml:space="preserve">Klein</w:t>
      </w:r>
      <w:r>
        <w:t xml:space="preserve"> </w:t>
      </w:r>
      <w:r>
        <w:t xml:space="preserve">as</w:t>
      </w:r>
      <w:r>
        <w:t xml:space="preserve"> </w:t>
      </w:r>
      <w:r>
        <w:t xml:space="preserve">Trustee</w:t>
      </w:r>
      <w:r>
        <w:t xml:space="preserve"> </w:t>
      </w:r>
      <w:r>
        <w:t xml:space="preserve">of</w:t>
      </w:r>
      <w:r>
        <w:t xml:space="preserve"> </w:t>
      </w:r>
      <w:r>
        <w:t xml:space="preserve">the</w:t>
      </w:r>
      <w:r>
        <w:t xml:space="preserve"> </w:t>
      </w:r>
      <w:r>
        <w:t xml:space="preserve">Marital</w:t>
      </w:r>
      <w:r>
        <w:t xml:space="preserve"> </w:t>
      </w:r>
      <w:r>
        <w:t xml:space="preserve">Deduction</w:t>
      </w:r>
      <w:r>
        <w:t xml:space="preserve"> </w:t>
      </w:r>
      <w:r>
        <w:t xml:space="preserve">Trust</w:t>
      </w:r>
      <w:r>
        <w:t xml:space="preserve"> </w:t>
      </w:r>
      <w:r>
        <w:t xml:space="preserve">of</w:t>
      </w:r>
      <w:r>
        <w:t xml:space="preserve"> </w:t>
      </w:r>
      <w:r>
        <w:t xml:space="preserve">Erika</w:t>
      </w:r>
      <w:r>
        <w:t xml:space="preserve"> </w:t>
      </w:r>
      <w:r>
        <w:t xml:space="preserve">Klein</w:t>
      </w:r>
      <w:r>
        <w:t xml:space="preserve"> </w:t>
      </w:r>
      <w:r>
        <w:t xml:space="preserve">and</w:t>
      </w:r>
      <w:r>
        <w:t xml:space="preserve"> </w:t>
      </w:r>
      <w:r>
        <w:t xml:space="preserve">Trustee</w:t>
      </w:r>
      <w:r>
        <w:t xml:space="preserve"> </w:t>
      </w:r>
      <w:r>
        <w:t xml:space="preserve">of</w:t>
      </w:r>
      <w:r>
        <w:t xml:space="preserve"> </w:t>
      </w:r>
      <w:r>
        <w:t xml:space="preserve">the</w:t>
      </w:r>
      <w:r>
        <w:t xml:space="preserve"> </w:t>
      </w:r>
      <w:r>
        <w:t xml:space="preserve">Credit</w:t>
      </w:r>
      <w:r>
        <w:t xml:space="preserve"> </w:t>
      </w:r>
      <w:r>
        <w:t xml:space="preserve">Trust</w:t>
      </w:r>
      <w:r>
        <w:t xml:space="preserve"> </w:t>
      </w:r>
      <w:r>
        <w:t xml:space="preserve">of</w:t>
      </w:r>
      <w:r>
        <w:t xml:space="preserve"> </w:t>
      </w:r>
      <w:r>
        <w:t xml:space="preserve">Erika</w:t>
      </w:r>
      <w:r>
        <w:t xml:space="preserve"> </w:t>
      </w:r>
      <w:r>
        <w:t xml:space="preserve">Klein,</w:t>
      </w:r>
      <w:r>
        <w:t xml:space="preserve"> </w:t>
      </w:r>
      <w:r>
        <w:t xml:space="preserve">and</w:t>
      </w:r>
      <w:r>
        <w:t xml:space="preserve"> </w:t>
      </w:r>
      <w:r>
        <w:t xml:space="preserve">not</w:t>
      </w:r>
      <w:r>
        <w:t xml:space="preserve"> </w:t>
      </w:r>
      <w:r>
        <w:t xml:space="preserve">individually,</w:t>
      </w:r>
      <w:r>
        <w:t xml:space="preserve"> </w:t>
      </w:r>
      <w:r>
        <w:t xml:space="preserve">Claimants</w:t>
      </w:r>
      <w:r>
        <w:t xml:space="preserve"> </w:t>
      </w:r>
      <w:r>
        <w:t xml:space="preserve">as</w:t>
      </w:r>
      <w:r>
        <w:t xml:space="preserve"> </w:t>
      </w:r>
      <w:r>
        <w:t xml:space="preserve">Owner,</w:t>
      </w:r>
    </w:p>
    <w:p>
      <w:pPr>
        <w:spacing w:before="0" w:after="0" w:line="340" w:lineRule="exact"/>
        <w:ind w:left="0" w:firstLine="0"/>
        <w:jc w:val="center"/>
      </w:pPr>
      <w:r>
        <w:t xml:space="preserve">Appellants,</w:t>
      </w:r>
    </w:p>
    <w:p>
      <w:pPr>
        <w:spacing w:before="200" w:after="0" w:line="340" w:lineRule="exact"/>
        <w:ind w:left="0" w:firstLine="0"/>
        <w:jc w:val="center"/>
      </w:pPr>
      <w:r>
        <w:t xml:space="preserve">v.</w:t>
      </w:r>
    </w:p>
    <w:p>
      <w:pPr>
        <w:spacing w:before="200" w:after="0" w:line="340" w:lineRule="exact"/>
        <w:ind w:left="0" w:firstLine="0"/>
        <w:jc w:val="center"/>
      </w:pPr>
      <w:r>
        <w:t xml:space="preserve">Bradley</w:t>
      </w:r>
      <w:r>
        <w:t xml:space="preserve"> </w:t>
      </w:r>
      <w:r>
        <w:t xml:space="preserve">D.</w:t>
      </w:r>
      <w:r>
        <w:t xml:space="preserve"> </w:t>
      </w:r>
      <w:r>
        <w:t xml:space="preserve">Sharp,</w:t>
      </w:r>
      <w:r>
        <w:t xml:space="preserve"> </w:t>
      </w:r>
      <w:r>
        <w:t xml:space="preserve">Chapter</w:t>
      </w:r>
      <w:r>
        <w:t xml:space="preserve"> </w:t>
      </w:r>
      <w:r>
        <w:t xml:space="preserve">11</w:t>
      </w:r>
      <w:r>
        <w:t xml:space="preserve"> </w:t>
      </w:r>
      <w:r>
        <w:t xml:space="preserve">Trustee</w:t>
      </w:r>
      <w:r>
        <w:t xml:space="preserve"> </w:t>
      </w:r>
      <w:r>
        <w:t xml:space="preserve">of</w:t>
      </w:r>
      <w:r>
        <w:t xml:space="preserve"> </w:t>
      </w:r>
      <w:r>
        <w:t xml:space="preserve">Leslie</w:t>
      </w:r>
      <w:r>
        <w:t xml:space="preserve"> </w:t>
      </w:r>
      <w:r>
        <w:t xml:space="preserve">Klein,</w:t>
      </w:r>
    </w:p>
    <w:p>
      <w:pPr>
        <w:spacing w:before="0" w:after="0" w:line="340" w:lineRule="exact"/>
        <w:ind w:left="0" w:firstLine="0"/>
        <w:jc w:val="center"/>
      </w:pPr>
      <w:r>
        <w:t xml:space="preserve">Appellee.</w:t>
      </w:r>
    </w:p>
    <w:p>
      <w:pPr>
        <w:spacing w:before="360" w:after="0" w:line="34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Central</w:t>
      </w:r>
      <w:r>
        <w:t xml:space="preserve"> </w:t>
      </w:r>
      <w:r>
        <w:t xml:space="preserve">District</w:t>
      </w:r>
      <w:r>
        <w:t xml:space="preserve"> </w:t>
      </w:r>
      <w:r>
        <w:t xml:space="preserve">of</w:t>
      </w:r>
      <w:r>
        <w:t xml:space="preserve"> </w:t>
      </w:r>
      <w:r>
        <w:t xml:space="preserve">California,</w:t>
      </w:r>
      <w:r>
        <w:t xml:space="preserve"> </w:t>
      </w:r>
      <w:r>
        <w:t xml:space="preserve">BK</w:t>
      </w:r>
      <w:r>
        <w:t xml:space="preserve"> </w:t>
      </w:r>
      <w:r>
        <w:t xml:space="preserve">Case</w:t>
      </w:r>
      <w:r>
        <w:t xml:space="preserve"> </w:t>
      </w:r>
      <w:r>
        <w:t xml:space="preserve">No.</w:t>
      </w:r>
      <w:r>
        <w:t xml:space="preserve"> </w:t>
      </w:r>
      <w:r>
        <w:t xml:space="preserve">2:23-bk</w:t>
        <w:noBreakHyphen/>
        <w:t xml:space="preserve">10990,</w:t>
      </w:r>
      <w:r>
        <w:t xml:space="preserve"> </w:t>
      </w:r>
      <w:r>
        <w:t xml:space="preserve">Honorable</w:t>
      </w:r>
      <w:r>
        <w:t xml:space="preserve"> </w:t>
      </w:r>
      <w:r>
        <w:t xml:space="preserve">Neil</w:t>
      </w:r>
      <w:r>
        <w:t xml:space="preserve"> </w:t>
      </w:r>
      <w:r>
        <w:t xml:space="preserve">W.</w:t>
      </w:r>
      <w:r>
        <w:t xml:space="preserve"> </w:t>
      </w:r>
      <w:r>
        <w:t xml:space="preserve">Bason</w:t>
      </w:r>
    </w:p>
    <w:p>
      <w:pPr>
        <w:spacing w:before="360" w:after="0" w:line="340" w:lineRule="exact"/>
        <w:ind w:left="0" w:firstLine="0"/>
        <w:jc w:val="center"/>
      </w:pPr>
      <w:r>
        <w:rPr>
          <w:b/>
          <w:bCs/>
        </w:rPr>
        <w:t xml:space="preserve">APPELLEE’S ANSWERING BRIEF</w:t>
      </w:r>
    </w:p>
    <w:p>
      <w:pPr>
        <w:spacing w:before="360" w:after="0" w:line="340" w:lineRule="exact"/>
        <w:ind w:left="0" w:firstLine="0"/>
        <w:jc w:val="center"/>
      </w:pPr>
      <w:r>
        <w:t xml:space="preserve">Jeffrey</w:t>
      </w:r>
      <w:r>
        <w:t xml:space="preserve"> </w:t>
      </w:r>
      <w:r>
        <w:t xml:space="preserve">W.</w:t>
      </w:r>
      <w:r>
        <w:t xml:space="preserve"> </w:t>
      </w:r>
      <w:r>
        <w:t xml:space="preserve">Dulberg</w:t>
      </w:r>
      <w:r>
        <w:t xml:space="preserve"> </w:t>
      </w:r>
      <w:r>
        <w:t xml:space="preserve">(CA</w:t>
      </w:r>
      <w:r>
        <w:t xml:space="preserve"> </w:t>
      </w:r>
      <w:r>
        <w:t xml:space="preserve">State</w:t>
      </w:r>
      <w:r>
        <w:t xml:space="preserve"> </w:t>
      </w:r>
      <w:r>
        <w:t xml:space="preserve">Bar</w:t>
      </w:r>
      <w:r>
        <w:t xml:space="preserve"> </w:t>
      </w:r>
      <w:r>
        <w:t xml:space="preserve">No.</w:t>
      </w:r>
      <w:r>
        <w:t xml:space="preserve"> </w:t>
      </w:r>
      <w:r>
        <w:t xml:space="preserve">181200)</w:t>
      </w:r>
    </w:p>
    <w:p>
      <w:pPr>
        <w:spacing w:before="0" w:after="0" w:line="340" w:lineRule="exact"/>
        <w:ind w:left="0" w:firstLine="0"/>
        <w:jc w:val="center"/>
      </w:pPr>
      <w:r>
        <w:t xml:space="preserve">John</w:t>
      </w:r>
      <w:r>
        <w:t xml:space="preserve"> </w:t>
      </w:r>
      <w:r>
        <w:t xml:space="preserve">W.</w:t>
      </w:r>
      <w:r>
        <w:t xml:space="preserve"> </w:t>
      </w:r>
      <w:r>
        <w:t xml:space="preserve">Lucas</w:t>
      </w:r>
      <w:r>
        <w:t xml:space="preserve"> </w:t>
      </w:r>
      <w:r>
        <w:t xml:space="preserve">(CA</w:t>
      </w:r>
      <w:r>
        <w:t xml:space="preserve"> </w:t>
      </w:r>
      <w:r>
        <w:t xml:space="preserve">State</w:t>
      </w:r>
      <w:r>
        <w:t xml:space="preserve"> </w:t>
      </w:r>
      <w:r>
        <w:t xml:space="preserve">Bar</w:t>
      </w:r>
      <w:r>
        <w:t xml:space="preserve"> </w:t>
      </w:r>
      <w:r>
        <w:t xml:space="preserve">No.</w:t>
      </w:r>
      <w:r>
        <w:t xml:space="preserve"> </w:t>
      </w:r>
      <w:r>
        <w:t xml:space="preserve">271038)</w:t>
      </w:r>
    </w:p>
    <w:p>
      <w:pPr>
        <w:spacing w:before="0" w:after="0" w:line="340" w:lineRule="exact"/>
        <w:ind w:left="0" w:firstLine="0"/>
        <w:jc w:val="center"/>
      </w:pPr>
      <w:r>
        <w:t xml:space="preserve">Jeffrey</w:t>
      </w:r>
      <w:r>
        <w:t xml:space="preserve"> </w:t>
      </w:r>
      <w:r>
        <w:t xml:space="preserve">P.</w:t>
      </w:r>
      <w:r>
        <w:t xml:space="preserve"> </w:t>
      </w:r>
      <w:r>
        <w:t xml:space="preserve">Nolan</w:t>
      </w:r>
      <w:r>
        <w:t xml:space="preserve"> </w:t>
      </w:r>
      <w:r>
        <w:t xml:space="preserve">(CA</w:t>
      </w:r>
      <w:r>
        <w:t xml:space="preserve"> </w:t>
      </w:r>
      <w:r>
        <w:t xml:space="preserve">Bar</w:t>
      </w:r>
      <w:r>
        <w:t xml:space="preserve"> </w:t>
      </w:r>
      <w:r>
        <w:t xml:space="preserve">No.</w:t>
      </w:r>
      <w:r>
        <w:t xml:space="preserve"> </w:t>
      </w:r>
      <w:r>
        <w:t xml:space="preserve">158923)</w:t>
      </w:r>
    </w:p>
    <w:p>
      <w:pPr>
        <w:spacing w:before="0" w:after="0" w:line="340" w:lineRule="exact"/>
        <w:ind w:left="0" w:firstLine="0"/>
        <w:jc w:val="center"/>
      </w:pPr>
      <w:r>
        <w:t xml:space="preserve">PACHULSKI</w:t>
      </w:r>
      <w:r>
        <w:t xml:space="preserve"> </w:t>
      </w:r>
      <w:r>
        <w:t xml:space="preserve">STANG</w:t>
      </w:r>
      <w:r>
        <w:t xml:space="preserve"> </w:t>
      </w:r>
      <w:r>
        <w:t xml:space="preserve">ZIEHL</w:t>
      </w:r>
      <w:r>
        <w:t xml:space="preserve"> </w:t>
      </w:r>
      <w:r>
        <w:t xml:space="preserve">&amp;</w:t>
      </w:r>
      <w:r>
        <w:t xml:space="preserve"> </w:t>
      </w:r>
      <w:r>
        <w:t xml:space="preserve">JONES</w:t>
      </w:r>
      <w:r>
        <w:t xml:space="preserve"> </w:t>
      </w:r>
      <w:r>
        <w:t xml:space="preserve">LLP</w:t>
      </w:r>
    </w:p>
    <w:p>
      <w:pPr>
        <w:spacing w:before="0" w:after="0" w:line="340" w:lineRule="exact"/>
        <w:ind w:left="0" w:firstLine="0"/>
        <w:jc w:val="center"/>
      </w:pPr>
      <w:r>
        <w:t xml:space="preserve">10100</w:t>
      </w:r>
      <w:r>
        <w:t xml:space="preserve"> </w:t>
      </w:r>
      <w:r>
        <w:t xml:space="preserve">Santa</w:t>
      </w:r>
      <w:r>
        <w:t xml:space="preserve"> </w:t>
      </w:r>
      <w:r>
        <w:t xml:space="preserve">Monica</w:t>
      </w:r>
      <w:r>
        <w:t xml:space="preserve"> </w:t>
      </w:r>
      <w:r>
        <w:t xml:space="preserve">Blvd.,</w:t>
      </w:r>
      <w:r>
        <w:t xml:space="preserve"> </w:t>
      </w:r>
      <w:r>
        <w:t xml:space="preserve">13th</w:t>
      </w:r>
      <w:r>
        <w:t xml:space="preserve"> </w:t>
      </w:r>
      <w:r>
        <w:t xml:space="preserve">Floor</w:t>
      </w:r>
    </w:p>
    <w:p>
      <w:pPr>
        <w:spacing w:before="0" w:after="0" w:line="340" w:lineRule="exact"/>
        <w:ind w:left="0" w:firstLine="0"/>
        <w:jc w:val="center"/>
      </w:pPr>
      <w:r>
        <w:t xml:space="preserve">Los</w:t>
      </w:r>
      <w:r>
        <w:t xml:space="preserve"> </w:t>
      </w:r>
      <w:r>
        <w:t xml:space="preserve">Angeles,</w:t>
      </w:r>
      <w:r>
        <w:t xml:space="preserve"> </w:t>
      </w:r>
      <w:r>
        <w:t xml:space="preserve">CA</w:t>
      </w:r>
      <w:r>
        <w:t xml:space="preserve"> </w:t>
      </w:r>
      <w:r>
        <w:t xml:space="preserve">90067</w:t>
      </w:r>
    </w:p>
    <w:p>
      <w:pPr>
        <w:spacing w:before="0" w:after="0" w:line="340" w:lineRule="exact"/>
        <w:ind w:left="0" w:firstLine="0"/>
        <w:jc w:val="center"/>
      </w:pPr>
      <w:r>
        <w:t xml:space="preserve">Facsimile:</w:t>
      </w:r>
      <w:r>
        <w:t xml:space="preserve"> </w:t>
      </w:r>
      <w:r>
        <w:t xml:space="preserve">310/201</w:t>
        <w:noBreakHyphen/>
        <w:t xml:space="preserve">0760</w:t>
      </w:r>
    </w:p>
    <w:p>
      <w:pPr>
        <w:spacing w:before="0" w:after="0" w:line="340" w:lineRule="exact"/>
        <w:ind w:left="0" w:firstLine="0"/>
        <w:jc w:val="center"/>
      </w:pPr>
      <w:r>
        <w:t xml:space="preserve">E-mail:</w:t>
      </w:r>
      <w:r>
        <w:t xml:space="preserve"> </w:t>
      </w:r>
      <w:r>
        <w:t xml:space="preserve">jdulberg@pszjlaw.com,</w:t>
      </w:r>
      <w:r>
        <w:t xml:space="preserve"> </w:t>
      </w:r>
      <w:r>
        <w:t xml:space="preserve">jlucas@pszjlaw.com,</w:t>
      </w:r>
      <w:r>
        <w:t xml:space="preserve"> </w:t>
      </w:r>
      <w:r>
        <w:t xml:space="preserve">jnolan@pszjlaw.com</w:t>
      </w:r>
    </w:p>
    <w:p>
      <w:pPr>
        <w:spacing w:before="0" w:after="0" w:line="340" w:lineRule="exact"/>
        <w:ind w:left="0" w:firstLine="0"/>
        <w:jc w:val="center"/>
      </w:pPr>
      <w:r>
        <w:t xml:space="preserve">Counsel</w:t>
      </w:r>
      <w:r>
        <w:t xml:space="preserve"> </w:t>
      </w:r>
      <w:r>
        <w:t xml:space="preserve">for</w:t>
      </w:r>
      <w:r>
        <w:t xml:space="preserve"> </w:t>
      </w:r>
      <w:r>
        <w:t xml:space="preserve">Bradley</w:t>
      </w:r>
      <w:r>
        <w:t xml:space="preserve"> </w:t>
      </w:r>
      <w:r>
        <w:t xml:space="preserve">D.</w:t>
      </w:r>
      <w:r>
        <w:t xml:space="preserve"> </w:t>
      </w:r>
      <w:r>
        <w:t xml:space="preserve">Sharp,</w:t>
      </w:r>
      <w:r>
        <w:t xml:space="preserve"> </w:t>
      </w:r>
      <w:r>
        <w:t xml:space="preserve">Chapter</w:t>
      </w:r>
      <w:r>
        <w:t xml:space="preserve"> </w:t>
      </w:r>
      <w:r>
        <w:t xml:space="preserve">11</w:t>
      </w:r>
      <w:r>
        <w:t xml:space="preserve"> </w:t>
      </w:r>
      <w:r>
        <w:t xml:space="preserve">Trustee</w:t>
      </w:r>
      <w:r>
        <w:t xml:space="preserve"> </w:t>
      </w:r>
      <w:r>
        <w:t xml:space="preserve">of</w:t>
      </w:r>
      <w:r>
        <w:t xml:space="preserve"> </w:t>
      </w:r>
      <w:r>
        <w:t xml:space="preserve">Leslie,</w:t>
      </w:r>
      <w:r>
        <w:t xml:space="preserve"> </w:t>
      </w:r>
      <w:r>
        <w:t xml:space="preserve">Appellee</w:t>
      </w:r>
    </w:p>
    <w:p>
      <w:pPr>
        <w:spacing w:before="0" w:after="0" w:line="340" w:lineRule="exact"/>
        <w:ind w:left="0" w:firstLine="0"/>
        <w:jc w:val="center"/>
      </w:pPr>
      <w:r>
        <w:t xml:space="preserve">Telephone:</w:t>
      </w:r>
      <w:r>
        <w:t xml:space="preserve"> </w:t>
      </w:r>
      <w:r>
        <w:t xml:space="preserve">310/277</w:t>
        <w:noBreakHyphen/>
        <w:t xml:space="preserve">6910</w:t>
      </w: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280" w:line="340" w:lineRule="exact"/>
        <w:ind w:left="0" w:firstLine="0"/>
        <w:jc w:val="center"/>
      </w:pPr>
      <w:r>
        <w:rPr>
          <w:b/>
          <w:bCs/>
        </w:rPr>
        <w:t xml:space="preserve">TABLE OF CONTENTS</w:t>
      </w:r>
    </w:p>
    <w:p>
      <w:pPr>
        <w:keepLines/>
        <w:tabs>
          <w:tab w:val="right" w:leader="dot" w:pos="9360"/>
        </w:tabs>
        <w:spacing w:before="120" w:after="0" w:line="340" w:lineRule="exact"/>
        <w:ind w:left="720" w:right="720" w:hanging="720"/>
      </w:pPr>
      <w:r>
        <w:t xml:space="preserve">I.</w:t>
      </w:r>
      <w:r>
        <w:t xml:space="preserve"> </w:t>
      </w:r>
      <w:r>
        <w:t xml:space="preserve">JURISDICTIONAL</w:t>
      </w:r>
      <w:r>
        <w:t xml:space="preserve"> </w:t>
      </w:r>
      <w:r>
        <w:t xml:space="preserve">STATEMENT</w:t>
      </w:r>
      <w:r>
        <w:t xml:space="preserve">   </w:t>
      </w:r>
      <w:r>
        <w:tab/>
      </w:r>
      <w:r>
        <w:t xml:space="preserve">1</w:t>
      </w:r>
    </w:p>
    <w:p>
      <w:pPr>
        <w:keepLines/>
        <w:tabs>
          <w:tab w:val="right" w:leader="dot" w:pos="9360"/>
        </w:tabs>
        <w:spacing w:before="120" w:after="0" w:line="340" w:lineRule="exact"/>
        <w:ind w:left="720" w:right="720" w:hanging="720"/>
      </w:pPr>
      <w:r>
        <w:t xml:space="preserve">II.</w:t>
      </w:r>
      <w:r>
        <w:t xml:space="preserve"> </w:t>
      </w:r>
      <w:r>
        <w:t xml:space="preserve">SUMMARY</w:t>
      </w:r>
      <w:r>
        <w:t xml:space="preserve"> </w:t>
      </w:r>
      <w:r>
        <w:t xml:space="preserve">OF</w:t>
      </w:r>
      <w:r>
        <w:t xml:space="preserve"> </w:t>
      </w:r>
      <w:r>
        <w:t xml:space="preserve">ARGUMENT</w:t>
      </w:r>
      <w:r>
        <w:t xml:space="preserve">   </w:t>
      </w:r>
      <w:r>
        <w:tab/>
      </w:r>
      <w:r>
        <w:t xml:space="preserve">2</w:t>
      </w:r>
    </w:p>
    <w:p>
      <w:pPr>
        <w:keepLines/>
        <w:tabs>
          <w:tab w:val="right" w:leader="dot" w:pos="9360"/>
        </w:tabs>
        <w:spacing w:before="120" w:after="0" w:line="340" w:lineRule="exact"/>
        <w:ind w:left="720" w:right="720" w:hanging="720"/>
      </w:pPr>
      <w:r>
        <w:t xml:space="preserve">III.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120" w:after="0" w:line="340" w:lineRule="exact"/>
        <w:ind w:left="1440" w:right="720" w:hanging="720"/>
      </w:pPr>
      <w:r>
        <w:t xml:space="preserve">1.</w:t>
      </w:r>
      <w:r>
        <w:t xml:space="preserve"> </w:t>
      </w:r>
      <w:r>
        <w:t xml:space="preserve">The</w:t>
      </w:r>
      <w:r>
        <w:t xml:space="preserve"> </w:t>
      </w:r>
      <w:r>
        <w:t xml:space="preserve">Israeli</w:t>
      </w:r>
      <w:r>
        <w:t xml:space="preserve"> </w:t>
      </w:r>
      <w:r>
        <w:t xml:space="preserve">Proceeding</w:t>
      </w:r>
      <w:r>
        <w:t xml:space="preserve">   </w:t>
      </w:r>
      <w:r>
        <w:tab/>
      </w:r>
      <w:r>
        <w:t xml:space="preserve">3</w:t>
      </w:r>
    </w:p>
    <w:p>
      <w:pPr>
        <w:keepLines/>
        <w:tabs>
          <w:tab w:val="right" w:leader="dot" w:pos="9360"/>
        </w:tabs>
        <w:spacing w:before="120" w:after="0" w:line="340" w:lineRule="exact"/>
        <w:ind w:left="1440" w:right="720" w:hanging="720"/>
      </w:pPr>
      <w:r>
        <w:t xml:space="preserve">2.</w:t>
      </w:r>
      <w:r>
        <w:t xml:space="preserve"> </w:t>
      </w:r>
      <w:r>
        <w:t xml:space="preserve">Suite</w:t>
      </w:r>
      <w:r>
        <w:t xml:space="preserve"> </w:t>
      </w:r>
      <w:r>
        <w:t xml:space="preserve">1323</w:t>
      </w:r>
      <w:r>
        <w:t xml:space="preserve"> </w:t>
      </w:r>
      <w:r>
        <w:t xml:space="preserve">of</w:t>
      </w:r>
      <w:r>
        <w:t xml:space="preserve"> </w:t>
      </w:r>
      <w:r>
        <w:t xml:space="preserve">The</w:t>
      </w:r>
      <w:r>
        <w:t xml:space="preserve"> </w:t>
      </w:r>
      <w:r>
        <w:t xml:space="preserve">Leonardo</w:t>
      </w:r>
      <w:r>
        <w:t xml:space="preserve"> </w:t>
      </w:r>
      <w:r>
        <w:t xml:space="preserve">Plaza</w:t>
      </w:r>
      <w:r>
        <w:t xml:space="preserve"> </w:t>
      </w:r>
      <w:r>
        <w:t xml:space="preserve">Hotel</w:t>
      </w:r>
      <w:r>
        <w:t xml:space="preserve">   </w:t>
      </w:r>
      <w:r>
        <w:tab/>
      </w:r>
      <w:r>
        <w:t xml:space="preserve">4</w:t>
      </w:r>
    </w:p>
    <w:p>
      <w:pPr>
        <w:keepLines/>
        <w:tabs>
          <w:tab w:val="right" w:leader="dot" w:pos="9360"/>
        </w:tabs>
        <w:spacing w:before="120" w:after="0" w:line="340" w:lineRule="exact"/>
        <w:ind w:left="1440" w:right="720" w:hanging="720"/>
      </w:pPr>
      <w:r>
        <w:t xml:space="preserve">3.</w:t>
      </w:r>
      <w:r>
        <w:t xml:space="preserve"> </w:t>
      </w:r>
      <w:r>
        <w:t xml:space="preserve">The</w:t>
      </w:r>
      <w:r>
        <w:t xml:space="preserve"> </w:t>
      </w:r>
      <w:r>
        <w:t xml:space="preserve">Trustee’s</w:t>
      </w:r>
      <w:r>
        <w:t xml:space="preserve"> </w:t>
      </w:r>
      <w:r>
        <w:t xml:space="preserve">Motion</w:t>
      </w:r>
      <w:r>
        <w:t xml:space="preserve"> </w:t>
      </w:r>
      <w:r>
        <w:t xml:space="preserve">to</w:t>
      </w:r>
      <w:r>
        <w:t xml:space="preserve"> </w:t>
      </w:r>
      <w:r>
        <w:t xml:space="preserve">Sell</w:t>
      </w:r>
      <w:r>
        <w:t xml:space="preserve"> </w:t>
      </w:r>
      <w:r>
        <w:t xml:space="preserve">the</w:t>
      </w:r>
      <w:r>
        <w:t xml:space="preserve"> </w:t>
      </w:r>
      <w:r>
        <w:t xml:space="preserve">Property</w:t>
      </w:r>
      <w:r>
        <w:t xml:space="preserve">   </w:t>
      </w:r>
      <w:r>
        <w:tab/>
      </w:r>
      <w:r>
        <w:t xml:space="preserve">4</w:t>
      </w:r>
    </w:p>
    <w:p>
      <w:pPr>
        <w:keepLines/>
        <w:tabs>
          <w:tab w:val="right" w:leader="dot" w:pos="9360"/>
        </w:tabs>
        <w:spacing w:before="120" w:after="0" w:line="340" w:lineRule="exact"/>
        <w:ind w:left="1440" w:right="720" w:hanging="720"/>
      </w:pPr>
      <w:r>
        <w:t xml:space="preserve">4.</w:t>
      </w:r>
      <w:r>
        <w:t xml:space="preserve"> </w:t>
      </w:r>
      <w:r>
        <w:t xml:space="preserve">The</w:t>
      </w:r>
      <w:r>
        <w:t xml:space="preserve"> </w:t>
      </w:r>
      <w:r>
        <w:t xml:space="preserve">Opposition</w:t>
      </w:r>
      <w:r>
        <w:t xml:space="preserve"> </w:t>
      </w:r>
      <w:r>
        <w:t xml:space="preserve">to</w:t>
      </w:r>
      <w:r>
        <w:t xml:space="preserve"> </w:t>
      </w:r>
      <w:r>
        <w:t xml:space="preserve">the</w:t>
      </w:r>
      <w:r>
        <w:t xml:space="preserve"> </w:t>
      </w:r>
      <w:r>
        <w:t xml:space="preserve">Motion</w:t>
      </w:r>
      <w:r>
        <w:t xml:space="preserve"> </w:t>
      </w:r>
      <w:r>
        <w:t xml:space="preserve">to</w:t>
      </w:r>
      <w:r>
        <w:t xml:space="preserve"> </w:t>
      </w:r>
      <w:r>
        <w:t xml:space="preserve">Sell</w:t>
      </w:r>
      <w:r>
        <w:t xml:space="preserve"> </w:t>
      </w:r>
      <w:r>
        <w:t xml:space="preserve">the</w:t>
      </w:r>
      <w:r>
        <w:t xml:space="preserve"> </w:t>
      </w:r>
      <w:r>
        <w:t xml:space="preserve">Property</w:t>
      </w:r>
      <w:r>
        <w:t xml:space="preserve">   </w:t>
      </w:r>
      <w:r>
        <w:tab/>
      </w:r>
      <w:r>
        <w:t xml:space="preserve">4</w:t>
      </w:r>
    </w:p>
    <w:p>
      <w:pPr>
        <w:keepLines/>
        <w:tabs>
          <w:tab w:val="right" w:leader="dot" w:pos="9360"/>
        </w:tabs>
        <w:spacing w:before="120" w:after="0" w:line="340" w:lineRule="exact"/>
        <w:ind w:left="1440" w:right="720" w:hanging="720"/>
      </w:pPr>
      <w:r>
        <w:t xml:space="preserve">5.</w:t>
      </w:r>
      <w:r>
        <w:t xml:space="preserve"> </w:t>
      </w:r>
      <w:r>
        <w:t xml:space="preserve">The</w:t>
      </w:r>
      <w:r>
        <w:t xml:space="preserve"> </w:t>
      </w:r>
      <w:r>
        <w:t xml:space="preserve">Bankruptcy</w:t>
      </w:r>
      <w:r>
        <w:t xml:space="preserve"> </w:t>
      </w:r>
      <w:r>
        <w:t xml:space="preserve">Court’s</w:t>
      </w:r>
      <w:r>
        <w:t xml:space="preserve"> </w:t>
      </w:r>
      <w:r>
        <w:t xml:space="preserve">Approval</w:t>
      </w:r>
      <w:r>
        <w:t xml:space="preserve"> </w:t>
      </w:r>
      <w:r>
        <w:t xml:space="preserve">of</w:t>
      </w:r>
      <w:r>
        <w:t xml:space="preserve"> </w:t>
      </w:r>
      <w:r>
        <w:t xml:space="preserve">the</w:t>
      </w:r>
      <w:r>
        <w:t xml:space="preserve"> </w:t>
      </w:r>
      <w:r>
        <w:t xml:space="preserve">Motion</w:t>
      </w:r>
      <w:r>
        <w:t xml:space="preserve">   </w:t>
      </w:r>
      <w:r>
        <w:tab/>
      </w:r>
      <w:r>
        <w:t xml:space="preserve">5</w:t>
      </w:r>
    </w:p>
    <w:p>
      <w:pPr>
        <w:keepLines/>
        <w:tabs>
          <w:tab w:val="right" w:leader="dot" w:pos="9360"/>
        </w:tabs>
        <w:spacing w:before="120" w:after="0" w:line="340" w:lineRule="exact"/>
        <w:ind w:left="720" w:right="720" w:hanging="720"/>
      </w:pPr>
      <w:r>
        <w:t xml:space="preserve">IV.</w:t>
      </w:r>
      <w:r>
        <w:t xml:space="preserve"> </w:t>
      </w:r>
      <w:r>
        <w:t xml:space="preserve">STANDARD</w:t>
      </w:r>
      <w:r>
        <w:t xml:space="preserve"> </w:t>
      </w:r>
      <w:r>
        <w:t xml:space="preserve">OF</w:t>
      </w:r>
      <w:r>
        <w:t xml:space="preserve"> </w:t>
      </w:r>
      <w:r>
        <w:t xml:space="preserve">REVIEW</w:t>
      </w:r>
      <w:r>
        <w:t xml:space="preserve">   </w:t>
      </w:r>
      <w:r>
        <w:tab/>
      </w:r>
      <w:r>
        <w:t xml:space="preserve">5</w:t>
      </w:r>
    </w:p>
    <w:p>
      <w:pPr>
        <w:keepLines/>
        <w:tabs>
          <w:tab w:val="right" w:leader="dot" w:pos="9360"/>
        </w:tabs>
        <w:spacing w:before="120" w:after="0" w:line="340" w:lineRule="exact"/>
        <w:ind w:left="720" w:right="720" w:hanging="720"/>
      </w:pPr>
      <w:r>
        <w:t xml:space="preserve">V.</w:t>
      </w:r>
      <w:r>
        <w:t xml:space="preserve"> </w:t>
      </w:r>
      <w:r>
        <w:t xml:space="preserve">DISCUSSION</w:t>
      </w:r>
      <w:r>
        <w:t xml:space="preserve">   </w:t>
      </w:r>
      <w:r>
        <w:tab/>
      </w:r>
      <w:r>
        <w:t xml:space="preserve">6</w:t>
      </w:r>
    </w:p>
    <w:p>
      <w:pPr>
        <w:keepLines/>
        <w:tabs>
          <w:tab w:val="right" w:leader="dot" w:pos="9360"/>
        </w:tabs>
        <w:spacing w:before="120" w:after="0" w:line="340" w:lineRule="exact"/>
        <w:ind w:left="720" w:right="720" w:hanging="720"/>
      </w:pPr>
      <w:r>
        <w:t xml:space="preserve">VI.</w:t>
      </w:r>
      <w:r>
        <w:t xml:space="preserve"> </w:t>
      </w:r>
      <w:r>
        <w:t xml:space="preserve">CONCLUSION</w:t>
      </w:r>
      <w:r>
        <w:t xml:space="preserve">   </w:t>
      </w:r>
      <w:r>
        <w:tab/>
      </w:r>
      <w:r>
        <w:t xml:space="preserve">9</w:t>
      </w:r>
    </w:p>
    <w:p>
      <w:pPr>
        <w:keepNext/>
        <w:keepLines/>
        <w:pageBreakBefore/>
        <w:spacing w:before="0" w:after="280" w:line="340" w:lineRule="exact"/>
        <w:ind w:left="0" w:firstLine="0"/>
        <w:jc w:val="center"/>
      </w:pPr>
      <w:r>
        <w:rPr>
          <w:b/>
          <w:bCs/>
        </w:rPr>
        <w:t xml:space="preserve">TABLE OF AUTHORITIES</w:t>
      </w:r>
    </w:p>
    <w:p>
      <w:pPr>
        <w:keepNext/>
        <w:keepLines/>
        <w:spacing w:before="360" w:after="120" w:line="340" w:lineRule="exact"/>
        <w:ind w:left="0" w:firstLine="0"/>
      </w:pPr>
      <w:r>
        <w:rPr>
          <w:b/>
          <w:bCs/>
        </w:rPr>
        <w:t xml:space="preserve">Cases</w:t>
      </w:r>
    </w:p>
    <w:p>
      <w:pPr>
        <w:keepLines/>
        <w:tabs>
          <w:tab w:val="right" w:leader="dot" w:pos="9360"/>
        </w:tabs>
        <w:spacing w:before="120" w:after="0" w:line="340" w:lineRule="exact"/>
        <w:ind w:left="576" w:right="1120" w:hanging="576"/>
      </w:pPr>
      <w:r>
        <w:rPr>
          <w:i/>
          <w:iCs/>
        </w:rPr>
        <w:t xml:space="preserve">Aalfs</w:t>
      </w:r>
      <w:r>
        <w:rPr>
          <w:i/>
          <w:iCs/>
        </w:rPr>
        <w:t xml:space="preserve"> </w:t>
      </w:r>
      <w:r>
        <w:rPr>
          <w:i/>
          <w:iCs/>
        </w:rPr>
        <w:t xml:space="preserve">v.</w:t>
      </w:r>
      <w:r>
        <w:rPr>
          <w:i/>
          <w:iCs/>
        </w:rPr>
        <w:t xml:space="preserve"> </w:t>
      </w:r>
      <w:r>
        <w:rPr>
          <w:i/>
          <w:iCs/>
        </w:rPr>
        <w:t xml:space="preserve">Wirum</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Straightline</w:t>
      </w:r>
      <w:r>
        <w:rPr>
          <w:i/>
          <w:iCs/>
        </w:rPr>
        <w:t xml:space="preserve"> </w:t>
      </w:r>
      <w:r>
        <w:rPr>
          <w:i/>
          <w:iCs/>
        </w:rPr>
        <w:t xml:space="preserve">Invs.,</w:t>
      </w:r>
      <w:r>
        <w:rPr>
          <w:i/>
          <w:iCs/>
        </w:rPr>
        <w:t xml:space="preserve"> </w:t>
      </w:r>
      <w:r>
        <w:rPr>
          <w:i/>
          <w:iCs/>
        </w:rPr>
        <w:t xml:space="preserve">Inc.)</w:t>
      </w:r>
      <w:r>
        <w:t xml:space="preserve">, </w:t>
      </w:r>
      <w:r>
        <w:t xml:space="preserve">525</w:t>
      </w:r>
      <w:r>
        <w:t xml:space="preserve"> </w:t>
      </w:r>
      <w:r>
        <w:t xml:space="preserve">F.3d</w:t>
      </w:r>
      <w:r>
        <w:t xml:space="preserve"> </w:t>
      </w:r>
      <w:r>
        <w:t xml:space="preserve">870</w:t>
      </w:r>
      <w:r>
        <w:t xml:space="preserve"> </w:t>
      </w:r>
      <w:r>
        <w:t xml:space="preserve">(9th</w:t>
      </w:r>
      <w:r>
        <w:t xml:space="preserve"> </w:t>
      </w:r>
      <w:r>
        <w:t xml:space="preserve">Cir.</w:t>
      </w:r>
      <w:r>
        <w:t xml:space="preserve"> </w:t>
      </w:r>
      <w:r>
        <w:t xml:space="preserve">2008)</w:t>
      </w:r>
      <w:r>
        <w:t xml:space="preserve">   </w:t>
      </w:r>
      <w:r>
        <w:tab/>
      </w:r>
      <w:r>
        <w:t xml:space="preserve">5</w:t>
      </w:r>
    </w:p>
    <w:p>
      <w:pPr>
        <w:keepLines/>
        <w:tabs>
          <w:tab w:val="right" w:leader="dot" w:pos="9360"/>
        </w:tabs>
        <w:spacing w:before="120" w:after="0" w:line="340" w:lineRule="exact"/>
        <w:ind w:left="576" w:right="1120" w:hanging="576"/>
      </w:pPr>
      <w:r>
        <w:rPr>
          <w:i/>
          <w:iCs/>
        </w:rPr>
        <w:t xml:space="preserve">Dela</w:t>
      </w:r>
      <w:r>
        <w:rPr>
          <w:i/>
          <w:iCs/>
        </w:rPr>
        <w:t xml:space="preserve"> </w:t>
      </w:r>
      <w:r>
        <w:rPr>
          <w:i/>
          <w:iCs/>
        </w:rPr>
        <w:t xml:space="preserve">Rosa</w:t>
      </w:r>
      <w:r>
        <w:rPr>
          <w:i/>
          <w:iCs/>
        </w:rPr>
        <w:t xml:space="preserve"> </w:t>
      </w:r>
      <w:r>
        <w:rPr>
          <w:i/>
          <w:iCs/>
        </w:rPr>
        <w:t xml:space="preserve">v.</w:t>
      </w:r>
      <w:r>
        <w:rPr>
          <w:i/>
          <w:iCs/>
        </w:rPr>
        <w:t xml:space="preserve"> </w:t>
      </w:r>
      <w:r>
        <w:rPr>
          <w:i/>
          <w:iCs/>
        </w:rPr>
        <w:t xml:space="preserve">Scottsdale</w:t>
      </w:r>
      <w:r>
        <w:rPr>
          <w:i/>
          <w:iCs/>
        </w:rPr>
        <w:t xml:space="preserve"> </w:t>
      </w:r>
      <w:r>
        <w:rPr>
          <w:i/>
          <w:iCs/>
        </w:rPr>
        <w:t xml:space="preserve">Memorial</w:t>
      </w:r>
      <w:r>
        <w:rPr>
          <w:i/>
          <w:iCs/>
        </w:rPr>
        <w:t xml:space="preserve"> </w:t>
      </w:r>
      <w:r>
        <w:rPr>
          <w:i/>
          <w:iCs/>
        </w:rPr>
        <w:t xml:space="preserve">Health</w:t>
      </w:r>
      <w:r>
        <w:rPr>
          <w:i/>
          <w:iCs/>
        </w:rPr>
        <w:t xml:space="preserve"> </w:t>
      </w:r>
      <w:r>
        <w:rPr>
          <w:i/>
          <w:iCs/>
        </w:rPr>
        <w:t xml:space="preserve">Systems,</w:t>
      </w:r>
      <w:r>
        <w:rPr>
          <w:i/>
          <w:iCs/>
        </w:rPr>
        <w:t xml:space="preserve"> </w:t>
      </w:r>
      <w:r>
        <w:rPr>
          <w:i/>
          <w:iCs/>
        </w:rPr>
        <w:t xml:space="preserve">Inc.</w:t>
      </w:r>
      <w:r>
        <w:t xml:space="preserve">, </w:t>
      </w:r>
      <w:r>
        <w:t xml:space="preserve">136</w:t>
      </w:r>
      <w:r>
        <w:t xml:space="preserve"> </w:t>
      </w:r>
      <w:r>
        <w:t xml:space="preserve">F.3d</w:t>
      </w:r>
      <w:r>
        <w:t xml:space="preserve"> </w:t>
      </w:r>
      <w:r>
        <w:t xml:space="preserve">1241</w:t>
      </w:r>
      <w:r>
        <w:t xml:space="preserve"> </w:t>
      </w:r>
      <w:r>
        <w:t xml:space="preserve">(9th</w:t>
      </w:r>
      <w:r>
        <w:t xml:space="preserve"> </w:t>
      </w:r>
      <w:r>
        <w:t xml:space="preserve">Cir.</w:t>
      </w:r>
      <w:r>
        <w:t xml:space="preserve"> </w:t>
      </w:r>
      <w:r>
        <w:t xml:space="preserve">1998)</w:t>
      </w:r>
      <w:r>
        <w:t xml:space="preserve">   </w:t>
      </w:r>
      <w:r>
        <w:tab/>
      </w:r>
      <w:r>
        <w:t xml:space="preserve">7</w:t>
      </w:r>
    </w:p>
    <w:p>
      <w:pPr>
        <w:keepLines/>
        <w:tabs>
          <w:tab w:val="right" w:leader="dot" w:pos="9360"/>
        </w:tabs>
        <w:spacing w:before="120" w:after="0" w:line="340" w:lineRule="exact"/>
        <w:ind w:left="576" w:right="1120" w:hanging="576"/>
      </w:pPr>
      <w:r>
        <w:rPr>
          <w:i/>
          <w:iCs/>
        </w:rPr>
        <w:t xml:space="preserve">Pinnacle</w:t>
      </w:r>
      <w:r>
        <w:rPr>
          <w:i/>
          <w:iCs/>
        </w:rPr>
        <w:t xml:space="preserve"> </w:t>
      </w:r>
      <w:r>
        <w:rPr>
          <w:i/>
          <w:iCs/>
        </w:rPr>
        <w:t xml:space="preserve">Rest.</w:t>
      </w:r>
      <w:r>
        <w:rPr>
          <w:i/>
          <w:iCs/>
        </w:rPr>
        <w:t xml:space="preserve"> </w:t>
      </w:r>
      <w:r>
        <w:rPr>
          <w:i/>
          <w:iCs/>
        </w:rPr>
        <w:t xml:space="preserve">at</w:t>
      </w:r>
      <w:r>
        <w:rPr>
          <w:i/>
          <w:iCs/>
        </w:rPr>
        <w:t xml:space="preserve"> </w:t>
      </w:r>
      <w:r>
        <w:rPr>
          <w:i/>
          <w:iCs/>
        </w:rPr>
        <w:t xml:space="preserve">Big</w:t>
      </w:r>
      <w:r>
        <w:rPr>
          <w:i/>
          <w:iCs/>
        </w:rPr>
        <w:t xml:space="preserve"> </w:t>
      </w:r>
      <w:r>
        <w:rPr>
          <w:i/>
          <w:iCs/>
        </w:rPr>
        <w:t xml:space="preserve">Sky,</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CH</w:t>
      </w:r>
      <w:r>
        <w:rPr>
          <w:i/>
          <w:iCs/>
        </w:rPr>
        <w:t xml:space="preserve"> </w:t>
      </w:r>
      <w:r>
        <w:rPr>
          <w:i/>
          <w:iCs/>
        </w:rPr>
        <w:t xml:space="preserve">SP</w:t>
      </w:r>
      <w:r>
        <w:rPr>
          <w:i/>
          <w:iCs/>
        </w:rPr>
        <w:t xml:space="preserve"> </w:t>
      </w:r>
      <w:r>
        <w:rPr>
          <w:i/>
          <w:iCs/>
        </w:rPr>
        <w:t xml:space="preserve">Acquisitions,</w:t>
      </w:r>
      <w:r>
        <w:rPr>
          <w:i/>
          <w:iCs/>
        </w:rPr>
        <w:t xml:space="preserve"> </w:t>
      </w:r>
      <w:r>
        <w:rPr>
          <w:i/>
          <w:iCs/>
        </w:rPr>
        <w:t xml:space="preserve">LLC</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of</w:t>
      </w:r>
      <w:r>
        <w:rPr>
          <w:i/>
          <w:iCs/>
        </w:rPr>
        <w:t xml:space="preserve"> </w:t>
      </w:r>
      <w:r>
        <w:rPr>
          <w:i/>
          <w:iCs/>
        </w:rPr>
        <w:t xml:space="preserve">Spanish</w:t>
      </w:r>
      <w:r>
        <w:rPr>
          <w:i/>
          <w:iCs/>
        </w:rPr>
        <w:t xml:space="preserve"> </w:t>
      </w:r>
      <w:r>
        <w:rPr>
          <w:i/>
          <w:iCs/>
        </w:rPr>
        <w:t xml:space="preserve">Peaks</w:t>
      </w:r>
      <w:r>
        <w:rPr>
          <w:i/>
          <w:iCs/>
        </w:rPr>
        <w:t xml:space="preserve"> </w:t>
      </w:r>
      <w:r>
        <w:rPr>
          <w:i/>
          <w:iCs/>
        </w:rPr>
        <w:t xml:space="preserve">Holdings</w:t>
      </w:r>
      <w:r>
        <w:rPr>
          <w:i/>
          <w:iCs/>
        </w:rPr>
        <w:t xml:space="preserve"> </w:t>
      </w:r>
      <w:r>
        <w:rPr>
          <w:i/>
          <w:iCs/>
        </w:rPr>
        <w:t xml:space="preserve">II,</w:t>
      </w:r>
      <w:r>
        <w:rPr>
          <w:i/>
          <w:iCs/>
        </w:rPr>
        <w:t xml:space="preserve"> </w:t>
      </w:r>
      <w:r>
        <w:rPr>
          <w:i/>
          <w:iCs/>
        </w:rPr>
        <w:t xml:space="preserve">LLC)</w:t>
      </w:r>
      <w:r>
        <w:t xml:space="preserve">, </w:t>
      </w:r>
      <w:r>
        <w:t xml:space="preserve">862</w:t>
      </w:r>
      <w:r>
        <w:t xml:space="preserve"> </w:t>
      </w:r>
      <w:r>
        <w:t xml:space="preserve">F.3d</w:t>
      </w:r>
      <w:r>
        <w:t xml:space="preserve"> </w:t>
      </w:r>
      <w:r>
        <w:t xml:space="preserve">1148</w:t>
      </w:r>
      <w:r>
        <w:t xml:space="preserve"> </w:t>
      </w:r>
      <w:r>
        <w:t xml:space="preserve">(9th</w:t>
      </w:r>
      <w:r>
        <w:t xml:space="preserve"> </w:t>
      </w:r>
      <w:r>
        <w:t xml:space="preserve">Cir.</w:t>
      </w:r>
      <w:r>
        <w:t xml:space="preserve"> </w:t>
      </w:r>
      <w:r>
        <w:t xml:space="preserve">2017)</w:t>
      </w:r>
      <w:r>
        <w:t xml:space="preserve">   </w:t>
      </w:r>
      <w:r>
        <w:tab/>
      </w:r>
      <w:r>
        <w:t xml:space="preserve">8</w:t>
      </w:r>
    </w:p>
    <w:p>
      <w:pPr>
        <w:keepLines/>
        <w:tabs>
          <w:tab w:val="right" w:leader="dot" w:pos="9360"/>
        </w:tabs>
        <w:spacing w:before="120" w:after="0" w:line="340" w:lineRule="exact"/>
        <w:ind w:left="576" w:right="1120" w:hanging="576"/>
      </w:pPr>
      <w:r>
        <w:rPr>
          <w:i/>
          <w:iCs/>
        </w:rPr>
        <w:t xml:space="preserve">Syncom</w:t>
      </w:r>
      <w:r>
        <w:rPr>
          <w:i/>
          <w:iCs/>
        </w:rPr>
        <w:t xml:space="preserve"> </w:t>
      </w:r>
      <w:r>
        <w:rPr>
          <w:i/>
          <w:iCs/>
        </w:rPr>
        <w:t xml:space="preserve">Capital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Wade</w:t>
      </w:r>
      <w:r>
        <w:t xml:space="preserve">, </w:t>
      </w:r>
      <w:r>
        <w:t xml:space="preserve">924</w:t>
      </w:r>
      <w:r>
        <w:t xml:space="preserve"> </w:t>
      </w:r>
      <w:r>
        <w:t xml:space="preserve">F.2d</w:t>
      </w:r>
      <w:r>
        <w:t xml:space="preserve"> </w:t>
      </w:r>
      <w:r>
        <w:t xml:space="preserve">167</w:t>
      </w:r>
      <w:r>
        <w:t xml:space="preserve"> </w:t>
      </w:r>
      <w:r>
        <w:t xml:space="preserve">(9th</w:t>
      </w:r>
      <w:r>
        <w:t xml:space="preserve"> </w:t>
      </w:r>
      <w:r>
        <w:t xml:space="preserve">Cir.</w:t>
      </w:r>
      <w:r>
        <w:t xml:space="preserve"> </w:t>
      </w:r>
      <w:r>
        <w:t xml:space="preserve">1991)</w:t>
      </w:r>
      <w:r>
        <w:t xml:space="preserve">   </w:t>
      </w:r>
      <w:r>
        <w:tab/>
      </w:r>
      <w:r>
        <w:t xml:space="preserve">7</w:t>
      </w:r>
    </w:p>
    <w:p>
      <w:pPr>
        <w:keepLines/>
        <w:tabs>
          <w:tab w:val="right" w:leader="dot" w:pos="9360"/>
        </w:tabs>
        <w:spacing w:before="120" w:after="0" w:line="340"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Hinkson</w:t>
      </w:r>
      <w:r>
        <w:t xml:space="preserve">, </w:t>
      </w:r>
      <w:r>
        <w:t xml:space="preserve">585</w:t>
      </w:r>
      <w:r>
        <w:t xml:space="preserve"> </w:t>
      </w:r>
      <w:r>
        <w:t xml:space="preserve">F.3d</w:t>
      </w:r>
      <w:r>
        <w:t xml:space="preserve"> </w:t>
      </w:r>
      <w:r>
        <w:t xml:space="preserve">1247</w:t>
      </w:r>
      <w:r>
        <w:t xml:space="preserve"> </w:t>
      </w:r>
      <w:r>
        <w:t xml:space="preserve">(9th</w:t>
      </w:r>
      <w:r>
        <w:t xml:space="preserve"> </w:t>
      </w:r>
      <w:r>
        <w:t xml:space="preserve">Cir.</w:t>
      </w:r>
      <w:r>
        <w:t xml:space="preserve"> </w:t>
      </w:r>
      <w:r>
        <w:t xml:space="preserve">2009)</w:t>
      </w:r>
      <w:r>
        <w:t xml:space="preserve">   </w:t>
      </w:r>
      <w:r>
        <w:tab/>
      </w:r>
      <w:r>
        <w:t xml:space="preserve">6</w:t>
      </w:r>
    </w:p>
    <w:p>
      <w:pPr>
        <w:keepNext/>
        <w:keepLines/>
        <w:spacing w:before="360" w:after="120" w:line="340" w:lineRule="exact"/>
        <w:ind w:left="0" w:firstLine="0"/>
      </w:pPr>
      <w:r>
        <w:rPr>
          <w:b/>
          <w:bCs/>
        </w:rPr>
        <w:t xml:space="preserve">Statutes</w:t>
      </w:r>
    </w:p>
    <w:p>
      <w:pPr>
        <w:keepLines/>
        <w:tabs>
          <w:tab w:val="right" w:leader="dot" w:pos="9360"/>
        </w:tabs>
        <w:spacing w:before="120" w:after="0" w:line="340" w:lineRule="exact"/>
        <w:ind w:left="576" w:right="1120" w:hanging="576"/>
      </w:pPr>
      <w:r>
        <w:t xml:space="preserve">28</w:t>
      </w:r>
      <w:r>
        <w:t xml:space="preserve"> </w:t>
      </w:r>
      <w:r>
        <w:t xml:space="preserve">U.S.C.</w:t>
      </w:r>
      <w:r>
        <w:t xml:space="preserve"> </w:t>
      </w:r>
      <w:r>
        <w:t xml:space="preserve">§</w:t>
      </w:r>
      <w:r>
        <w:t xml:space="preserve"> </w:t>
      </w:r>
      <w:r>
        <w:t xml:space="preserve">157</w:t>
      </w:r>
      <w:r>
        <w:t xml:space="preserve">   </w:t>
      </w:r>
      <w:r>
        <w:tab/>
      </w:r>
      <w:r>
        <w:t xml:space="preserve">1</w:t>
      </w:r>
    </w:p>
    <w:p>
      <w:pPr>
        <w:keepLines/>
        <w:tabs>
          <w:tab w:val="right" w:leader="dot" w:pos="9360"/>
        </w:tabs>
        <w:spacing w:before="120" w:after="0" w:line="340" w:lineRule="exact"/>
        <w:ind w:left="576" w:right="1120" w:hanging="576"/>
      </w:pPr>
      <w:r>
        <w:t xml:space="preserve">28</w:t>
      </w:r>
      <w:r>
        <w:t xml:space="preserve"> </w:t>
      </w:r>
      <w:r>
        <w:t xml:space="preserve">U.S.C.</w:t>
      </w:r>
      <w:r>
        <w:t xml:space="preserve"> </w:t>
      </w:r>
      <w:r>
        <w:t xml:space="preserve">§</w:t>
      </w:r>
      <w:r>
        <w:t xml:space="preserve"> </w:t>
      </w:r>
      <w:r>
        <w:t xml:space="preserve">1334</w:t>
      </w:r>
      <w:r>
        <w:t xml:space="preserve">   </w:t>
      </w:r>
      <w:r>
        <w:tab/>
      </w:r>
      <w:r>
        <w:t xml:space="preserve">1</w:t>
      </w:r>
    </w:p>
    <w:p>
      <w:pPr>
        <w:keepNext/>
        <w:keepLines/>
        <w:spacing w:before="360" w:after="120" w:line="340" w:lineRule="exact"/>
        <w:ind w:left="0" w:firstLine="0"/>
      </w:pPr>
      <w:r>
        <w:rPr>
          <w:b/>
          <w:bCs/>
        </w:rPr>
        <w:t xml:space="preserve">Rules</w:t>
      </w:r>
    </w:p>
    <w:p>
      <w:pPr>
        <w:keepLines/>
        <w:tabs>
          <w:tab w:val="right" w:leader="dot" w:pos="9360"/>
        </w:tabs>
        <w:spacing w:before="120" w:after="0" w:line="340" w:lineRule="exact"/>
        <w:ind w:left="576" w:right="1120" w:hanging="576"/>
      </w:pPr>
      <w:r>
        <w:t xml:space="preserve">B.A.P.</w:t>
      </w:r>
      <w:r>
        <w:t xml:space="preserve"> </w:t>
      </w:r>
      <w:r>
        <w:t xml:space="preserve">9th</w:t>
      </w:r>
      <w:r>
        <w:t xml:space="preserve"> </w:t>
      </w:r>
      <w:r>
        <w:t xml:space="preserve">Cir.</w:t>
      </w:r>
      <w:r>
        <w:t xml:space="preserve"> </w:t>
      </w:r>
      <w:r>
        <w:t xml:space="preserve">R.</w:t>
      </w:r>
      <w:r>
        <w:t xml:space="preserve"> </w:t>
      </w:r>
      <w:r>
        <w:t xml:space="preserve">8018(b)</w:t>
        <w:noBreakHyphen/>
        <w:t xml:space="preserve">1</w:t>
      </w:r>
      <w:r>
        <w:t xml:space="preserve">   </w:t>
      </w:r>
      <w:r>
        <w:tab/>
      </w:r>
      <w:r>
        <w:t xml:space="preserve">7</w:t>
      </w:r>
    </w:p>
    <w:p>
      <w:pPr>
        <w:keepLines/>
        <w:tabs>
          <w:tab w:val="right" w:leader="dot" w:pos="9360"/>
        </w:tabs>
        <w:spacing w:before="120" w:after="0" w:line="340" w:lineRule="exact"/>
        <w:ind w:left="576" w:right="1120" w:hanging="576"/>
      </w:pPr>
      <w:r>
        <w:t xml:space="preserve">Fed.</w:t>
      </w:r>
      <w:r>
        <w:t xml:space="preserve"> </w:t>
      </w:r>
      <w:r>
        <w:t xml:space="preserve">R.</w:t>
      </w:r>
      <w:r>
        <w:t xml:space="preserve"> </w:t>
      </w:r>
      <w:r>
        <w:t xml:space="preserve">App.</w:t>
      </w:r>
      <w:r>
        <w:t xml:space="preserve"> </w:t>
      </w:r>
      <w:r>
        <w:t xml:space="preserve">P.</w:t>
      </w:r>
      <w:r>
        <w:t xml:space="preserve"> </w:t>
      </w:r>
      <w:r>
        <w:t xml:space="preserve">10(b)⁠(2)</w:t>
      </w:r>
      <w:r>
        <w:t xml:space="preserve">   </w:t>
      </w:r>
      <w:r>
        <w:tab/>
      </w:r>
      <w:r>
        <w:t xml:space="preserve">7</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FirstParagraph"/>
      </w:pPr>
      <w:r>
        <w:t xml:space="preserve">Appellee, Bradley D. Sharp, Chapter 11 Trustee (the</w:t>
      </w:r>
      <w:r>
        <w:t xml:space="preserve"> </w:t>
      </w:r>
      <w:r>
        <w:t xml:space="preserve">“Trustee”</w:t>
      </w:r>
      <w:r>
        <w:t xml:space="preserve"> </w:t>
      </w:r>
      <w:r>
        <w:t xml:space="preserve">or the</w:t>
      </w:r>
      <w:r>
        <w:t xml:space="preserve"> </w:t>
      </w:r>
      <w:r>
        <w:t xml:space="preserve">“Appellee”</w:t>
      </w:r>
      <w:r>
        <w:t xml:space="preserve">) of the bankruptcy estate of Leslie Klein (the</w:t>
      </w:r>
      <w:r>
        <w:t xml:space="preserve"> </w:t>
      </w:r>
      <w:r>
        <w:t xml:space="preserve">“Debtor”</w:t>
      </w:r>
      <w:r>
        <w:t xml:space="preserve">), submits his brief (the</w:t>
      </w:r>
      <w:r>
        <w:t xml:space="preserve"> </w:t>
      </w:r>
      <w:r>
        <w:t xml:space="preserve">“Answering Brief”</w:t>
      </w:r>
      <w:r>
        <w:t xml:space="preserve">) in response to the Appellants’ brief [B.A.P. Docket No. 6] (the</w:t>
      </w:r>
      <w:r>
        <w:t xml:space="preserve"> </w:t>
      </w:r>
      <w:r>
        <w:t xml:space="preserve">“Opening Brief”</w:t>
      </w:r>
      <w:r>
        <w:t xml:space="preserve">) and represents as follows:</w:t>
      </w:r>
    </w:p>
    <w:p>
      <w:pPr>
        <w:pStyle w:val="Heading1"/>
        <w:keepNext/>
        <w:keepLines/>
        <w:spacing w:before="480" w:after="280" w:line="340" w:lineRule="exact"/>
        <w:ind w:left="0" w:firstLine="0"/>
        <w:jc w:val="center"/>
      </w:pPr>
      <w:r>
        <w:rPr>
          <w:b/>
          <w:bCs/>
          <w:caps w:val="0"/>
        </w:rPr>
        <w:t xml:space="preserve">I.</w:t>
      </w:r>
      <w:r>
        <w:rPr>
          <w:b/>
          <w:bCs/>
          <w:caps w:val="0"/>
        </w:rPr>
        <w:t xml:space="preserve"> </w:t>
      </w:r>
      <w:r>
        <w:rPr>
          <w:b/>
          <w:bCs/>
          <w:caps w:val="0"/>
        </w:rPr>
        <w:t xml:space="preserve">JURISDICTIONAL</w:t>
      </w:r>
      <w:r>
        <w:rPr>
          <w:b/>
          <w:bCs/>
          <w:caps w:val="0"/>
        </w:rPr>
        <w:t xml:space="preserve"> </w:t>
      </w:r>
      <w:r>
        <w:rPr>
          <w:b/>
          <w:bCs/>
          <w:caps w:val="0"/>
        </w:rPr>
        <w:t xml:space="preserve">STATEMENT</w:t>
      </w:r>
    </w:p>
    <w:p>
      <w:pPr>
        <w:pStyle w:val="BodyText"/>
      </w:pPr>
      <w:r>
        <w:t xml:space="preserve">This is an appeal of the</w:t>
      </w:r>
      <w:r>
        <w:t xml:space="preserve"> </w:t>
      </w:r>
      <w:r>
        <w:rPr>
          <w:i/>
          <w:iCs/>
        </w:rPr>
        <w:t xml:space="preserve">Order Granting Motion and Approving Sale of Estate’s Interest in Suite 1323 of the Leonardo Plaza Hotel, Ha-Rav, Avida St 1, Jerusalem, 9426801, Israel</w:t>
      </w:r>
      <w:r>
        <w:t xml:space="preserve"> </w:t>
      </w:r>
      <w:r>
        <w:t xml:space="preserve">(ER 5</w:t>
      </w:r>
      <w:r>
        <w:noBreakHyphen/>
      </w:r>
      <w:r>
        <w:t xml:space="preserve">7) (</w:t>
      </w:r>
      <w:r>
        <w:t xml:space="preserve">“Order”</w:t>
      </w:r>
      <w:r>
        <w:t xml:space="preserve">) of the United States Bankruptcy Court for the Central District of California, Los Angeles Division (</w:t>
      </w:r>
      <w:r>
        <w:t xml:space="preserve">“Bankruptcy Court”</w:t>
      </w:r>
      <w:r>
        <w:t xml:space="preserve">), dated February 13, 2025, granting the Trustee’s</w:t>
      </w:r>
      <w:r>
        <w:t xml:space="preserve"> </w:t>
      </w:r>
      <w:r>
        <w:rPr>
          <w:i/>
          <w:iCs/>
        </w:rPr>
        <w:t xml:space="preserve">Motion for Order Approving Sale of Estate’s Interest in Suite 1323 of the Leonardo Plaza Hotel, Ha-Rav Avida St 1 Jerusalem, 9426801, Israel</w:t>
      </w:r>
      <w:r>
        <w:t xml:space="preserve"> </w:t>
      </w:r>
      <w:r>
        <w:t xml:space="preserve">(</w:t>
      </w:r>
      <w:r>
        <w:t xml:space="preserve">“Motion”</w:t>
      </w:r>
      <w:r>
        <w:t xml:space="preserve">). (ER 8</w:t>
      </w:r>
      <w:r>
        <w:noBreakHyphen/>
      </w:r>
      <w:r>
        <w:t xml:space="preserve">35). The Bankruptcy Court had jurisdiction to enter the Order, pursuant to 28 U.S.C. § 1334, and such matter constitutes a core proceeding, pursuant to 28 U.S.C. § 157 (b)⁠(2)⁠(A) and (M). On February 27, 2025, Appellants filed a notice of appeal of the Order. On March 27, 2025, Appellants filed their statement of issues, designation of the record, and the applicable transcripts. This Panel has jurisdiction pursuant to Federal Rule of Bankruptcy Procedure 8002(a)⁠(1).</w:t>
      </w:r>
    </w:p>
    <w:p>
      <w:pPr>
        <w:pStyle w:val="Heading1"/>
        <w:keepNext/>
        <w:keepLines/>
        <w:spacing w:before="480" w:after="280" w:line="340" w:lineRule="exact"/>
        <w:ind w:left="0" w:firstLine="0"/>
        <w:jc w:val="center"/>
      </w:pPr>
      <w:r>
        <w:rPr>
          <w:b/>
          <w:bCs/>
          <w:caps w:val="0"/>
        </w:rPr>
        <w:t xml:space="preserve">II.</w:t>
      </w:r>
      <w:r>
        <w:rPr>
          <w:b/>
          <w:bCs/>
          <w:caps w:val="0"/>
        </w:rPr>
        <w:t xml:space="preserve"> </w:t>
      </w:r>
      <w:r>
        <w:rPr>
          <w:b/>
          <w:bCs/>
          <w:caps w:val="0"/>
        </w:rPr>
        <w:t xml:space="preserve">SUMMARY</w:t>
      </w:r>
      <w:r>
        <w:rPr>
          <w:b/>
          <w:bCs/>
          <w:caps w:val="0"/>
        </w:rPr>
        <w:t xml:space="preserve"> </w:t>
      </w:r>
      <w:r>
        <w:rPr>
          <w:b/>
          <w:bCs/>
          <w:caps w:val="0"/>
        </w:rPr>
        <w:t xml:space="preserve">OF</w:t>
      </w:r>
      <w:r>
        <w:rPr>
          <w:b/>
          <w:bCs/>
          <w:caps w:val="0"/>
        </w:rPr>
        <w:t xml:space="preserve"> </w:t>
      </w:r>
      <w:r>
        <w:rPr>
          <w:b/>
          <w:bCs/>
          <w:caps w:val="0"/>
        </w:rPr>
        <w:t xml:space="preserve">ARGUMENT</w:t>
      </w:r>
    </w:p>
    <w:p>
      <w:pPr>
        <w:pStyle w:val="BodyText"/>
      </w:pPr>
      <w:r>
        <w:t xml:space="preserve">The Debtor-Appellee owns multiple properties in Israel, including Suite 1323 in the Leonardo Plaza Hotel, located in Jerusalem (the</w:t>
      </w:r>
      <w:r>
        <w:t xml:space="preserve"> </w:t>
      </w:r>
      <w:r>
        <w:t xml:space="preserve">“Property”</w:t>
      </w:r>
      <w:r>
        <w:t xml:space="preserve">). The official Israeli property registry reflects that the Debtor, Leslie Klein, is the sole owner of the Property.</w:t>
      </w:r>
    </w:p>
    <w:p>
      <w:pPr>
        <w:pStyle w:val="BodyText"/>
      </w:pPr>
      <w:r>
        <w:t xml:space="preserve">The Trustee commenced a proceeding in Israel to take control of and administer the Debtor’s Israeli assets, including the Property. In turn, the Israeli Court designated a trustee to administer the Debtor’s assets located in Israel (the</w:t>
      </w:r>
      <w:r>
        <w:t xml:space="preserve"> </w:t>
      </w:r>
      <w:r>
        <w:t xml:space="preserve">“Israeli Trustee”</w:t>
      </w:r>
      <w:r>
        <w:t xml:space="preserve">). The Israeli Trustee duly marketed the Property to maximize its value and located a suitable buyer. The Israeli Trustee presented the sale transaction to the Israeli court, which approved it in due course. Out of an abundance of caution, the Trustee concurrently filed a motion before the Bankruptcy Court seeking authorization to proceed with the sale approved by the Israeli court. The Bankruptcy Court entered the Order approving the Trustee’s motion.</w:t>
      </w:r>
    </w:p>
    <w:p>
      <w:pPr>
        <w:pStyle w:val="BodyText"/>
      </w:pPr>
      <w:r>
        <w:t xml:space="preserve">While the Debtor never objected to the sale process in Israel, he did object to the Trustee’s sale motion before Bankruptcy Court. The Opening Brief does not contain a single citation to the record on appeal. Nevertheless, the Debtor alleges that the Property is owned by a sub-trust of his living-trust that was created upon the death of his late spouse in December 2012 but he fails to cite to any provision in the sub-trust that evidences its ownership of the Property. The Debtor fails to make such citation because the sub-trust does not reflect anywhere therein that it owns the Property. Plus, the Debtor did not cite to or provide any other legally enforceable documentation reflecting that the Property is owned by anyone other than the Debtor.</w:t>
      </w:r>
    </w:p>
    <w:p>
      <w:pPr>
        <w:pStyle w:val="BodyText"/>
      </w:pPr>
      <w:r>
        <w:t xml:space="preserve">Importantly, the Debtor never contested the Trustee’s business justification for the sale of the Property. As a result, the Bankruptcy Court found that the sale was well supported and satisfied the standard for the sale of estate assets under section 363(b) of the Bankruptcy Code and thereafter entered the Order approving the Motion. For the reasons stated herein, the Bankruptcy Court’s Order should be affirmed.</w:t>
      </w:r>
    </w:p>
    <w:p>
      <w:pPr>
        <w:pStyle w:val="Heading1"/>
        <w:keepNext/>
        <w:keepLines/>
        <w:spacing w:before="480" w:after="280" w:line="340" w:lineRule="exact"/>
        <w:ind w:left="0" w:firstLine="0"/>
        <w:jc w:val="center"/>
      </w:pPr>
      <w:r>
        <w:rPr>
          <w:b/>
          <w:bCs/>
          <w:caps w:val="0"/>
        </w:rPr>
        <w:t xml:space="preserve">III.</w:t>
      </w:r>
      <w:r>
        <w:rPr>
          <w:b/>
          <w:bCs/>
          <w:caps w:val="0"/>
        </w:rPr>
        <w:t xml:space="preserve"> </w:t>
      </w:r>
      <w:r>
        <w:rPr>
          <w:b/>
          <w:bCs/>
          <w:caps w:val="0"/>
        </w:rPr>
        <w:t xml:space="preserve">STATEMENT</w:t>
      </w:r>
      <w:r>
        <w:rPr>
          <w:b/>
          <w:bCs/>
          <w:caps w:val="0"/>
        </w:rPr>
        <w:t xml:space="preserve"> </w:t>
      </w:r>
      <w:r>
        <w:rPr>
          <w:b/>
          <w:bCs/>
          <w:caps w:val="0"/>
        </w:rPr>
        <w:t xml:space="preserve">OF</w:t>
      </w:r>
      <w:r>
        <w:rPr>
          <w:b/>
          <w:bCs/>
          <w:caps w:val="0"/>
        </w:rPr>
        <w:t xml:space="preserve"> </w:t>
      </w:r>
      <w:r>
        <w:rPr>
          <w:b/>
          <w:bCs/>
          <w:caps w:val="0"/>
        </w:rPr>
        <w:t xml:space="preserve">THE</w:t>
      </w:r>
      <w:r>
        <w:rPr>
          <w:b/>
          <w:bCs/>
          <w:caps w:val="0"/>
        </w:rPr>
        <w:t xml:space="preserve"> </w:t>
      </w:r>
      <w:r>
        <w:rPr>
          <w:b/>
          <w:bCs/>
          <w:caps w:val="0"/>
        </w:rPr>
        <w:t xml:space="preserve">CASE</w:t>
      </w:r>
    </w:p>
    <w:p>
      <w:pPr>
        <w:pStyle w:val="Heading2"/>
        <w:keepNext/>
        <w:keepLines/>
        <w:spacing w:before="400" w:after="240" w:line="340" w:lineRule="exact"/>
        <w:ind w:left="720" w:hanging="720"/>
      </w:pPr>
      <w:r>
        <w:rPr>
          <w:b/>
          <w:bCs/>
        </w:rPr>
        <w:t xml:space="preserve">1.</w:t>
      </w:r>
      <w:r>
        <w:rPr>
          <w:b/>
          <w:bCs/>
        </w:rPr>
        <w:t xml:space="preserve"> </w:t>
      </w:r>
      <w:r>
        <w:rPr>
          <w:b/>
          <w:bCs/>
        </w:rPr>
        <w:t xml:space="preserve">The</w:t>
      </w:r>
      <w:r>
        <w:rPr>
          <w:b/>
          <w:bCs/>
        </w:rPr>
        <w:t xml:space="preserve"> </w:t>
      </w:r>
      <w:r>
        <w:rPr>
          <w:b/>
          <w:bCs/>
        </w:rPr>
        <w:t xml:space="preserve">Israeli</w:t>
      </w:r>
      <w:r>
        <w:rPr>
          <w:b/>
          <w:bCs/>
        </w:rPr>
        <w:t xml:space="preserve"> </w:t>
      </w:r>
      <w:r>
        <w:rPr>
          <w:b/>
          <w:bCs/>
        </w:rPr>
        <w:t xml:space="preserve">Proceeding</w:t>
      </w:r>
    </w:p>
    <w:p>
      <w:pPr>
        <w:pStyle w:val="BodyText"/>
      </w:pPr>
      <w:r>
        <w:t xml:space="preserve">On January 25, 2024, the Trustee commenced a proceeding in Jerusalem Magistrates Court (the</w:t>
      </w:r>
      <w:r>
        <w:t xml:space="preserve"> </w:t>
      </w:r>
      <w:r>
        <w:t xml:space="preserve">“Israeli Court”</w:t>
      </w:r>
      <w:r>
        <w:t xml:space="preserve">) for recognition of the Debtor’s above-captioned bankruptcy case as a foreign main proceeding under Israel’s Insolvency and Economic Rehabilitation Law, 2018. (ER 12). The Israeli Court subsequently recognized the Debtor’s bankruptcy case as a foreign main proceeding and appointed an Israeli trustee with respect to the Debtor and his Israeli affairs (the</w:t>
      </w:r>
      <w:r>
        <w:t xml:space="preserve"> </w:t>
      </w:r>
      <w:r>
        <w:t xml:space="preserve">“Israeli Trustee”</w:t>
      </w:r>
      <w:r>
        <w:t xml:space="preserve">), for the purpose of,</w:t>
      </w:r>
      <w:r>
        <w:t xml:space="preserve"> </w:t>
      </w:r>
      <w:r>
        <w:rPr>
          <w:i/>
          <w:iCs/>
        </w:rPr>
        <w:t xml:space="preserve">inter alia</w:t>
      </w:r>
      <w:r>
        <w:t xml:space="preserve">, liquidation of the property owned by the Debtor in Israel. (ER12).</w:t>
      </w:r>
    </w:p>
    <w:p>
      <w:pPr>
        <w:pStyle w:val="Heading2"/>
        <w:keepNext/>
        <w:keepLines/>
        <w:spacing w:before="400" w:after="240" w:line="340" w:lineRule="exact"/>
        <w:ind w:left="720" w:hanging="720"/>
      </w:pPr>
      <w:r>
        <w:rPr>
          <w:b/>
          <w:bCs/>
        </w:rPr>
        <w:t xml:space="preserve">2.</w:t>
      </w:r>
      <w:r>
        <w:rPr>
          <w:b/>
          <w:bCs/>
        </w:rPr>
        <w:t xml:space="preserve"> </w:t>
      </w:r>
      <w:r>
        <w:rPr>
          <w:b/>
          <w:bCs/>
        </w:rPr>
        <w:t xml:space="preserve">Suite</w:t>
      </w:r>
      <w:r>
        <w:rPr>
          <w:b/>
          <w:bCs/>
        </w:rPr>
        <w:t xml:space="preserve"> </w:t>
      </w:r>
      <w:r>
        <w:rPr>
          <w:b/>
          <w:bCs/>
        </w:rPr>
        <w:t xml:space="preserve">1323</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Leonardo</w:t>
      </w:r>
      <w:r>
        <w:rPr>
          <w:b/>
          <w:bCs/>
        </w:rPr>
        <w:t xml:space="preserve"> </w:t>
      </w:r>
      <w:r>
        <w:rPr>
          <w:b/>
          <w:bCs/>
        </w:rPr>
        <w:t xml:space="preserve">Plaza</w:t>
      </w:r>
      <w:r>
        <w:rPr>
          <w:b/>
          <w:bCs/>
        </w:rPr>
        <w:t xml:space="preserve"> </w:t>
      </w:r>
      <w:r>
        <w:rPr>
          <w:b/>
          <w:bCs/>
        </w:rPr>
        <w:t xml:space="preserve">Hotel</w:t>
      </w:r>
    </w:p>
    <w:p>
      <w:pPr>
        <w:pStyle w:val="BodyText"/>
      </w:pPr>
      <w:r>
        <w:t xml:space="preserve">The title registry in Israel reflects that the property located at Suite 1323 of The Leonardo Plaza, Ha-Rav Avida St 1, Jerusalem, 9426801, Israel (the</w:t>
      </w:r>
      <w:r>
        <w:t xml:space="preserve"> </w:t>
      </w:r>
      <w:r>
        <w:t xml:space="preserve">“Property”</w:t>
      </w:r>
      <w:r>
        <w:t xml:space="preserve">) is owned by the Debtor, Leslie Klein. (ER 28</w:t>
      </w:r>
      <w:r>
        <w:noBreakHyphen/>
      </w:r>
      <w:r>
        <w:t xml:space="preserve">29). The agreement pursuant to which the Property was last sold also reflects that the Property was purchased by the Debtor, Leslie Klein. (ER 21</w:t>
      </w:r>
      <w:r>
        <w:noBreakHyphen/>
      </w:r>
      <w:r>
        <w:t xml:space="preserve">27).</w:t>
      </w:r>
    </w:p>
    <w:p>
      <w:pPr>
        <w:pStyle w:val="Heading2"/>
        <w:keepNext/>
        <w:keepLines/>
        <w:spacing w:before="400" w:after="240" w:line="340" w:lineRule="exact"/>
        <w:ind w:left="720" w:hanging="720"/>
      </w:pPr>
      <w:r>
        <w:rPr>
          <w:b/>
          <w:bCs/>
        </w:rPr>
        <w:t xml:space="preserve">3.</w:t>
      </w:r>
      <w:r>
        <w:rPr>
          <w:b/>
          <w:bCs/>
        </w:rPr>
        <w:t xml:space="preserve"> </w:t>
      </w:r>
      <w:r>
        <w:rPr>
          <w:b/>
          <w:bCs/>
        </w:rPr>
        <w:t xml:space="preserve">The</w:t>
      </w:r>
      <w:r>
        <w:rPr>
          <w:b/>
          <w:bCs/>
        </w:rPr>
        <w:t xml:space="preserve"> </w:t>
      </w:r>
      <w:r>
        <w:rPr>
          <w:b/>
          <w:bCs/>
        </w:rPr>
        <w:t xml:space="preserve">Trustee’s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Sell</w:t>
      </w:r>
      <w:r>
        <w:rPr>
          <w:b/>
          <w:bCs/>
        </w:rPr>
        <w:t xml:space="preserve"> </w:t>
      </w:r>
      <w:r>
        <w:rPr>
          <w:b/>
          <w:bCs/>
        </w:rPr>
        <w:t xml:space="preserve">the</w:t>
      </w:r>
      <w:r>
        <w:rPr>
          <w:b/>
          <w:bCs/>
        </w:rPr>
        <w:t xml:space="preserve"> </w:t>
      </w:r>
      <w:r>
        <w:rPr>
          <w:b/>
          <w:bCs/>
        </w:rPr>
        <w:t xml:space="preserve">Property</w:t>
      </w:r>
    </w:p>
    <w:p>
      <w:pPr>
        <w:pStyle w:val="BodyText"/>
      </w:pPr>
      <w:r>
        <w:t xml:space="preserve">On January 22, 2025, the Trustee filed the Motion seeking the Bankruptcy Court’s authorization to sell the Property pursuant to the process governed by the Israeli Court. (ER 8</w:t>
      </w:r>
      <w:r>
        <w:noBreakHyphen/>
      </w:r>
      <w:r>
        <w:t xml:space="preserve">31).</w:t>
      </w:r>
    </w:p>
    <w:p>
      <w:pPr>
        <w:pStyle w:val="Heading2"/>
        <w:keepNext/>
        <w:keepLines/>
        <w:spacing w:before="400" w:after="240" w:line="340" w:lineRule="exact"/>
        <w:ind w:left="720" w:hanging="720"/>
      </w:pPr>
      <w:r>
        <w:rPr>
          <w:b/>
          <w:bCs/>
        </w:rPr>
        <w:t xml:space="preserve">4.</w:t>
      </w:r>
      <w:r>
        <w:rPr>
          <w:b/>
          <w:bCs/>
        </w:rPr>
        <w:t xml:space="preserve"> </w:t>
      </w:r>
      <w:r>
        <w:rPr>
          <w:b/>
          <w:bCs/>
        </w:rPr>
        <w:t xml:space="preserve">The</w:t>
      </w:r>
      <w:r>
        <w:rPr>
          <w:b/>
          <w:bCs/>
        </w:rPr>
        <w:t xml:space="preserve"> </w:t>
      </w:r>
      <w:r>
        <w:rPr>
          <w:b/>
          <w:bCs/>
        </w:rPr>
        <w:t xml:space="preserve">Opposition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Sell</w:t>
      </w:r>
      <w:r>
        <w:rPr>
          <w:b/>
          <w:bCs/>
        </w:rPr>
        <w:t xml:space="preserve"> </w:t>
      </w:r>
      <w:r>
        <w:rPr>
          <w:b/>
          <w:bCs/>
        </w:rPr>
        <w:t xml:space="preserve">the</w:t>
      </w:r>
      <w:r>
        <w:rPr>
          <w:b/>
          <w:bCs/>
        </w:rPr>
        <w:t xml:space="preserve"> </w:t>
      </w:r>
      <w:r>
        <w:rPr>
          <w:b/>
          <w:bCs/>
        </w:rPr>
        <w:t xml:space="preserve">Property</w:t>
      </w:r>
    </w:p>
    <w:p>
      <w:pPr>
        <w:pStyle w:val="BodyText"/>
      </w:pPr>
      <w:r>
        <w:t xml:space="preserve">On January 29, 2025, Appellants filed their opposition to the Motion. (ER 36</w:t>
      </w:r>
      <w:r>
        <w:noBreakHyphen/>
      </w:r>
      <w:r>
        <w:t xml:space="preserve">89). Appellants asserted without any proof that as of the petition date of the Debtor’s bankruptcy case that the Property was owned by a certain</w:t>
      </w:r>
      <w:r>
        <w:t xml:space="preserve"> </w:t>
      </w:r>
      <w:r>
        <w:t xml:space="preserve">“Marital Deduction Trust,”</w:t>
      </w:r>
      <w:r>
        <w:t xml:space="preserve"> </w:t>
      </w:r>
      <w:r>
        <w:t xml:space="preserve">which is an alleged sub-trust that was purportedly formed upon the death of the Debtor’s former spouse pursuant to the Second Amended Klein Living Trust (the</w:t>
      </w:r>
      <w:r>
        <w:t xml:space="preserve"> </w:t>
      </w:r>
      <w:r>
        <w:t xml:space="preserve">“Klein Living Trust”</w:t>
      </w:r>
      <w:r>
        <w:t xml:space="preserve">). (ER 37 and 45</w:t>
      </w:r>
      <w:r>
        <w:noBreakHyphen/>
      </w:r>
      <w:r>
        <w:t xml:space="preserve">71).</w:t>
      </w:r>
    </w:p>
    <w:p>
      <w:pPr>
        <w:pStyle w:val="BodyText"/>
      </w:pPr>
      <w:r>
        <w:t xml:space="preserve">There is nothing in the Klein Living Trust, or the parts of such trust known as the</w:t>
      </w:r>
      <w:r>
        <w:t xml:space="preserve"> </w:t>
      </w:r>
      <w:r>
        <w:t xml:space="preserve">“Marital Deduction Trust,”</w:t>
      </w:r>
      <w:r>
        <w:t xml:space="preserve"> </w:t>
      </w:r>
      <w:r>
        <w:t xml:space="preserve">that reflect the Property is owned by the Marital Deduction Trust. (ER 45</w:t>
      </w:r>
      <w:r>
        <w:noBreakHyphen/>
      </w:r>
      <w:r>
        <w:t xml:space="preserve">71). While Appellants filed with the Bankruptcy Court certain property schedules purporting to show that Property is owned by the Marital Deduction Trust (ER 72</w:t>
      </w:r>
      <w:r>
        <w:noBreakHyphen/>
      </w:r>
      <w:r>
        <w:t xml:space="preserve">85), nothing in those schedules demonstrate that they are part of the Klein Living Trust, the Marital Deduction Trust, when they were created, or have any legal efficacy regarding the ownership of the Property.</w:t>
      </w:r>
    </w:p>
    <w:p>
      <w:pPr>
        <w:pStyle w:val="Heading2"/>
        <w:keepNext/>
        <w:keepLines/>
        <w:spacing w:before="400" w:after="240" w:line="340" w:lineRule="exact"/>
        <w:ind w:left="720" w:hanging="720"/>
      </w:pPr>
      <w:r>
        <w:rPr>
          <w:b/>
          <w:bCs/>
        </w:rPr>
        <w:t xml:space="preserve">5.</w:t>
      </w:r>
      <w:r>
        <w:rPr>
          <w:b/>
          <w:bCs/>
        </w:rPr>
        <w:t xml:space="preserve"> </w:t>
      </w:r>
      <w:r>
        <w:rPr>
          <w:b/>
          <w:bCs/>
        </w:rPr>
        <w:t xml:space="preserve">The</w:t>
      </w:r>
      <w:r>
        <w:rPr>
          <w:b/>
          <w:bCs/>
        </w:rPr>
        <w:t xml:space="preserve"> </w:t>
      </w:r>
      <w:r>
        <w:rPr>
          <w:b/>
          <w:bCs/>
        </w:rPr>
        <w:t xml:space="preserve">Bankruptcy</w:t>
      </w:r>
      <w:r>
        <w:rPr>
          <w:b/>
          <w:bCs/>
        </w:rPr>
        <w:t xml:space="preserve"> </w:t>
      </w:r>
      <w:r>
        <w:rPr>
          <w:b/>
          <w:bCs/>
        </w:rPr>
        <w:t xml:space="preserve">Court’s</w:t>
      </w:r>
      <w:r>
        <w:rPr>
          <w:b/>
          <w:bCs/>
        </w:rPr>
        <w:t xml:space="preserve"> </w:t>
      </w:r>
      <w:r>
        <w:rPr>
          <w:b/>
          <w:bCs/>
        </w:rPr>
        <w:t xml:space="preserve">Approval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Motion</w:t>
      </w:r>
    </w:p>
    <w:p>
      <w:pPr>
        <w:pStyle w:val="BodyText"/>
      </w:pPr>
      <w:r>
        <w:t xml:space="preserve">On February 12, 2025, the Bankruptcy Court held a hearing to consider the approval of the Motion. (ER 105</w:t>
      </w:r>
      <w:r>
        <w:noBreakHyphen/>
      </w:r>
      <w:r>
        <w:t xml:space="preserve">205). Notably, the Bankruptcy Court found that the Debtor failed to produce any evidence showing that the Property is owned by any party other than the Debtor, Leslie Klein. (ER 197</w:t>
      </w:r>
      <w:r>
        <w:noBreakHyphen/>
      </w:r>
      <w:r>
        <w:t xml:space="preserve">203). On February 13, 2025, the Bankruptcy Court entered the Order approving the Trustee’s sale of the Property. (ER 5</w:t>
      </w:r>
      <w:r>
        <w:noBreakHyphen/>
      </w:r>
      <w:r>
        <w:t xml:space="preserve">7).</w:t>
      </w:r>
    </w:p>
    <w:p>
      <w:pPr>
        <w:pStyle w:val="Heading1"/>
        <w:keepNext/>
        <w:keepLines/>
        <w:spacing w:before="480" w:after="280" w:line="340" w:lineRule="exact"/>
        <w:ind w:left="0" w:firstLine="0"/>
        <w:jc w:val="center"/>
      </w:pPr>
      <w:r>
        <w:rPr>
          <w:b/>
          <w:bCs/>
          <w:caps w:val="0"/>
        </w:rPr>
        <w:t xml:space="preserve">IV.</w:t>
      </w:r>
      <w:r>
        <w:rPr>
          <w:b/>
          <w:bCs/>
          <w:caps w:val="0"/>
        </w:rPr>
        <w:t xml:space="preserve"> </w:t>
      </w:r>
      <w:r>
        <w:rPr>
          <w:b/>
          <w:bCs/>
          <w:caps w:val="0"/>
        </w:rPr>
        <w:t xml:space="preserve">STANDARD</w:t>
      </w:r>
      <w:r>
        <w:rPr>
          <w:b/>
          <w:bCs/>
          <w:caps w:val="0"/>
        </w:rPr>
        <w:t xml:space="preserve"> </w:t>
      </w:r>
      <w:r>
        <w:rPr>
          <w:b/>
          <w:bCs/>
          <w:caps w:val="0"/>
        </w:rPr>
        <w:t xml:space="preserve">OF</w:t>
      </w:r>
      <w:r>
        <w:rPr>
          <w:b/>
          <w:bCs/>
          <w:caps w:val="0"/>
        </w:rPr>
        <w:t xml:space="preserve"> </w:t>
      </w:r>
      <w:r>
        <w:rPr>
          <w:b/>
          <w:bCs/>
          <w:caps w:val="0"/>
        </w:rPr>
        <w:t xml:space="preserve">REVIEW</w:t>
      </w:r>
    </w:p>
    <w:p>
      <w:pPr>
        <w:pStyle w:val="BodyText"/>
      </w:pPr>
      <w:r>
        <w:t xml:space="preserve">The applicable standard of review of the bankruptcy Court’s conclusions of law are reviewed de novo, and its findings of fact are reviewed for clear error.</w:t>
      </w:r>
      <w:r>
        <w:t xml:space="preserve"> </w:t>
      </w:r>
      <w:r>
        <w:rPr>
          <w:i/>
          <w:iCs/>
        </w:rPr>
        <w:t xml:space="preserve">Aalfs v. Wirum (In re Straightline Invs., Inc.)</w:t>
      </w:r>
      <w:r>
        <w:t xml:space="preserve">, 525 F.3d 870, 876 (9th Cir. 2008). When applying the abuse of discretion test, this Court should first</w:t>
      </w:r>
      <w:r>
        <w:t xml:space="preserve"> </w:t>
      </w:r>
      <w:r>
        <w:t xml:space="preserve">“determine de novo whether the [bankruptcy] court identified the correct legal rule to apply to the relief requested.”</w:t>
      </w:r>
      <w:r>
        <w:t xml:space="preserve"> </w:t>
      </w:r>
      <w:r>
        <w:rPr>
          <w:i/>
          <w:iCs/>
        </w:rPr>
        <w:t xml:space="preserve">United States v. Hinkson</w:t>
      </w:r>
      <w:r>
        <w:t xml:space="preserve">, 585 F.3d 1247, 1262 (9th Cir. 2009) If the bankruptcy court identified the correct legal rule, then this Court determines whether the bankruptcy court’s</w:t>
      </w:r>
      <w:r>
        <w:t xml:space="preserve"> </w:t>
      </w:r>
      <w:r>
        <w:t xml:space="preserve">“application of the correct legal standard [to the facts] was (1) illogical, (2) implausible, or (3) without support in inferences that may be drawn from the facts in the record.”</w:t>
      </w:r>
      <w:r>
        <w:t xml:space="preserve"> </w:t>
      </w:r>
      <w:r>
        <w:rPr>
          <w:i/>
          <w:iCs/>
        </w:rPr>
        <w:t xml:space="preserve">Id.</w:t>
      </w:r>
      <w:r>
        <w:t xml:space="preserve"> </w:t>
      </w:r>
      <w:r>
        <w:t xml:space="preserve">(internal quotation marks omitted). If the bankruptcy court did not identify the correct legal rule, or its application of the correct legal standard to the facts was illogical, implausible, or without support in inferences that may be drawn from the facts in the record, then the bankruptcy court has abused its discretion.</w:t>
      </w:r>
      <w:r>
        <w:t xml:space="preserve"> </w:t>
      </w:r>
      <w:r>
        <w:rPr>
          <w:i/>
          <w:iCs/>
        </w:rPr>
        <w:t xml:space="preserve">Id</w:t>
      </w:r>
      <w:r>
        <w:t xml:space="preserve">.</w:t>
      </w:r>
    </w:p>
    <w:p>
      <w:pPr>
        <w:pStyle w:val="Heading1"/>
        <w:keepNext/>
        <w:keepLines/>
        <w:spacing w:before="480" w:after="280" w:line="340" w:lineRule="exact"/>
        <w:ind w:left="0" w:firstLine="0"/>
        <w:jc w:val="center"/>
      </w:pPr>
      <w:r>
        <w:rPr>
          <w:b/>
          <w:bCs/>
          <w:caps w:val="0"/>
        </w:rPr>
        <w:t xml:space="preserve">V.</w:t>
      </w:r>
      <w:r>
        <w:rPr>
          <w:b/>
          <w:bCs/>
          <w:caps w:val="0"/>
        </w:rPr>
        <w:t xml:space="preserve"> </w:t>
      </w:r>
      <w:r>
        <w:rPr>
          <w:b/>
          <w:bCs/>
          <w:caps w:val="0"/>
        </w:rPr>
        <w:t xml:space="preserve">DISCUSSION</w:t>
      </w:r>
    </w:p>
    <w:p>
      <w:pPr>
        <w:pStyle w:val="BodyText"/>
      </w:pPr>
      <w:r>
        <w:t xml:space="preserve">The Appellants’ Opening Brief lists five separate issues on appeal but the brief provides nothing more than a cursory discussion contesting the Debtor’s ownership of the Property by simply asserting (without evidence or citation to the record on appeal) that the Property is owned by the Marital Deduction Trust. The Federal Rules Bankruptcy Procedure provide that the</w:t>
      </w:r>
      <w:r>
        <w:t xml:space="preserve"> </w:t>
      </w:r>
      <w:r>
        <w:t xml:space="preserve">“argument, which must contain the appellant’s contentions and the reasons for them, with citations to authorities and parts of the record on which the appellant relies.”</w:t>
      </w:r>
      <w:r>
        <w:t xml:space="preserve"> </w:t>
      </w:r>
      <w:r>
        <w:t xml:space="preserve">Bankruptcy Rule 8014(a)⁠(8). The Opening Brief, however, literally contains no citations to legal authorities or to the record on appeal. Appellants offer virtually no argument to explain how the Marital Deduction Trust purportedly owns the Property.</w:t>
      </w:r>
    </w:p>
    <w:p>
      <w:pPr>
        <w:pStyle w:val="BodyText"/>
      </w:pPr>
      <w:r>
        <w:t xml:space="preserve">This Court and Appellee should not be required to search the entire record to piece together the case the Appellants are trying to make.</w:t>
      </w:r>
      <w:r>
        <w:t xml:space="preserve"> </w:t>
      </w:r>
      <w:r>
        <w:rPr>
          <w:i/>
          <w:iCs/>
        </w:rPr>
        <w:t xml:space="preserve">Dela Rosa v. Scottsdale Memorial Health Systems, Inc.</w:t>
      </w:r>
      <w:r>
        <w:t xml:space="preserve">, 136 F.3d 1241, 1243 and 1244 (9th Cir. 1998);</w:t>
      </w:r>
      <w:r>
        <w:t xml:space="preserve"> </w:t>
      </w:r>
      <w:r>
        <w:rPr>
          <w:i/>
          <w:iCs/>
        </w:rPr>
        <w:t xml:space="preserve">Syncom Capital Corp. v. Wade</w:t>
      </w:r>
      <w:r>
        <w:t xml:space="preserve">, 924 F.2d 167, 169 (9th Cir. 1991); Federal Rule of Appellate Procedure 10(b)⁠(2); Rule 8018(b)</w:t>
      </w:r>
      <w:r>
        <w:noBreakHyphen/>
      </w:r>
      <w:r>
        <w:t xml:space="preserve">1 of the Rules of the United States Bankruptcy Appellant Panel of the Ninth Circuit.</w:t>
      </w:r>
    </w:p>
    <w:p>
      <w:pPr>
        <w:pStyle w:val="BodyText"/>
      </w:pPr>
      <w:r>
        <w:t xml:space="preserve">The documents from the Israeli title registry that are part of the record on appeal reflect the Debtor, Leslie Klein, owns the Property – thereby making it property of the bankruptcy estate. (ER 21</w:t>
      </w:r>
      <w:r>
        <w:noBreakHyphen/>
      </w:r>
      <w:r>
        <w:t xml:space="preserve">27 and 28</w:t>
      </w:r>
      <w:r>
        <w:noBreakHyphen/>
      </w:r>
      <w:r>
        <w:t xml:space="preserve">29). Appellants failed to provide any evidence showing the Israeli records are incorrect or to counter the fact that the Debtor listed the Property as wholly owned by him in his bankruptcy schedules.</w:t>
      </w:r>
    </w:p>
    <w:p>
      <w:pPr>
        <w:pStyle w:val="BodyText"/>
      </w:pPr>
      <w:r>
        <w:t xml:space="preserve">Instead, Appellants filed the Klein Living Trust as an exhibit to its opposition to the Motion (ER 45</w:t>
      </w:r>
      <w:r>
        <w:noBreakHyphen/>
      </w:r>
      <w:r>
        <w:t xml:space="preserve">71) but failed to cite to any provision therein or explain or describe how the Property is owned by the Klein Living Trust or the Marital Deduction Trust. It is impossible to provide any such explanation because neither trust agreement reflects that it owns the Property. Moreover, the property schedules filed by the Debtor (ER 72</w:t>
      </w:r>
      <w:r>
        <w:noBreakHyphen/>
      </w:r>
      <w:r>
        <w:t xml:space="preserve">85) do not have any legal efficacy or show they are related to or part of the Klein Living Trust or the Marital Deduction Trust.</w:t>
      </w:r>
    </w:p>
    <w:p>
      <w:pPr>
        <w:pStyle w:val="BodyText"/>
      </w:pPr>
      <w:r>
        <w:t xml:space="preserve">In the Ninth Circuit Court of Appeals, sales outside the ordinary course of business require bankruptcy court approval.</w:t>
      </w:r>
      <w:r>
        <w:t xml:space="preserve"> </w:t>
      </w:r>
      <w:r>
        <w:rPr>
          <w:i/>
          <w:iCs/>
        </w:rPr>
        <w:t xml:space="preserve">Pinnacle Rest. at Big Sky, LLC v. CH SP Acquisitions, LLC (In re of Spanish Peaks Holdings II, LLC)</w:t>
      </w:r>
      <w:r>
        <w:t xml:space="preserve">, 862 F.3d 1148, 1153 n. 5 (9th Cir. 2017). By filing the Motion and obtaining the Order, the Trustee obtained the necessary authority to sell and consummate the sale of the Property.</w:t>
      </w:r>
    </w:p>
    <w:p>
      <w:pPr>
        <w:pStyle w:val="BodyText"/>
      </w:pPr>
      <w:r>
        <w:t xml:space="preserve">The purpose of the Motion was not to determine the owner of the Property. The Trustee submitted ample evidence reflecting that the Property is owned by and in the name of the Debtor, Leslie Klein. (ER 21</w:t>
      </w:r>
      <w:r>
        <w:noBreakHyphen/>
      </w:r>
      <w:r>
        <w:t xml:space="preserve">29). Appellants failed to provide any evidence demonstrating that the Property is owned by any party other than the Debtor, Leslie Klein. Consequently, the Bankruptcy Court held that the Trustee satisfied the sale-standard under section 363(b) of the Bankruptcy Code. (ER 201). The Appellants never objected to or contested the Trustee’s business judgment. Plus, the Bankruptcy Court found that documents from the Israeli registry clearly reflect that the Debtor, Leslie Klein, not the Marital Deduction Trust, owns the Property. (ER 203). Appellants’ outright failure to provide any evidence or other facts in the record on appeal that show the Trustee’s business judgment was flawed demonstrates that this Court should affirm the Order.</w:t>
      </w:r>
    </w:p>
    <w:p>
      <w:pPr>
        <w:pStyle w:val="Heading1"/>
        <w:keepNext/>
        <w:keepLines/>
        <w:spacing w:before="480" w:after="280" w:line="340" w:lineRule="exact"/>
        <w:ind w:left="0" w:firstLine="0"/>
        <w:jc w:val="center"/>
      </w:pPr>
      <w:r>
        <w:rPr>
          <w:b/>
          <w:bCs/>
          <w:caps w:val="0"/>
        </w:rPr>
        <w:t xml:space="preserve">VI.</w:t>
      </w:r>
      <w:r>
        <w:rPr>
          <w:b/>
          <w:bCs/>
          <w:caps w:val="0"/>
        </w:rPr>
        <w:t xml:space="preserve"> </w:t>
      </w:r>
      <w:r>
        <w:rPr>
          <w:b/>
          <w:bCs/>
          <w:caps w:val="0"/>
        </w:rPr>
        <w:t xml:space="preserve">CONCLUSION</w:t>
      </w:r>
    </w:p>
    <w:p>
      <w:pPr>
        <w:keepNext/>
        <w:keepLines/>
        <w:spacing w:before="0" w:after="0" w:line="620" w:lineRule="exact"/>
        <w:ind w:left="0" w:firstLine="720"/>
      </w:pPr>
      <w:r>
        <w:t xml:space="preserve">The</w:t>
      </w:r>
      <w:r>
        <w:t xml:space="preserve"> </w:t>
      </w:r>
      <w:r>
        <w:t xml:space="preserve">record</w:t>
      </w:r>
      <w:r>
        <w:t xml:space="preserve"> </w:t>
      </w:r>
      <w:r>
        <w:t xml:space="preserve">reflects</w:t>
      </w:r>
      <w:r>
        <w:t xml:space="preserve"> </w:t>
      </w:r>
      <w:r>
        <w:t xml:space="preserve">that</w:t>
      </w:r>
      <w:r>
        <w:t xml:space="preserve"> </w:t>
      </w:r>
      <w:r>
        <w:t xml:space="preserve">the</w:t>
      </w:r>
      <w:r>
        <w:t xml:space="preserve"> </w:t>
      </w:r>
      <w:r>
        <w:t xml:space="preserve">Bankruptcy</w:t>
      </w:r>
      <w:r>
        <w:t xml:space="preserve"> </w:t>
      </w:r>
      <w:r>
        <w:t xml:space="preserve">Court</w:t>
      </w:r>
      <w:r>
        <w:t xml:space="preserve"> </w:t>
      </w:r>
      <w:r>
        <w:t xml:space="preserve">carefully</w:t>
      </w:r>
      <w:r>
        <w:t xml:space="preserve"> </w:t>
      </w:r>
      <w:r>
        <w:t xml:space="preserve">considered</w:t>
      </w:r>
      <w:r>
        <w:t xml:space="preserve"> </w:t>
      </w:r>
      <w:r>
        <w:t xml:space="preserve">Motion</w:t>
      </w:r>
      <w:r>
        <w:t xml:space="preserve"> </w:t>
      </w:r>
      <w:r>
        <w:t xml:space="preserve">and</w:t>
      </w:r>
      <w:r>
        <w:t xml:space="preserve"> </w:t>
      </w:r>
      <w:r>
        <w:t xml:space="preserve">that</w:t>
      </w:r>
      <w:r>
        <w:t xml:space="preserve"> </w:t>
      </w:r>
      <w:r>
        <w:t xml:space="preserve">Appellants</w:t>
      </w:r>
      <w:r>
        <w:t xml:space="preserve"> </w:t>
      </w:r>
      <w:r>
        <w:t xml:space="preserve">failed</w:t>
      </w:r>
      <w:r>
        <w:t xml:space="preserve"> </w:t>
      </w:r>
      <w:r>
        <w:t xml:space="preserve">to</w:t>
      </w:r>
      <w:r>
        <w:t xml:space="preserve"> </w:t>
      </w:r>
      <w:r>
        <w:t xml:space="preserve">provide</w:t>
      </w:r>
      <w:r>
        <w:t xml:space="preserve"> </w:t>
      </w:r>
      <w:r>
        <w:t xml:space="preserve">any</w:t>
      </w:r>
      <w:r>
        <w:t xml:space="preserve"> </w:t>
      </w:r>
      <w:r>
        <w:t xml:space="preserve">evidence</w:t>
      </w:r>
      <w:r>
        <w:t xml:space="preserve"> </w:t>
      </w:r>
      <w:r>
        <w:t xml:space="preserve">that</w:t>
      </w:r>
      <w:r>
        <w:t xml:space="preserve"> </w:t>
      </w:r>
      <w:r>
        <w:t xml:space="preserve">the</w:t>
      </w:r>
      <w:r>
        <w:t xml:space="preserve"> </w:t>
      </w:r>
      <w:r>
        <w:t xml:space="preserve">Motion</w:t>
      </w:r>
      <w:r>
        <w:t xml:space="preserve"> </w:t>
      </w:r>
      <w:r>
        <w:t xml:space="preserve">should</w:t>
      </w:r>
      <w:r>
        <w:t xml:space="preserve"> </w:t>
      </w:r>
      <w:r>
        <w:t xml:space="preserve">not</w:t>
      </w:r>
      <w:r>
        <w:t xml:space="preserve"> </w:t>
      </w:r>
      <w:r>
        <w:t xml:space="preserve">be</w:t>
      </w:r>
      <w:r>
        <w:t xml:space="preserve"> </w:t>
      </w:r>
      <w:r>
        <w:t xml:space="preserve">approved.</w:t>
      </w:r>
      <w:r>
        <w:t xml:space="preserve"> </w:t>
      </w:r>
      <w:r>
        <w:t xml:space="preserve">Accordingly,</w:t>
      </w:r>
      <w:r>
        <w:t xml:space="preserve"> </w:t>
      </w:r>
      <w:r>
        <w:t xml:space="preserve">for</w:t>
      </w:r>
      <w:r>
        <w:t xml:space="preserve"> </w:t>
      </w:r>
      <w:r>
        <w:t xml:space="preserve">the</w:t>
      </w:r>
      <w:r>
        <w:t xml:space="preserve"> </w:t>
      </w:r>
      <w:r>
        <w:t xml:space="preserve">reasons</w:t>
      </w:r>
      <w:r>
        <w:t xml:space="preserve"> </w:t>
      </w:r>
      <w:r>
        <w:t xml:space="preserve">set</w:t>
      </w:r>
      <w:r>
        <w:t xml:space="preserve"> </w:t>
      </w:r>
      <w:r>
        <w:t xml:space="preserve">forth</w:t>
      </w:r>
      <w:r>
        <w:t xml:space="preserve"> </w:t>
      </w:r>
      <w:r>
        <w:t xml:space="preserve">herein,</w:t>
      </w:r>
      <w:r>
        <w:t xml:space="preserve"> </w:t>
      </w:r>
      <w:r>
        <w:t xml:space="preserve">Appellee</w:t>
      </w:r>
      <w:r>
        <w:t xml:space="preserve"> </w:t>
      </w:r>
      <w:r>
        <w:t xml:space="preserve">respectfully</w:t>
      </w:r>
      <w:r>
        <w:t xml:space="preserve"> </w:t>
      </w:r>
      <w:r>
        <w:t xml:space="preserve">requests</w:t>
      </w:r>
      <w:r>
        <w:t xml:space="preserve"> </w:t>
      </w:r>
      <w:r>
        <w:t xml:space="preserve">that</w:t>
      </w:r>
      <w:r>
        <w:t xml:space="preserve"> </w:t>
      </w:r>
      <w:r>
        <w:t xml:space="preserve">the</w:t>
      </w:r>
      <w:r>
        <w:t xml:space="preserve"> </w:t>
      </w:r>
      <w:r>
        <w:t xml:space="preserve">Order</w:t>
      </w:r>
      <w:r>
        <w:t xml:space="preserve"> </w:t>
      </w:r>
      <w:r>
        <w:t xml:space="preserve">be</w:t>
      </w:r>
      <w:r>
        <w:t xml:space="preserve"> </w:t>
      </w:r>
      <w:r>
        <w:t xml:space="preserve">affirmed.</w:t>
      </w:r>
    </w:p>
    <w:p>
      <w:pPr>
        <w:keepNext/>
        <w:keepLines/>
        <w:spacing w:before="480" w:after="0" w:line="340" w:lineRule="exact"/>
        <w:ind w:left="4320" w:firstLine="0"/>
      </w:pPr>
      <w:r>
        <w:t xml:space="preserve">/s/ </w:t>
      </w:r>
      <w:r>
        <w:t xml:space="preserve">John</w:t>
      </w:r>
      <w:r>
        <w:t xml:space="preserve"> </w:t>
      </w:r>
      <w:r>
        <w:t xml:space="preserve">W.</w:t>
      </w:r>
      <w:r>
        <w:t xml:space="preserve"> </w:t>
      </w:r>
      <w:r>
        <w:t xml:space="preserve">Lucas</w:t>
      </w:r>
    </w:p>
    <w:p>
      <w:pPr>
        <w:keepNext/>
        <w:keepLines/>
        <w:spacing w:before="0" w:after="0" w:line="340" w:lineRule="exact"/>
        <w:ind w:left="4320" w:firstLine="0"/>
      </w:pPr>
      <w:r>
        <w:t xml:space="preserve">PACHULSKI,</w:t>
      </w:r>
      <w:r>
        <w:t xml:space="preserve"> </w:t>
      </w:r>
      <w:r>
        <w:t xml:space="preserve">STANG,</w:t>
      </w:r>
      <w:r>
        <w:t xml:space="preserve"> </w:t>
      </w:r>
      <w:r>
        <w:t xml:space="preserve">ZIEHL</w:t>
      </w:r>
      <w:r>
        <w:t xml:space="preserve"> </w:t>
      </w:r>
      <w:r>
        <w:t xml:space="preserve">&amp;</w:t>
      </w:r>
      <w:r>
        <w:t xml:space="preserve"> </w:t>
      </w:r>
      <w:r>
        <w:t xml:space="preserve">JONES</w:t>
      </w:r>
      <w:r>
        <w:t xml:space="preserve"> </w:t>
      </w:r>
      <w:r>
        <w:t xml:space="preserve">LLP</w:t>
      </w:r>
    </w:p>
    <w:p>
      <w:pPr>
        <w:keepNext/>
        <w:keepLines/>
        <w:spacing w:before="0" w:after="0" w:line="340" w:lineRule="exact"/>
        <w:ind w:left="4320" w:firstLine="0"/>
      </w:pPr>
      <w:r>
        <w:t xml:space="preserve">Counsel</w:t>
      </w:r>
      <w:r>
        <w:t xml:space="preserve"> </w:t>
      </w:r>
      <w:r>
        <w:t xml:space="preserve">to</w:t>
      </w:r>
      <w:r>
        <w:t xml:space="preserve"> </w:t>
      </w:r>
      <w:r>
        <w:t xml:space="preserve">Bradley</w:t>
      </w:r>
      <w:r>
        <w:t xml:space="preserve"> </w:t>
      </w:r>
      <w:r>
        <w:t xml:space="preserve">D.</w:t>
      </w:r>
      <w:r>
        <w:t xml:space="preserve"> </w:t>
      </w:r>
      <w:r>
        <w:t xml:space="preserve">Sharp,</w:t>
      </w:r>
      <w:r>
        <w:t xml:space="preserve"> </w:t>
      </w:r>
      <w:r>
        <w:t xml:space="preserve">Chapter</w:t>
      </w:r>
      <w:r>
        <w:t xml:space="preserve"> </w:t>
      </w:r>
      <w:r>
        <w:t xml:space="preserve">11</w:t>
      </w:r>
      <w:r>
        <w:t xml:space="preserve"> </w:t>
      </w:r>
      <w:r>
        <w:t xml:space="preserve">Trustee,</w:t>
      </w:r>
      <w:r>
        <w:t xml:space="preserve"> </w:t>
      </w:r>
      <w:r>
        <w:t xml:space="preserve">Appellee</w:t>
      </w:r>
    </w:p>
    <w:p>
      <w:pPr>
        <w:keepLines/>
        <w:spacing w:before="0" w:after="0" w:line="340" w:lineRule="exact"/>
        <w:ind w:left="4320" w:firstLine="0"/>
      </w:pPr>
      <w:r>
        <w:t xml:space="preserve">May</w:t>
      </w:r>
      <w:r>
        <w:t xml:space="preserve"> </w:t>
      </w:r>
      <w:r>
        <w:t xml:space="preserve">2,</w:t>
      </w:r>
      <w:r>
        <w:t xml:space="preserve"> </w:t>
      </w:r>
      <w:r>
        <w:t xml:space="preserve">2025</w:t>
      </w:r>
    </w:p>
    <w:p>
      <w:pPr>
        <w:keepNext/>
        <w:keepLines/>
        <w:pageBreakBefore/>
        <w:spacing w:before="0" w:after="280" w:line="340" w:lineRule="exact"/>
        <w:ind w:left="0" w:firstLine="0"/>
        <w:jc w:val="center"/>
      </w:pPr>
      <w:r>
        <w:rPr>
          <w:b/>
          <w:bCs/>
        </w:rPr>
        <w:t xml:space="preserve">CERTIFICATION OF INTERESTED PARTIES</w:t>
      </w:r>
    </w:p>
    <w:p>
      <w:pPr>
        <w:keepNext/>
        <w:keepLines/>
        <w:spacing w:before="240" w:after="0" w:line="340" w:lineRule="exact"/>
        <w:ind w:left="0" w:firstLine="0"/>
      </w:pPr>
      <w:r>
        <w:t xml:space="preserve">The following listed parties have an interest in the outcome of this case. These representations are made in order that judges of the Panel may evaluate possible disqualification or recusal.</w:t>
      </w:r>
    </w:p>
    <w:p>
      <w:pPr>
        <w:keepNext/>
        <w:keepLines/>
        <w:spacing w:before="240" w:after="0" w:line="340" w:lineRule="exact"/>
        <w:ind w:left="576" w:hanging="576"/>
      </w:pPr>
      <w:r>
        <w:t xml:space="preserve">Bradley</w:t>
      </w:r>
      <w:r>
        <w:t xml:space="preserve"> </w:t>
      </w:r>
      <w:r>
        <w:t xml:space="preserve">D.</w:t>
      </w:r>
      <w:r>
        <w:t xml:space="preserve"> </w:t>
      </w:r>
      <w:r>
        <w:t xml:space="preserve">Sharp,</w:t>
      </w:r>
      <w:r>
        <w:t xml:space="preserve"> </w:t>
      </w:r>
      <w:r>
        <w:t xml:space="preserve">solely</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chapter</w:t>
      </w:r>
      <w:r>
        <w:t xml:space="preserve"> </w:t>
      </w:r>
      <w:r>
        <w:t xml:space="preserve">11</w:t>
      </w:r>
      <w:r>
        <w:t xml:space="preserve"> </w:t>
      </w:r>
      <w:r>
        <w:t xml:space="preserve">trustee</w:t>
      </w:r>
      <w:r>
        <w:t xml:space="preserve"> </w:t>
      </w:r>
      <w:r>
        <w:t xml:space="preserve">of</w:t>
      </w:r>
      <w:r>
        <w:t xml:space="preserve"> </w:t>
      </w:r>
      <w:r>
        <w:t xml:space="preserve">the</w:t>
      </w:r>
      <w:r>
        <w:t xml:space="preserve"> </w:t>
      </w:r>
      <w:r>
        <w:t xml:space="preserve">bankruptcy</w:t>
      </w:r>
      <w:r>
        <w:t xml:space="preserve"> </w:t>
      </w:r>
      <w:r>
        <w:t xml:space="preserve">estate</w:t>
      </w:r>
      <w:r>
        <w:t xml:space="preserve"> </w:t>
      </w:r>
      <w:r>
        <w:t xml:space="preserve">of</w:t>
      </w:r>
      <w:r>
        <w:t xml:space="preserve"> </w:t>
      </w:r>
      <w:r>
        <w:t xml:space="preserve">Leslie</w:t>
      </w:r>
      <w:r>
        <w:t xml:space="preserve"> </w:t>
      </w:r>
      <w:r>
        <w:t xml:space="preserve">Klein</w:t>
      </w:r>
    </w:p>
    <w:p>
      <w:pPr>
        <w:keepNext/>
        <w:keepLines/>
        <w:spacing w:before="240" w:after="0" w:line="340" w:lineRule="exact"/>
        <w:ind w:left="576" w:hanging="576"/>
      </w:pPr>
      <w:r>
        <w:t xml:space="preserve">Leslie</w:t>
      </w:r>
      <w:r>
        <w:t xml:space="preserve"> </w:t>
      </w:r>
      <w:r>
        <w:t xml:space="preserve">Klein</w:t>
      </w:r>
    </w:p>
    <w:p>
      <w:pPr>
        <w:keepLines/>
        <w:spacing w:before="240" w:after="0" w:line="340" w:lineRule="exact"/>
        <w:ind w:left="4320" w:firstLine="0"/>
      </w:pPr>
      <w:r>
        <w:t xml:space="preserve">/s/ </w:t>
      </w:r>
      <w:r>
        <w:t xml:space="preserve">John</w:t>
      </w:r>
      <w:r>
        <w:t xml:space="preserve"> </w:t>
      </w:r>
      <w:r>
        <w:t xml:space="preserve">W.</w:t>
      </w:r>
      <w:r>
        <w:t xml:space="preserve"> </w:t>
      </w:r>
      <w:r>
        <w:t xml:space="preserve">Lucas</w:t>
      </w:r>
    </w:p>
    <w:p>
      <w:pPr>
        <w:keepNext/>
        <w:keepLines/>
        <w:spacing w:before="480" w:after="280" w:line="340" w:lineRule="exact"/>
        <w:ind w:left="0" w:firstLine="0"/>
        <w:jc w:val="center"/>
      </w:pPr>
      <w:r>
        <w:rPr>
          <w:b/>
          <w:bCs/>
        </w:rPr>
        <w:t xml:space="preserve">CERTIFICATE OF COMPLIANCE</w:t>
      </w:r>
    </w:p>
    <w:p>
      <w:pPr>
        <w:keepNext/>
        <w:keepLines/>
        <w:spacing w:before="240" w:after="0" w:line="340" w:lineRule="exact"/>
        <w:ind w:left="0" w:firstLine="0"/>
      </w:pPr>
      <w:r>
        <w:t xml:space="preserve">This brief complies with the type-volume limitation of Fed. R. Bankr. P. 8015(a)⁠(7) because it contains 1,801 words, excluding the parts of the brief exempted by Fed. R. Bankr. P. 8015(g).</w:t>
      </w:r>
    </w:p>
    <w:p>
      <w:pPr>
        <w:keepNext/>
        <w:keepLines/>
        <w:spacing w:before="240" w:after="0" w:line="340" w:lineRule="exact"/>
        <w:ind w:left="0" w:firstLine="0"/>
      </w:pPr>
      <w:r>
        <w:t xml:space="preserve">This brief complies with the typeface and type-style requirements of Fed. R. Bankr. P. 8015(a)⁠(5) and (6) because it has been prepared in a proportionally spaced typeface, 14-point Times New Roman, with plain roman type and italics for emphasis.</w:t>
      </w:r>
    </w:p>
    <w:p>
      <w:pPr>
        <w:keepLines/>
        <w:spacing w:before="240" w:after="0" w:line="340" w:lineRule="exact"/>
        <w:ind w:left="4320" w:firstLine="0"/>
      </w:pPr>
      <w:r>
        <w:t xml:space="preserve">/s/ </w:t>
      </w:r>
      <w:r>
        <w:t xml:space="preserve">John</w:t>
      </w:r>
      <w:r>
        <w:t xml:space="preserve"> </w:t>
      </w:r>
      <w:r>
        <w:t xml:space="preserve">W.</w:t>
      </w:r>
      <w:r>
        <w:t xml:space="preserve"> </w:t>
      </w:r>
      <w:r>
        <w:t xml:space="preserve">Lucas</w:t>
      </w:r>
    </w:p>
    <w:p>
      <w:pPr>
        <w:keepNext/>
        <w:keepLines/>
        <w:spacing w:before="480" w:after="280" w:line="340" w:lineRule="exact"/>
        <w:ind w:left="0" w:firstLine="0"/>
        <w:jc w:val="center"/>
      </w:pPr>
      <w:r>
        <w:rPr>
          <w:b/>
          <w:bCs/>
        </w:rPr>
        <w:t xml:space="preserve">CERTIFICATE OF SERVICE</w:t>
      </w:r>
    </w:p>
    <w:p>
      <w:pPr>
        <w:keepNext/>
        <w:keepLines/>
        <w:spacing w:before="240" w:after="0" w:line="340" w:lineRule="exact"/>
        <w:ind w:left="0" w:firstLine="0"/>
      </w:pPr>
      <w:r>
        <w:t xml:space="preserve">I hereby certify that on </w:t>
      </w:r>
      <w:r>
        <w:t xml:space="preserve">May</w:t>
      </w:r>
      <w:r>
        <w:t xml:space="preserve"> </w:t>
      </w:r>
      <w:r>
        <w:t xml:space="preserve">2,</w:t>
      </w:r>
      <w:r>
        <w:t xml:space="preserve"> </w:t>
      </w:r>
      <w:r>
        <w:t xml:space="preserve">2025</w:t>
      </w:r>
      <w:r>
        <w:t xml:space="preserve">, I electronically filed the foregoing document with the Clerk of the Court for the Bankruptcy Appellate Panel for the Ninth Circuit by using the CM/ECF system.</w:t>
      </w:r>
    </w:p>
    <w:p>
      <w:pPr>
        <w:keepNext/>
        <w:keepLines/>
        <w:spacing w:before="240" w:after="0" w:line="340" w:lineRule="exact"/>
        <w:ind w:left="0" w:firstLine="0"/>
      </w:pPr>
      <w:r>
        <w:t xml:space="preserve">I certify that all parties of record to this appeal either are registered CM/ECF users, or have registered for electronic notice, or have consented in writing to electronic service, and that service will be accomplished through the CM/ECF system.</w:t>
      </w:r>
    </w:p>
    <w:p>
      <w:pPr>
        <w:keepLines/>
        <w:spacing w:before="240" w:after="0" w:line="340" w:lineRule="exact"/>
        <w:ind w:left="4320" w:firstLine="0"/>
      </w:pPr>
      <w:r>
        <w:t xml:space="preserve">/s/ </w:t>
      </w:r>
      <w:r>
        <w:t xml:space="preserve">John</w:t>
      </w:r>
      <w:r>
        <w:t xml:space="preserve"> </w:t>
      </w:r>
      <w:r>
        <w:t xml:space="preserve">W.</w:t>
      </w:r>
      <w:r>
        <w:t xml:space="preserve"> </w:t>
      </w:r>
      <w:r>
        <w:t xml:space="preserve">Lucas</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4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4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customStyle="1" w:styleId="ListItem">
    <w:name w:val="List Item"/>
    <w:basedOn w:val="BodyText"/>
    <w:qFormat/>
    <w:pPr>
      <w:spacing w:before="0" w:after="0" w:line="620" w:lineRule="exact"/>
      <w:ind w:left="720" w:hanging="720"/>
    </w:pPr>
  </w:style>
  <w:style w:type="paragraph" w:styleId="BlockText">
    <w:name w:val="Block Text"/>
    <w:basedOn w:val="BodyText"/>
    <w:next w:val="BodyText"/>
    <w:uiPriority w:val="9"/>
    <w:unhideWhenUsed/>
    <w:qFormat/>
    <w:pPr>
      <w:spacing w:before="240" w:after="24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