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208" w:after="0" w:line="299" w:lineRule="exact"/>
        <w:ind w:left="0" w:firstLine="0"/>
        <w:jc w:val="center"/>
      </w:pPr>
      <w:r>
        <w:rPr>
          <w:b/>
          <w:bCs/>
        </w:rPr>
        <w:t xml:space="preserve">No.</w:t>
      </w:r>
      <w:r>
        <w:rPr>
          <w:b/>
          <w:bCs/>
        </w:rPr>
        <w:t xml:space="preserve"> </w:t>
      </w:r>
      <w:r>
        <w:rPr>
          <w:b/>
          <w:bCs/>
        </w:rPr>
        <w:t xml:space="preserve">85</w:t>
      </w:r>
    </w:p>
    <w:p>
      <w:pPr>
        <w:spacing w:before="0" w:after="0" w:line="299" w:lineRule="exact"/>
        <w:ind w:left="0" w:firstLine="0"/>
        <w:jc w:val="center"/>
      </w:pPr>
      <w:r>
        <w:t xml:space="preserve">September</w:t>
      </w:r>
      <w:r>
        <w:t xml:space="preserve"> </w:t>
      </w:r>
      <w:r>
        <w:t xml:space="preserve">Term</w:t>
      </w:r>
      <w:r>
        <w:t xml:space="preserve"> </w:t>
      </w:r>
      <w:r>
        <w:t xml:space="preserve">2017</w:t>
      </w:r>
    </w:p>
    <w:p>
      <w:pPr>
        <w:spacing w:before="288" w:after="0" w:line="299" w:lineRule="exact"/>
        <w:ind w:left="0" w:firstLine="0"/>
        <w:jc w:val="left"/>
      </w:pPr>
      <w:r>
        <w:t xml:space="preserve">LINDA</w:t>
      </w:r>
      <w:r>
        <w:t xml:space="preserve"> </w:t>
      </w:r>
      <w:r>
        <w:t xml:space="preserve">H.</w:t>
      </w:r>
      <w:r>
        <w:t xml:space="preserve"> </w:t>
      </w:r>
      <w:r>
        <w:t xml:space="preserve">LAMONE,</w:t>
      </w:r>
    </w:p>
    <w:p>
      <w:pPr>
        <w:spacing w:before="0" w:after="0" w:line="299" w:lineRule="exact"/>
        <w:ind w:left="720" w:firstLine="0"/>
        <w:jc w:val="left"/>
      </w:pPr>
      <w:r>
        <w:t xml:space="preserve">Appellant,</w:t>
      </w:r>
    </w:p>
    <w:p>
      <w:pPr>
        <w:spacing w:before="144" w:after="144" w:line="299" w:lineRule="exact"/>
        <w:ind w:left="720" w:firstLine="0"/>
        <w:jc w:val="left"/>
      </w:pPr>
      <w:r>
        <w:t xml:space="preserve">v.</w:t>
      </w:r>
    </w:p>
    <w:p>
      <w:pPr>
        <w:spacing w:before="0" w:after="0" w:line="299" w:lineRule="exact"/>
        <w:ind w:left="0" w:firstLine="0"/>
        <w:jc w:val="left"/>
      </w:pPr>
      <w:r>
        <w:t xml:space="preserve">NANCY</w:t>
      </w:r>
      <w:r>
        <w:t xml:space="preserve"> </w:t>
      </w:r>
      <w:r>
        <w:t xml:space="preserve">LEWIN,</w:t>
      </w:r>
      <w:r>
        <w:t xml:space="preserve"> </w:t>
      </w:r>
      <w:r>
        <w:t xml:space="preserve">et</w:t>
      </w:r>
      <w:r>
        <w:t xml:space="preserve"> </w:t>
      </w:r>
      <w:r>
        <w:t xml:space="preserve">al.,</w:t>
      </w:r>
    </w:p>
    <w:p>
      <w:pPr>
        <w:spacing w:before="0" w:after="0" w:line="299" w:lineRule="exact"/>
        <w:ind w:left="720" w:firstLine="0"/>
        <w:jc w:val="left"/>
      </w:pPr>
      <w:r>
        <w:t xml:space="preserve">Appellees.</w:t>
      </w:r>
    </w:p>
    <w:p>
      <w:pPr>
        <w:spacing w:before="432" w:after="0" w:line="299"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RECALL</w:t>
      </w:r>
      <w:r>
        <w:rPr>
          <w:b/>
          <w:bCs/>
        </w:rPr>
        <w:t xml:space="preserve"> </w:t>
      </w:r>
      <w:r>
        <w:rPr>
          <w:b/>
          <w:bCs/>
        </w:rPr>
        <w:t xml:space="preserve">MANDATE</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RECONSIDERATION</w:t>
      </w:r>
    </w:p>
    <w:p>
      <w:pPr>
        <w:pageBreakBefore/>
        <w:spacing w:before="0" w:after="0" w:line="1" w:lineRule="exact"/>
      </w:pPr>
    </w:p>
    <w:p>
      <w:pPr>
        <w:pStyle w:val="BodyText"/>
      </w:pPr>
      <w:r>
        <w:t xml:space="preserve">Nancy Lewin, Elinor Mitchell and Christopher Ervin, Appellees, move pursuant to Maryland Code, Courts &amp; Judicial Proceedings § 6</w:t>
      </w:r>
      <w:r>
        <w:noBreakHyphen/>
      </w:r>
      <w:r>
        <w:t xml:space="preserve">408 and Maryland Rule 8</w:t>
      </w:r>
      <w:r>
        <w:noBreakHyphen/>
      </w:r>
      <w:r>
        <w:t xml:space="preserve">605 that the Court recall its Mandate dated May 2, 2018, in the above-captioned appeal, and reconsider its Per Curiam Order dated May 2, 2018. As grounds for their Motion, the Appellees state:</w:t>
      </w:r>
    </w:p>
    <w:p>
      <w:pPr>
        <w:pStyle w:val="XdList1"/>
      </w:pPr>
      <w:r>
        <w:t xml:space="preserve">1.</w:t>
      </w:r>
      <w:r>
        <w:tab/>
      </w:r>
      <w:r>
        <w:t xml:space="preserve">On May 2, 2018, this Court heard on an expedited basis the above-captioned appeal, issued a Per Curiam Order less than three hours after the appeal was heard, and issued its Mandate forthwith.</w:t>
      </w:r>
    </w:p>
    <w:p>
      <w:pPr>
        <w:pStyle w:val="XdList1"/>
      </w:pPr>
      <w:r>
        <w:t xml:space="preserve">2.</w:t>
      </w:r>
      <w:r>
        <w:tab/>
      </w:r>
      <w:r>
        <w:t xml:space="preserve">Among the arguments made by Appellant, the State Administrator, Maryland State Board of Elections (“State Board”), was that the relief sought by the Appellees and granted by the Circuit Court’s preliminary injunction – the removal of the name of Nathaniel Oaks from election ballots to be distributed in Legislative District 41 for the June 26, 2018, Democratic Party Primary Election – would be difficult, if not impossible, to implement.</w:t>
      </w:r>
    </w:p>
    <w:p>
      <w:pPr>
        <w:pStyle w:val="XdList1"/>
      </w:pPr>
      <w:r>
        <w:t xml:space="preserve">3.</w:t>
      </w:r>
      <w:r>
        <w:tab/>
      </w:r>
      <w:r>
        <w:t xml:space="preserve">On May 10, 2018, Kevin Kamenetz, a candidate for the Democratic Party nomination for Governor of Maryland, died.</w:t>
      </w:r>
    </w:p>
    <w:p>
      <w:pPr>
        <w:pStyle w:val="XdList1"/>
      </w:pPr>
      <w:r>
        <w:t xml:space="preserve">4.</w:t>
      </w:r>
      <w:r>
        <w:tab/>
      </w:r>
      <w:r>
        <w:t xml:space="preserve">As noted in the Appellees’ Reply Brief filed in this appeal, in the event of the death of a candidate for Governor, Maryland Code, Election Law §5</w:t>
      </w:r>
      <w:r>
        <w:noBreakHyphen/>
      </w:r>
      <w:r>
        <w:t xml:space="preserve">904, requires that the State Board include the name of the successor candidate for Governor on the ballot unless the candidate for Governor dies less than ten days before the Primary Election.</w:t>
      </w:r>
    </w:p>
    <w:p>
      <w:pPr>
        <w:pStyle w:val="XdList1"/>
      </w:pPr>
      <w:r>
        <w:t xml:space="preserve">5.</w:t>
      </w:r>
      <w:r>
        <w:tab/>
      </w:r>
      <w:r>
        <w:t xml:space="preserve">In light of Mr. Kamenetz’s death, all ballots for the June 26, 2018, Democratic Party Primary Election, including the two ballots for Legislative District 41, will have to be changed and reprinted if a successor candidate is designated by Valerie Ervin, the candidate for Lieutenant Governor who was running with Mr. Kamenetz.</w:t>
      </w:r>
    </w:p>
    <w:p>
      <w:pPr>
        <w:pStyle w:val="XdList1"/>
      </w:pPr>
      <w:r>
        <w:t xml:space="preserve">6.</w:t>
      </w:r>
      <w:r>
        <w:tab/>
      </w:r>
      <w:r>
        <w:t xml:space="preserve">To the extent that the Court’s reversal of the Circuit Court’s preliminary injunction was based upon the representations in the Affidavits of Natasha Walker of the State Board in the record of the case or the extra-record representations of Assistant Attorney General Trento at oral argument regarding the issues that the State Board claimed that it may have with respect to changing the Democratic Primary Election Ballot, those representations will be moot in light of the fact that the State Board, as matter of statutory mandate, will have to reprint every ballot for the June 26, 2018, Democratic Party Primary Election as a consequence of Mr. Kamenetz’s death in the event that Ms. Ervin designates a new candidate for Governor or elects to be substituted for Mr. Kamenetz as the candidate for Governor and designates a new candidate for Lieutenant Governor.</w:t>
      </w:r>
    </w:p>
    <w:p>
      <w:pPr>
        <w:pStyle w:val="XdList1"/>
      </w:pPr>
      <w:r>
        <w:t xml:space="preserve">7.</w:t>
      </w:r>
      <w:r>
        <w:tab/>
      </w:r>
      <w:r>
        <w:t xml:space="preserve">Less than 30 days has passed from the entry of this Court’s Mandate. Thus, the Court has plenary power to recall and revise its Mandate pursuant to Maryland Code, Courts &amp; Judicial Proceedings § 6</w:t>
      </w:r>
      <w:r>
        <w:noBreakHyphen/>
      </w:r>
      <w:r>
        <w:t xml:space="preserve">408. Further this Court has inherent power to recall its Mandate.</w:t>
      </w:r>
      <w:r>
        <w:t xml:space="preserve"> </w:t>
      </w:r>
      <w:r>
        <w:rPr>
          <w:i/>
          <w:iCs/>
        </w:rPr>
        <w:t xml:space="preserve">See Harper v. Farmers’ &amp; Merchants’ National Bank of Cambridge</w:t>
      </w:r>
      <w:r>
        <w:t xml:space="preserve">, 155 Md. 693, 142 A. 590 (1928);</w:t>
      </w:r>
      <w:r>
        <w:t xml:space="preserve"> </w:t>
      </w:r>
      <w:r>
        <w:rPr>
          <w:i/>
          <w:iCs/>
        </w:rPr>
        <w:t xml:space="preserve">see also Harrison v. Harrison</w:t>
      </w:r>
      <w:r>
        <w:t xml:space="preserve">, 109 Md. App. 652, 675 A.2d 1003 (1996),</w:t>
      </w:r>
      <w:r>
        <w:t xml:space="preserve"> </w:t>
      </w:r>
      <w:r>
        <w:rPr>
          <w:i/>
          <w:iCs/>
        </w:rPr>
        <w:t xml:space="preserve">cert. denied</w:t>
      </w:r>
      <w:r>
        <w:t xml:space="preserve">, 343 Md. 564, 683 A.2d 177 (1996). The Circuit Court for Anne Arundel County has not acted yet upon this Court’s Mandate. Should the Court recall its Mandate, a Motion for Reconsideration pursuant to Maryland Rule 8</w:t>
      </w:r>
      <w:r>
        <w:noBreakHyphen/>
      </w:r>
      <w:r>
        <w:t xml:space="preserve">605 would be timely.</w:t>
      </w:r>
    </w:p>
    <w:p>
      <w:pPr>
        <w:pStyle w:val="BodyText"/>
      </w:pPr>
      <w:r>
        <w:t xml:space="preserve">For the reasons stated above, this Court should recall its Mandate and reconsider its Per Curiam Order if the ballots for the Democratic Primary are altered as a consequence of Mr. Kamenetz’s death.</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/s/</w:t>
            </w:r>
          </w:p>
          <w:p>
            <w:pPr>
              <w:spacing w:before="0" w:after="0" w:line="299" w:lineRule="exact"/>
              <w:ind w:left="0" w:firstLine="0"/>
              <w:jc w:val="left"/>
            </w:pPr>
            <w:r>
              <w:t xml:space="preserve">H.</w:t>
            </w:r>
            <w:r>
              <w:t xml:space="preserve"> </w:t>
            </w:r>
            <w:r>
              <w:t xml:space="preserve">MARK</w:t>
            </w:r>
            <w:r>
              <w:t xml:space="preserve"> </w:t>
            </w:r>
            <w:r>
              <w:t xml:space="preserve">STICHEL</w:t>
            </w:r>
          </w:p>
          <w:p>
            <w:pPr>
              <w:spacing w:before="0" w:after="0" w:line="299" w:lineRule="exact"/>
              <w:ind w:left="0" w:firstLine="0"/>
              <w:jc w:val="left"/>
            </w:pPr>
            <w:r>
              <w:t xml:space="preserve">CPF</w:t>
            </w:r>
            <w:r>
              <w:t xml:space="preserve"> </w:t>
            </w:r>
            <w:r>
              <w:t xml:space="preserve">No.</w:t>
            </w:r>
            <w:r>
              <w:t xml:space="preserve"> </w:t>
            </w:r>
            <w:r>
              <w:t xml:space="preserve">8312010443</w:t>
            </w:r>
          </w:p>
          <w:p>
            <w:pPr>
              <w:spacing w:before="0" w:after="0" w:line="299" w:lineRule="exact"/>
              <w:ind w:left="0" w:firstLine="0"/>
              <w:jc w:val="left"/>
            </w:pPr>
            <w:r>
              <w:t xml:space="preserve">ELIZABETH</w:t>
            </w:r>
            <w:r>
              <w:t xml:space="preserve"> </w:t>
            </w:r>
            <w:r>
              <w:t xml:space="preserve">A.</w:t>
            </w:r>
            <w:r>
              <w:t xml:space="preserve"> </w:t>
            </w:r>
            <w:r>
              <w:t xml:space="preserve">HARLAN</w:t>
            </w:r>
          </w:p>
          <w:p>
            <w:pPr>
              <w:spacing w:before="0" w:after="0" w:line="299" w:lineRule="exact"/>
              <w:ind w:left="0" w:firstLine="0"/>
              <w:jc w:val="left"/>
            </w:pPr>
            <w:r>
              <w:t xml:space="preserve">CPF</w:t>
            </w:r>
            <w:r>
              <w:t xml:space="preserve"> </w:t>
            </w:r>
            <w:r>
              <w:t xml:space="preserve">No.</w:t>
            </w:r>
            <w:r>
              <w:t xml:space="preserve"> </w:t>
            </w:r>
            <w:r>
              <w:t xml:space="preserve">1101050005</w:t>
            </w:r>
          </w:p>
          <w:p>
            <w:pPr>
              <w:spacing w:before="0" w:after="0" w:line="299" w:lineRule="exact"/>
              <w:ind w:left="0" w:firstLine="0"/>
              <w:jc w:val="left"/>
            </w:pPr>
            <w:r>
              <w:t xml:space="preserve">ASTRACHAN</w:t>
            </w:r>
            <w:r>
              <w:t xml:space="preserve"> </w:t>
            </w:r>
            <w:r>
              <w:t xml:space="preserve">GUNST</w:t>
            </w:r>
            <w:r>
              <w:t xml:space="preserve"> </w:t>
            </w:r>
            <w:r>
              <w:t xml:space="preserve">THOMAS,</w:t>
            </w:r>
            <w:r>
              <w:t xml:space="preserve"> </w:t>
            </w:r>
            <w:r>
              <w:t xml:space="preserve">P.C.</w:t>
            </w:r>
          </w:p>
          <w:p>
            <w:pPr>
              <w:spacing w:before="0" w:after="0" w:line="299" w:lineRule="exact"/>
              <w:ind w:left="0" w:firstLine="0"/>
              <w:jc w:val="left"/>
            </w:pPr>
            <w:r>
              <w:t xml:space="preserve">217</w:t>
            </w:r>
            <w:r>
              <w:t xml:space="preserve"> </w:t>
            </w:r>
            <w:r>
              <w:t xml:space="preserve">East</w:t>
            </w:r>
            <w:r>
              <w:t xml:space="preserve"> </w:t>
            </w:r>
            <w:r>
              <w:t xml:space="preserve">Redwood</w:t>
            </w:r>
            <w:r>
              <w:t xml:space="preserve"> </w:t>
            </w:r>
            <w:r>
              <w:t xml:space="preserve">Street,</w:t>
            </w:r>
            <w:r>
              <w:t xml:space="preserve"> </w:t>
            </w:r>
            <w:r>
              <w:t xml:space="preserve">21st</w:t>
            </w:r>
            <w:r>
              <w:t xml:space="preserve"> </w:t>
            </w:r>
            <w:r>
              <w:t xml:space="preserve">Floor</w:t>
            </w:r>
          </w:p>
          <w:p>
            <w:pPr>
              <w:spacing w:before="0" w:after="0" w:line="299" w:lineRule="exact"/>
              <w:ind w:left="0" w:firstLine="0"/>
              <w:jc w:val="left"/>
            </w:pPr>
            <w:r>
              <w:t xml:space="preserve">Baltimore,</w:t>
            </w:r>
            <w:r>
              <w:t xml:space="preserve"> </w:t>
            </w:r>
            <w:r>
              <w:t xml:space="preserve">Maryland</w:t>
            </w:r>
            <w:r>
              <w:t xml:space="preserve"> </w:t>
            </w:r>
            <w:r>
              <w:t xml:space="preserve">21202</w:t>
            </w:r>
          </w:p>
          <w:p>
            <w:pPr>
              <w:spacing w:before="0" w:after="0" w:line="299" w:lineRule="exact"/>
              <w:ind w:left="0" w:firstLine="0"/>
              <w:jc w:val="left"/>
            </w:pPr>
            <w:r>
              <w:t xml:space="preserve">Telephone:</w:t>
            </w:r>
            <w:r>
              <w:t xml:space="preserve"> </w:t>
            </w:r>
            <w:r>
              <w:t xml:space="preserve">410</w:t>
              <w:noBreakHyphen/>
              <w:t xml:space="preserve">783</w:t>
              <w:noBreakHyphen/>
              <w:t xml:space="preserve">3547</w:t>
            </w:r>
          </w:p>
          <w:p>
            <w:pPr>
              <w:spacing w:before="0" w:after="0" w:line="299" w:lineRule="exact"/>
              <w:ind w:left="0" w:firstLine="0"/>
              <w:jc w:val="left"/>
            </w:pPr>
            <w:r>
              <w:t xml:space="preserve">Facsimile:</w:t>
            </w:r>
            <w:r>
              <w:t xml:space="preserve"> </w:t>
            </w:r>
            <w:r>
              <w:t xml:space="preserve">410</w:t>
              <w:noBreakHyphen/>
              <w:t xml:space="preserve">783</w:t>
              <w:noBreakHyphen/>
              <w:t xml:space="preserve">3530</w:t>
            </w:r>
          </w:p>
          <w:p>
            <w:pPr>
              <w:spacing w:before="0" w:after="0" w:line="299" w:lineRule="exact"/>
              <w:ind w:left="0" w:firstLine="0"/>
              <w:jc w:val="left"/>
            </w:pPr>
            <w:r>
              <w:t xml:space="preserve">Email:</w:t>
            </w:r>
            <w:r>
              <w:t xml:space="preserve"> </w:t>
            </w:r>
            <w:r>
              <w:t xml:space="preserve">hmstichel@agtlawyers.com</w:t>
            </w:r>
          </w:p>
          <w:p>
            <w:pPr>
              <w:spacing w:before="0" w:after="0" w:line="299" w:lineRule="exact"/>
              <w:ind w:left="0" w:firstLine="0"/>
              <w:jc w:val="left"/>
            </w:pPr>
            <w:r>
              <w:t xml:space="preserve">Attorney</w:t>
            </w:r>
            <w:r>
              <w:t xml:space="preserve"> </w:t>
            </w:r>
            <w:r>
              <w:t xml:space="preserve">for</w:t>
            </w:r>
            <w:r>
              <w:t xml:space="preserve"> </w:t>
            </w:r>
            <w:r>
              <w:t xml:space="preserve">Appellees</w:t>
            </w:r>
          </w:p>
        </w:tc>
      </w:tr>
    </w:tbl>
    <w:p>
      <w:pPr>
        <w:pageBreakBefore/>
        <w:spacing w:before="0" w:after="0" w:line="1" w:lineRule="exact"/>
      </w:pPr>
    </w:p>
    <w:p>
      <w:pPr>
        <w:keepNext/>
        <w:keepLines/>
        <w:spacing w:before="0" w:after="312" w:line="299" w:lineRule="exact"/>
        <w:ind w:left="0" w:firstLine="0"/>
        <w:jc w:val="center"/>
      </w:pPr>
      <w:r>
        <w:rPr>
          <w:b/>
          <w:bCs/>
        </w:rPr>
        <w:t xml:space="preserve">MARYLAND</w:t>
      </w:r>
      <w:r>
        <w:rPr>
          <w:b/>
          <w:bCs/>
        </w:rPr>
        <w:t xml:space="preserve"> </w:t>
      </w:r>
      <w:r>
        <w:rPr>
          <w:b/>
          <w:bCs/>
        </w:rPr>
        <w:t xml:space="preserve">RULE</w:t>
      </w:r>
      <w:r>
        <w:rPr>
          <w:b/>
          <w:bCs/>
        </w:rPr>
        <w:t xml:space="preserve"> </w:t>
      </w:r>
      <w:r>
        <w:rPr>
          <w:b/>
          <w:bCs/>
        </w:rPr>
        <w:t xml:space="preserve">20</w:t>
        <w:noBreakHyphen/>
        <w:t xml:space="preserve">201(f)</w:t>
      </w:r>
      <w:r>
        <w:rPr>
          <w:b/>
          <w:bCs/>
        </w:rPr>
        <w:t xml:space="preserve"> </w:t>
      </w:r>
      <w:r>
        <w:rPr>
          <w:b/>
          <w:bCs/>
        </w:rPr>
        <w:t xml:space="preserve">CERTIFICATE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submission</w:t>
      </w:r>
      <w:r>
        <w:t xml:space="preserve"> </w:t>
      </w:r>
      <w:r>
        <w:t xml:space="preserve">does</w:t>
      </w:r>
      <w:r>
        <w:t xml:space="preserve"> </w:t>
      </w:r>
      <w:r>
        <w:t xml:space="preserve">not</w:t>
      </w:r>
      <w:r>
        <w:t xml:space="preserve"> </w:t>
      </w:r>
      <w:r>
        <w:t xml:space="preserve">contain</w:t>
      </w:r>
      <w:r>
        <w:t xml:space="preserve"> </w:t>
      </w:r>
      <w:r>
        <w:t xml:space="preserve">any</w:t>
      </w:r>
      <w:r>
        <w:t xml:space="preserve"> </w:t>
      </w:r>
      <w:r>
        <w:t xml:space="preserve">restricted</w:t>
      </w:r>
      <w:r>
        <w:t xml:space="preserve"> </w:t>
      </w:r>
      <w:r>
        <w:t xml:space="preserve">information.</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/s/</w:t>
            </w:r>
          </w:p>
          <w:p>
            <w:pPr>
              <w:spacing w:before="0" w:after="0" w:line="299" w:lineRule="exact"/>
              <w:ind w:left="0" w:firstLine="0"/>
              <w:jc w:val="left"/>
            </w:pPr>
            <w:r>
              <w:t xml:space="preserve">H.</w:t>
            </w:r>
            <w:r>
              <w:t xml:space="preserve"> </w:t>
            </w:r>
            <w:r>
              <w:t xml:space="preserve">MARK</w:t>
            </w:r>
            <w:r>
              <w:t xml:space="preserve"> </w:t>
            </w:r>
            <w:r>
              <w:t xml:space="preserve">STICHEL</w:t>
            </w:r>
          </w:p>
          <w:p>
            <w:pPr>
              <w:spacing w:before="0" w:after="0" w:line="299" w:lineRule="exact"/>
              <w:ind w:left="0" w:firstLine="0"/>
              <w:jc w:val="left"/>
            </w:pPr>
            <w:r>
              <w:t xml:space="preserve">Attorney</w:t>
            </w:r>
            <w:r>
              <w:t xml:space="preserve"> </w:t>
            </w:r>
            <w:r>
              <w:t xml:space="preserve">for</w:t>
            </w:r>
            <w:r>
              <w:t xml:space="preserve"> </w:t>
            </w:r>
            <w:r>
              <w:t xml:space="preserve">Appellees</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11th</w:t>
      </w:r>
      <w:r>
        <w:t xml:space="preserve"> </w:t>
      </w:r>
      <w:r>
        <w:t xml:space="preserve">day</w:t>
      </w:r>
      <w:r>
        <w:t xml:space="preserve"> </w:t>
      </w:r>
      <w:r>
        <w:t xml:space="preserve">of</w:t>
      </w:r>
      <w:r>
        <w:t xml:space="preserve"> </w:t>
      </w:r>
      <w:r>
        <w:t xml:space="preserve">May</w:t>
      </w:r>
      <w:r>
        <w:t xml:space="preserve"> </w:t>
      </w:r>
      <w:r>
        <w:t xml:space="preserve">2018,</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for</w:t>
      </w:r>
      <w:r>
        <w:t xml:space="preserve"> </w:t>
      </w:r>
      <w:r>
        <w:t xml:space="preserve">Reconsideration</w:t>
      </w:r>
      <w:r>
        <w:t xml:space="preserve"> </w:t>
      </w:r>
      <w:r>
        <w:t xml:space="preserve">was</w:t>
      </w:r>
      <w:r>
        <w:t xml:space="preserve"> </w:t>
      </w:r>
      <w:r>
        <w:t xml:space="preserve">filed</w:t>
      </w:r>
      <w:r>
        <w:t xml:space="preserve"> </w:t>
      </w:r>
      <w:r>
        <w:t xml:space="preserve">and</w:t>
      </w:r>
      <w:r>
        <w:t xml:space="preserve"> </w:t>
      </w:r>
      <w:r>
        <w:t xml:space="preserve">served</w:t>
      </w:r>
      <w:r>
        <w:t xml:space="preserve"> </w:t>
      </w:r>
      <w:r>
        <w:t xml:space="preserve">electronically</w:t>
      </w:r>
      <w:r>
        <w:t xml:space="preserve"> </w:t>
      </w:r>
      <w:r>
        <w:t xml:space="preserve">on</w:t>
      </w:r>
      <w:r>
        <w:t xml:space="preserve"> </w:t>
      </w:r>
      <w:r>
        <w:t xml:space="preserve">the</w:t>
      </w:r>
      <w:r>
        <w:t xml:space="preserve"> </w:t>
      </w:r>
      <w:r>
        <w:t xml:space="preserve">MDEC</w:t>
      </w:r>
      <w:r>
        <w:t xml:space="preserve"> </w:t>
      </w:r>
      <w:r>
        <w:t xml:space="preserve">system</w:t>
      </w:r>
      <w:r>
        <w:t xml:space="preserve"> </w:t>
      </w:r>
      <w:r>
        <w:t xml:space="preserve">and</w:t>
      </w:r>
      <w:r>
        <w:t xml:space="preserve"> </w:t>
      </w:r>
      <w:r>
        <w:t xml:space="preserve">sent</w:t>
      </w:r>
      <w:r>
        <w:t xml:space="preserve"> </w:t>
      </w:r>
      <w:r>
        <w:t xml:space="preserve">by</w:t>
      </w:r>
      <w:r>
        <w:t xml:space="preserve"> </w:t>
      </w:r>
      <w:r>
        <w:t xml:space="preserve">electronic</w:t>
      </w:r>
      <w:r>
        <w:t xml:space="preserve"> </w:t>
      </w:r>
      <w:r>
        <w:t xml:space="preserve">mail</w:t>
      </w:r>
      <w:r>
        <w:t xml:space="preserve"> </w:t>
      </w:r>
      <w:r>
        <w:t xml:space="preserve">to:</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Julia</w:t>
            </w:r>
            <w:r>
              <w:t xml:space="preserve"> </w:t>
            </w:r>
            <w:r>
              <w:t xml:space="preserve">Doyle</w:t>
            </w:r>
            <w:r>
              <w:t xml:space="preserve"> </w:t>
            </w:r>
            <w:r>
              <w:t xml:space="preserve">Bernhardt</w:t>
            </w:r>
          </w:p>
          <w:p>
            <w:pPr>
              <w:spacing w:before="0" w:after="0" w:line="299" w:lineRule="exact"/>
              <w:ind w:left="0" w:firstLine="0"/>
              <w:jc w:val="left"/>
            </w:pPr>
            <w:r>
              <w:t xml:space="preserve">Andrea</w:t>
            </w:r>
            <w:r>
              <w:t xml:space="preserve"> </w:t>
            </w:r>
            <w:r>
              <w:t xml:space="preserve">W.</w:t>
            </w:r>
            <w:r>
              <w:t xml:space="preserve"> </w:t>
            </w:r>
            <w:r>
              <w:t xml:space="preserve">Trento</w:t>
            </w:r>
          </w:p>
          <w:p>
            <w:pPr>
              <w:spacing w:before="0" w:after="0" w:line="299"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99" w:lineRule="exact"/>
              <w:ind w:left="0" w:firstLine="0"/>
              <w:jc w:val="left"/>
            </w:pPr>
            <w:r>
              <w:t xml:space="preserve">200</w:t>
            </w:r>
            <w:r>
              <w:t xml:space="preserve"> </w:t>
            </w:r>
            <w:r>
              <w:t xml:space="preserve">Saint</w:t>
            </w:r>
            <w:r>
              <w:t xml:space="preserve"> </w:t>
            </w:r>
            <w:r>
              <w:t xml:space="preserve">Paul</w:t>
            </w:r>
            <w:r>
              <w:t xml:space="preserve"> </w:t>
            </w:r>
            <w:r>
              <w:t xml:space="preserve">Place,</w:t>
            </w:r>
            <w:r>
              <w:t xml:space="preserve"> </w:t>
            </w:r>
            <w:r>
              <w:t xml:space="preserve">20th</w:t>
            </w:r>
            <w:r>
              <w:t xml:space="preserve"> </w:t>
            </w:r>
            <w:r>
              <w:t xml:space="preserve">Floor</w:t>
            </w:r>
          </w:p>
          <w:p>
            <w:pPr>
              <w:spacing w:before="0" w:after="0" w:line="299" w:lineRule="exact"/>
              <w:ind w:left="0" w:firstLine="0"/>
              <w:jc w:val="left"/>
            </w:pPr>
            <w:r>
              <w:t xml:space="preserve">Baltimore,</w:t>
            </w:r>
            <w:r>
              <w:t xml:space="preserve"> </w:t>
            </w:r>
            <w:r>
              <w:t xml:space="preserve">Maryland</w:t>
            </w:r>
            <w:r>
              <w:t xml:space="preserve"> </w:t>
            </w:r>
            <w:r>
              <w:t xml:space="preserve">21202</w:t>
            </w:r>
          </w:p>
          <w:p>
            <w:pPr>
              <w:spacing w:before="0" w:after="0" w:line="299" w:lineRule="exact"/>
              <w:ind w:left="0" w:firstLine="0"/>
              <w:jc w:val="left"/>
            </w:pPr>
            <w:r>
              <w:t xml:space="preserve">jbernhardt@oag.state.md.us</w:t>
            </w:r>
          </w:p>
          <w:p>
            <w:pPr>
              <w:spacing w:before="0" w:after="0" w:line="299" w:lineRule="exact"/>
              <w:ind w:left="0" w:firstLine="0"/>
              <w:jc w:val="left"/>
            </w:pPr>
            <w:r>
              <w:t xml:space="preserve">atrento@oag.state.md.us</w:t>
            </w:r>
          </w:p>
          <w:p>
            <w:pPr>
              <w:spacing w:before="0" w:after="0" w:line="299" w:lineRule="exact"/>
              <w:ind w:left="0" w:firstLine="0"/>
              <w:jc w:val="left"/>
            </w:pPr>
            <w:r>
              <w:t xml:space="preserve">(410)</w:t>
            </w:r>
            <w:r>
              <w:t xml:space="preserve"> </w:t>
            </w:r>
            <w:r>
              <w:t xml:space="preserve">576</w:t>
              <w:noBreakHyphen/>
              <w:t xml:space="preserve">6472</w:t>
            </w:r>
          </w:p>
          <w:p>
            <w:pPr>
              <w:spacing w:before="0" w:after="0" w:line="299" w:lineRule="exact"/>
              <w:ind w:left="0" w:firstLine="0"/>
              <w:jc w:val="left"/>
            </w:pPr>
            <w:r>
              <w:t xml:space="preserve">(410)</w:t>
            </w:r>
            <w:r>
              <w:t xml:space="preserve"> </w:t>
            </w:r>
            <w:r>
              <w:t xml:space="preserve">576</w:t>
              <w:noBreakHyphen/>
              <w:t xml:space="preserve">7036</w:t>
            </w:r>
            <w:r>
              <w:t xml:space="preserve"> </w:t>
            </w:r>
            <w:r>
              <w:t xml:space="preserve">(facsimile)</w:t>
            </w:r>
          </w:p>
          <w:p>
            <w:pPr>
              <w:spacing w:before="0" w:after="0" w:line="299" w:lineRule="exact"/>
              <w:ind w:left="0" w:firstLine="0"/>
              <w:jc w:val="left"/>
            </w:pPr>
            <w:r>
              <w:t xml:space="preserve">Attorneys</w:t>
            </w:r>
            <w:r>
              <w:t xml:space="preserve"> </w:t>
            </w:r>
            <w:r>
              <w:t xml:space="preserve">for</w:t>
            </w:r>
            <w:r>
              <w:t xml:space="preserve"> </w:t>
            </w:r>
            <w:r>
              <w:t xml:space="preserve">Appellant/​Petitioner</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/s/</w:t>
            </w:r>
          </w:p>
          <w:p>
            <w:pPr>
              <w:spacing w:before="0" w:after="0" w:line="299" w:lineRule="exact"/>
              <w:ind w:left="0" w:firstLine="0"/>
              <w:jc w:val="left"/>
            </w:pPr>
            <w:r>
              <w:t xml:space="preserve">H.</w:t>
            </w:r>
            <w:r>
              <w:t xml:space="preserve"> </w:t>
            </w:r>
            <w:r>
              <w:t xml:space="preserve">MARK</w:t>
            </w:r>
            <w:r>
              <w:t xml:space="preserve"> </w:t>
            </w:r>
            <w:r>
              <w:t xml:space="preserve">STICHEL</w:t>
            </w:r>
          </w:p>
          <w:p>
            <w:pPr>
              <w:spacing w:before="0" w:after="0" w:line="299" w:lineRule="exact"/>
              <w:ind w:left="0" w:firstLine="0"/>
              <w:jc w:val="left"/>
            </w:pPr>
            <w:r>
              <w:t xml:space="preserve">Attorney</w:t>
            </w:r>
            <w:r>
              <w:t xml:space="preserve"> </w:t>
            </w:r>
            <w:r>
              <w:t xml:space="preserve">for</w:t>
            </w:r>
            <w:r>
              <w:t xml:space="preserve"> </w:t>
            </w:r>
            <w:r>
              <w:t xml:space="preserve">Appellees</w:t>
            </w:r>
          </w:p>
        </w:tc>
      </w:tr>
    </w:tbl>
    <w:sectPr>
      <w:footerReference w:type="default" r:id="rIdFooter1"/>
      <w:footerReference w:type="first" r:id="rIdFooterFirst"/>
      <w:pgSz w:w="12240" w:h="15840"/>
      <w:pgMar w:top="2160" w:right="1440" w:bottom="1440" w:left="216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60"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260"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