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68" w:after="0" w:line="400" w:lineRule="exact"/>
        <w:jc w:val="center"/>
      </w:pPr>
      <w:r>
        <w:rPr>
          <w:b/>
          <w:bCs/>
        </w:rPr>
        <w:t xml:space="preserve">No. </w:t>
      </w:r>
      <w:r>
        <w:rPr>
          <w:b/>
          <w:bCs/>
        </w:rPr>
        <w:t xml:space="preserve">23</w:t>
        <w:noBreakHyphen/>
        <w:t xml:space="preserve">1668</w:t>
      </w:r>
    </w:p>
    <w:p>
      <w:pPr>
        <w:pBdr>
          <w:bottom w:val="thickThinSmallGap" w:sz="12" w:space="1" w:color="000000"/>
        </w:pBdr>
        <w:spacing w:before="280" w:after="0" w:line="120" w:lineRule="exact"/>
        <w:ind w:left="0" w:right="0"/>
      </w:pPr>
    </w:p>
    <w:p>
      <w:pPr>
        <w:spacing w:before="280" w:after="0" w:line="400" w:lineRule="exact"/>
        <w:jc w:val="center"/>
      </w:pPr>
      <w:r>
        <w:rPr>
          <w:b/>
          <w:bCs/>
        </w:rPr>
        <w:t xml:space="preserve">UNITED STATES COURT OF APPEALS FOR THE FIRST CIRCUIT</w:t>
      </w:r>
    </w:p>
    <w:p>
      <w:pPr>
        <w:pBdr>
          <w:bottom w:val="single" w:sz="6" w:space="1" w:color="000000"/>
        </w:pBdr>
        <w:spacing w:before="280" w:after="0" w:line="120" w:lineRule="exact"/>
        <w:ind w:left="3240" w:right="3240"/>
      </w:pPr>
    </w:p>
    <w:p>
      <w:pPr>
        <w:spacing w:before="280" w:after="0" w:line="400" w:lineRule="exact"/>
        <w:jc w:val="center"/>
      </w:pPr>
      <w:r>
        <w:t xml:space="preserve">KIMBERLY</w:t>
      </w:r>
      <w:r>
        <w:t xml:space="preserve"> </w:t>
      </w:r>
      <w:r>
        <w:t xml:space="preserve">A.</w:t>
      </w:r>
      <w:r>
        <w:t xml:space="preserve"> </w:t>
      </w:r>
      <w:r>
        <w:t xml:space="preserve">GRIFFIN,</w:t>
      </w:r>
    </w:p>
    <w:p>
      <w:pPr>
        <w:spacing w:before="98" w:after="0" w:line="400" w:lineRule="exact"/>
        <w:ind w:left="4680"/>
      </w:pPr>
      <w:r>
        <w:t xml:space="preserve">Plaintiff</w:t>
      </w:r>
      <w:r>
        <w:t xml:space="preserve"> </w:t>
      </w:r>
      <w:r>
        <w:t xml:space="preserve">–</w:t>
      </w:r>
      <w:r>
        <w:t xml:space="preserve"> </w:t>
      </w:r>
      <w:r>
        <w:t xml:space="preserve">Appellant,</w:t>
      </w:r>
    </w:p>
    <w:p>
      <w:pPr>
        <w:spacing w:before="84" w:after="84" w:line="400" w:lineRule="exact"/>
        <w:jc w:val="center"/>
      </w:pPr>
      <w:r>
        <w:t xml:space="preserve">v.</w:t>
      </w:r>
    </w:p>
    <w:p>
      <w:pPr>
        <w:spacing w:before="98" w:after="0" w:line="400" w:lineRule="exact"/>
        <w:jc w:val="center"/>
      </w:pPr>
      <w:r>
        <w:t xml:space="preserve">MASSACHUSETTS</w:t>
      </w:r>
      <w:r>
        <w:t xml:space="preserve"> </w:t>
      </w:r>
      <w:r>
        <w:t xml:space="preserve">DEPARTMENT</w:t>
      </w:r>
      <w:r>
        <w:t xml:space="preserve"> </w:t>
      </w:r>
      <w:r>
        <w:t xml:space="preserve">OF</w:t>
      </w:r>
      <w:r>
        <w:t xml:space="preserve"> </w:t>
      </w:r>
      <w:r>
        <w:t xml:space="preserve">REVENUE,</w:t>
      </w:r>
    </w:p>
    <w:p>
      <w:pPr>
        <w:spacing w:before="98" w:after="0" w:line="400" w:lineRule="exact"/>
        <w:ind w:left="4680"/>
      </w:pPr>
      <w:r>
        <w:t xml:space="preserve">Defendant</w:t>
      </w:r>
      <w:r>
        <w:t xml:space="preserve"> </w:t>
      </w:r>
      <w:r>
        <w:t xml:space="preserve">–</w:t>
      </w:r>
      <w:r>
        <w:t xml:space="preserve"> </w:t>
      </w:r>
      <w:r>
        <w:t xml:space="preserve">Appellee.</w:t>
      </w:r>
    </w:p>
    <w:p>
      <w:pPr>
        <w:pBdr>
          <w:bottom w:val="single" w:sz="6" w:space="1" w:color="000000"/>
        </w:pBdr>
        <w:spacing w:before="280" w:after="0" w:line="120" w:lineRule="exact"/>
        <w:ind w:left="3240" w:right="3240"/>
      </w:pPr>
    </w:p>
    <w:p>
      <w:pPr>
        <w:spacing w:before="280" w:after="0" w:line="40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Massachusetts</w:t>
      </w:r>
    </w:p>
    <w:p>
      <w:pPr>
        <w:pBdr>
          <w:bottom w:val="single" w:sz="6" w:space="1" w:color="000000"/>
        </w:pBdr>
        <w:spacing w:before="280" w:after="0" w:line="120" w:lineRule="exact"/>
        <w:ind w:left="3240" w:right="3240"/>
      </w:pPr>
    </w:p>
    <w:p>
      <w:pPr>
        <w:spacing w:before="280" w:after="0" w:line="400" w:lineRule="exact"/>
        <w:jc w:val="center"/>
      </w:pPr>
      <w:r>
        <w:rPr>
          <w:b/>
          <w:bCs/>
          <w:caps/>
        </w:rPr>
        <w:t xml:space="preserve">Brief</w:t>
      </w:r>
      <w:r>
        <w:rPr>
          <w:b/>
          <w:bCs/>
          <w:caps/>
        </w:rPr>
        <w:t xml:space="preserve"> </w:t>
      </w:r>
      <w:r>
        <w:rPr>
          <w:b/>
          <w:bCs/>
          <w:caps/>
        </w:rPr>
        <w:t xml:space="preserve">of</w:t>
      </w:r>
      <w:r>
        <w:rPr>
          <w:b/>
          <w:bCs/>
          <w:caps/>
        </w:rPr>
        <w:t xml:space="preserve"> </w:t>
      </w:r>
      <w:r>
        <w:rPr>
          <w:b/>
          <w:bCs/>
          <w:caps/>
        </w:rPr>
        <w:t xml:space="preserve">Appellee</w:t>
      </w:r>
    </w:p>
    <w:p>
      <w:pPr>
        <w:pBdr>
          <w:bottom w:val="single" w:sz="6" w:space="1" w:color="000000"/>
        </w:pBdr>
        <w:spacing w:before="280" w:after="0" w:line="120" w:lineRule="exact"/>
        <w:ind w:left="3240" w:right="3240"/>
      </w:pPr>
    </w:p>
    <w:p>
      <w:pPr>
        <w:keepLines/>
        <w:spacing w:before="280" w:after="0" w:line="400" w:lineRule="exact"/>
        <w:ind w:left="4680"/>
      </w:pPr>
      <w:r>
        <w:t xml:space="preserve">Jeffrey</w:t>
      </w:r>
      <w:r>
        <w:t xml:space="preserve"> </w:t>
      </w:r>
      <w:r>
        <w:t xml:space="preserve">T.</w:t>
      </w:r>
      <w:r>
        <w:t xml:space="preserve"> </w:t>
      </w:r>
      <w:r>
        <w:t xml:space="preserve">Collins,</w:t>
      </w:r>
      <w:r>
        <w:t xml:space="preserve"> </w:t>
      </w:r>
      <w:r>
        <w:t xml:space="preserve">Esq.</w:t>
      </w:r>
    </w:p>
    <w:p>
      <w:pPr>
        <w:keepLines/>
        <w:spacing w:before="0" w:after="0" w:line="400" w:lineRule="exact"/>
        <w:ind w:left="4680"/>
      </w:pPr>
      <w:r>
        <w:t xml:space="preserve">First</w:t>
      </w:r>
      <w:r>
        <w:t xml:space="preserve"> </w:t>
      </w:r>
      <w:r>
        <w:t xml:space="preserve">Circuit</w:t>
      </w:r>
      <w:r>
        <w:t xml:space="preserve"> </w:t>
      </w:r>
      <w:r>
        <w:t xml:space="preserve">Bar</w:t>
      </w:r>
      <w:r>
        <w:t xml:space="preserve"> </w:t>
      </w:r>
      <w:r>
        <w:t xml:space="preserve">No.</w:t>
      </w:r>
      <w:r>
        <w:t xml:space="preserve"> </w:t>
      </w:r>
      <w:r>
        <w:t xml:space="preserve">1139870</w:t>
      </w:r>
    </w:p>
    <w:p>
      <w:pPr>
        <w:keepLines/>
        <w:spacing w:before="0" w:after="0" w:line="400" w:lineRule="exact"/>
        <w:ind w:left="4680" w:firstLine="140"/>
      </w:pPr>
      <w:r>
        <w:rPr>
          <w:i/>
          <w:iCs/>
        </w:rPr>
        <w:t xml:space="preserve">Special</w:t>
      </w:r>
      <w:r>
        <w:rPr>
          <w:i/>
          <w:iCs/>
        </w:rPr>
        <w:t xml:space="preserve"> </w:t>
      </w:r>
      <w:r>
        <w:rPr>
          <w:i/>
          <w:iCs/>
        </w:rPr>
        <w:t xml:space="preserve">Assistant</w:t>
      </w:r>
      <w:r>
        <w:rPr>
          <w:i/>
          <w:iCs/>
        </w:rPr>
        <w:t xml:space="preserve"> </w:t>
      </w:r>
      <w:r>
        <w:rPr>
          <w:i/>
          <w:iCs/>
        </w:rPr>
        <w:t xml:space="preserve">Attorney</w:t>
      </w:r>
      <w:r>
        <w:rPr>
          <w:i/>
          <w:iCs/>
        </w:rPr>
        <w:t xml:space="preserve"> </w:t>
      </w:r>
      <w:r>
        <w:rPr>
          <w:i/>
          <w:iCs/>
        </w:rPr>
        <w:t xml:space="preserve">General</w:t>
      </w:r>
    </w:p>
    <w:p>
      <w:pPr>
        <w:keepLines/>
        <w:spacing w:before="0" w:after="0" w:line="400" w:lineRule="exact"/>
        <w:ind w:left="4680" w:firstLine="140"/>
      </w:pPr>
      <w:r>
        <w:rPr>
          <w:i/>
          <w:iCs/>
        </w:rPr>
        <w:t xml:space="preserve">Morgan,</w:t>
      </w:r>
      <w:r>
        <w:rPr>
          <w:i/>
          <w:iCs/>
        </w:rPr>
        <w:t xml:space="preserve"> </w:t>
      </w:r>
      <w:r>
        <w:rPr>
          <w:i/>
          <w:iCs/>
        </w:rPr>
        <w:t xml:space="preserve">Brown</w:t>
      </w:r>
      <w:r>
        <w:rPr>
          <w:i/>
          <w:iCs/>
        </w:rPr>
        <w:t xml:space="preserve"> </w:t>
      </w:r>
      <w:r>
        <w:rPr>
          <w:i/>
          <w:iCs/>
        </w:rPr>
        <w:t xml:space="preserve">&amp;</w:t>
      </w:r>
      <w:r>
        <w:rPr>
          <w:i/>
          <w:iCs/>
        </w:rPr>
        <w:t xml:space="preserve"> </w:t>
      </w:r>
      <w:r>
        <w:rPr>
          <w:i/>
          <w:iCs/>
        </w:rPr>
        <w:t xml:space="preserve">Joy,</w:t>
      </w:r>
      <w:r>
        <w:rPr>
          <w:i/>
          <w:iCs/>
        </w:rPr>
        <w:t xml:space="preserve"> </w:t>
      </w:r>
      <w:r>
        <w:rPr>
          <w:i/>
          <w:iCs/>
        </w:rPr>
        <w:t xml:space="preserve">LLP</w:t>
      </w:r>
    </w:p>
    <w:p>
      <w:pPr>
        <w:keepLines/>
        <w:spacing w:before="0" w:after="0" w:line="400" w:lineRule="exact"/>
        <w:ind w:left="4680" w:firstLine="140"/>
      </w:pPr>
      <w:r>
        <w:rPr>
          <w:i/>
          <w:iCs/>
        </w:rPr>
        <w:t xml:space="preserve">200</w:t>
      </w:r>
      <w:r>
        <w:rPr>
          <w:i/>
          <w:iCs/>
        </w:rPr>
        <w:t xml:space="preserve"> </w:t>
      </w:r>
      <w:r>
        <w:rPr>
          <w:i/>
          <w:iCs/>
        </w:rPr>
        <w:t xml:space="preserve">State</w:t>
      </w:r>
      <w:r>
        <w:rPr>
          <w:i/>
          <w:iCs/>
        </w:rPr>
        <w:t xml:space="preserve"> </w:t>
      </w:r>
      <w:r>
        <w:rPr>
          <w:i/>
          <w:iCs/>
        </w:rPr>
        <w:t xml:space="preserve">Street,</w:t>
      </w:r>
      <w:r>
        <w:rPr>
          <w:i/>
          <w:iCs/>
        </w:rPr>
        <w:t xml:space="preserve"> </w:t>
      </w:r>
      <w:r>
        <w:rPr>
          <w:i/>
          <w:iCs/>
        </w:rPr>
        <w:t xml:space="preserve">Suite</w:t>
      </w:r>
      <w:r>
        <w:rPr>
          <w:i/>
          <w:iCs/>
        </w:rPr>
        <w:t xml:space="preserve"> </w:t>
      </w:r>
      <w:r>
        <w:rPr>
          <w:i/>
          <w:iCs/>
        </w:rPr>
        <w:t xml:space="preserve">11A</w:t>
      </w:r>
    </w:p>
    <w:p>
      <w:pPr>
        <w:keepLines/>
        <w:spacing w:before="0" w:after="0" w:line="400" w:lineRule="exact"/>
        <w:ind w:left="4680" w:firstLine="140"/>
      </w:pPr>
      <w:r>
        <w:rPr>
          <w:i/>
          <w:iCs/>
        </w:rPr>
        <w:t xml:space="preserve">Boston,</w:t>
      </w:r>
      <w:r>
        <w:rPr>
          <w:i/>
          <w:iCs/>
        </w:rPr>
        <w:t xml:space="preserve"> </w:t>
      </w:r>
      <w:r>
        <w:rPr>
          <w:i/>
          <w:iCs/>
        </w:rPr>
        <w:t xml:space="preserve">MA</w:t>
      </w:r>
      <w:r>
        <w:rPr>
          <w:i/>
          <w:iCs/>
        </w:rPr>
        <w:t xml:space="preserve"> </w:t>
      </w:r>
      <w:r>
        <w:rPr>
          <w:i/>
          <w:iCs/>
        </w:rPr>
        <w:t xml:space="preserve">02109</w:t>
        <w:noBreakHyphen/>
        <w:t xml:space="preserve">2605</w:t>
      </w:r>
    </w:p>
    <w:p>
      <w:pPr>
        <w:keepLines/>
        <w:spacing w:before="0" w:after="0" w:line="400" w:lineRule="exact"/>
        <w:ind w:left="4680" w:firstLine="140"/>
      </w:pPr>
      <w:r>
        <w:rPr>
          <w:i/>
          <w:iCs/>
        </w:rPr>
        <w:t xml:space="preserve">jcollins@morganbrown.com</w:t>
      </w:r>
    </w:p>
    <w:p>
      <w:pPr>
        <w:keepLines/>
        <w:spacing w:before="0" w:after="0" w:line="400" w:lineRule="exact"/>
        <w:ind w:left="4680" w:firstLine="140"/>
      </w:pPr>
      <w:r>
        <w:rPr>
          <w:i/>
          <w:iCs/>
        </w:rPr>
        <w:t xml:space="preserve">Phone:</w:t>
      </w:r>
      <w:r>
        <w:rPr>
          <w:i/>
          <w:iCs/>
        </w:rPr>
        <w:t xml:space="preserve"> </w:t>
      </w:r>
      <w:r>
        <w:rPr>
          <w:i/>
          <w:iCs/>
        </w:rPr>
        <w:t xml:space="preserve">(617)</w:t>
      </w:r>
      <w:r>
        <w:rPr>
          <w:i/>
          <w:iCs/>
        </w:rPr>
        <w:t xml:space="preserve"> </w:t>
      </w:r>
      <w:r>
        <w:rPr>
          <w:i/>
          <w:iCs/>
        </w:rPr>
        <w:t xml:space="preserve">523</w:t>
        <w:noBreakHyphen/>
        <w:t xml:space="preserve">6666</w:t>
      </w:r>
    </w:p>
    <w:p>
      <w:pPr>
        <w:pBdr>
          <w:bottom w:val="thickThinSmallGap" w:sz="12" w:space="1" w:color="000000"/>
        </w:pBdr>
        <w:spacing w:before="280" w:after="0" w:line="120" w:lineRule="exact"/>
        <w:ind w:left="0" w:right="0"/>
      </w:pPr>
    </w:p>
    <w:p>
      <w:pPr>
        <w:spacing w:before="0" w:after="0" w:line="20" w:lineRule="exact"/>
        <w:sectPr>
          <w:footerReference w:type="default" r:id="rIdFtrNone"/>
          <w:pgSz w:w="12240" w:h="15840"/>
          <w:pgMar w:top="1440" w:right="1440" w:bottom="1440" w:left="1440" w:header="720" w:footer="628"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   </w:t>
      </w:r>
      <w:r>
        <w:tab/>
      </w:r>
      <w:r>
        <w:t xml:space="preserve">ii</w:t>
      </w:r>
    </w:p>
    <w:p>
      <w:pPr>
        <w:keepLines/>
        <w:tabs>
          <w:tab w:val="right" w:leader="dot" w:pos="9360"/>
        </w:tabs>
        <w:spacing w:before="168" w:after="0" w:line="400" w:lineRule="exact"/>
        <w:ind w:left="720" w:right="720" w:hanging="720"/>
      </w:pPr>
      <w:r>
        <w:t xml:space="preserve">STATEMENT OF THE ISSUES   </w:t>
      </w:r>
      <w:r>
        <w:tab/>
      </w:r>
      <w:r>
        <w:t xml:space="preserve">1</w:t>
      </w:r>
    </w:p>
    <w:p>
      <w:pPr>
        <w:keepLines/>
        <w:tabs>
          <w:tab w:val="right" w:leader="dot" w:pos="9360"/>
        </w:tabs>
        <w:spacing w:before="168" w:after="0" w:line="400" w:lineRule="exact"/>
        <w:ind w:left="720" w:right="720" w:hanging="720"/>
      </w:pPr>
      <w:r>
        <w:t xml:space="preserve">STATEMENT OF THE CASE   </w:t>
      </w:r>
      <w:r>
        <w:tab/>
      </w:r>
      <w:r>
        <w:t xml:space="preserve">1</w:t>
      </w:r>
    </w:p>
    <w:p>
      <w:pPr>
        <w:keepLines/>
        <w:tabs>
          <w:tab w:val="right" w:leader="dot" w:pos="9360"/>
        </w:tabs>
        <w:spacing w:before="168" w:after="0" w:line="400" w:lineRule="exact"/>
        <w:ind w:left="720" w:right="720" w:hanging="720"/>
      </w:pPr>
      <w:r>
        <w:t xml:space="preserve">STATEMENT OF FACTS   </w:t>
      </w:r>
      <w:r>
        <w:tab/>
      </w:r>
      <w:r>
        <w:t xml:space="preserve">2</w:t>
      </w:r>
    </w:p>
    <w:p>
      <w:pPr>
        <w:keepLines/>
        <w:tabs>
          <w:tab w:val="right" w:leader="dot" w:pos="9360"/>
        </w:tabs>
        <w:spacing w:before="98" w:after="0" w:line="400" w:lineRule="exact"/>
        <w:ind w:left="1440" w:right="720" w:hanging="720"/>
      </w:pPr>
      <w:r>
        <w:t xml:space="preserve">A.</w:t>
      </w:r>
      <w:r>
        <w:tab/>
      </w:r>
      <w:r>
        <w:t xml:space="preserve">Relevant Statement of Facts Considered by the District Court   </w:t>
      </w:r>
      <w:r>
        <w:tab/>
      </w:r>
      <w:r>
        <w:t xml:space="preserve">2</w:t>
      </w:r>
    </w:p>
    <w:p>
      <w:pPr>
        <w:keepLines/>
        <w:tabs>
          <w:tab w:val="right" w:leader="dot" w:pos="9360"/>
        </w:tabs>
        <w:spacing w:before="168" w:after="0" w:line="400" w:lineRule="exact"/>
        <w:ind w:left="720" w:right="720" w:hanging="720"/>
      </w:pPr>
      <w:r>
        <w:t xml:space="preserve">SUMMARY OF THE ARGUMENT   </w:t>
      </w:r>
      <w:r>
        <w:tab/>
      </w:r>
      <w:r>
        <w:t xml:space="preserve">3</w:t>
      </w:r>
    </w:p>
    <w:p>
      <w:pPr>
        <w:keepLines/>
        <w:tabs>
          <w:tab w:val="right" w:leader="dot" w:pos="9360"/>
        </w:tabs>
        <w:spacing w:before="168" w:after="0" w:line="400" w:lineRule="exact"/>
        <w:ind w:left="720" w:right="720" w:hanging="720"/>
      </w:pPr>
      <w:r>
        <w:t xml:space="preserve">ARGUMENT   </w:t>
      </w:r>
      <w:r>
        <w:tab/>
      </w:r>
      <w:r>
        <w:t xml:space="preserve">4</w:t>
      </w:r>
    </w:p>
    <w:p>
      <w:pPr>
        <w:keepLines/>
        <w:tabs>
          <w:tab w:val="right" w:leader="dot" w:pos="9360"/>
        </w:tabs>
        <w:spacing w:before="98" w:after="0" w:line="400" w:lineRule="exact"/>
        <w:ind w:left="720" w:right="720" w:hanging="720"/>
      </w:pPr>
      <w:r>
        <w:t xml:space="preserve">I.</w:t>
      </w:r>
      <w:r>
        <w:tab/>
      </w:r>
      <w:r>
        <w:t xml:space="preserve">The District Court Did Not Err In Dismissing Griffin’s Action Pursuant To Fed. R. Civ. P. 12(b)⁠(6)   </w:t>
      </w:r>
      <w:r>
        <w:tab/>
      </w:r>
      <w:r>
        <w:t xml:space="preserve">4</w:t>
      </w:r>
    </w:p>
    <w:p>
      <w:pPr>
        <w:keepLines/>
        <w:tabs>
          <w:tab w:val="right" w:leader="dot" w:pos="9360"/>
        </w:tabs>
        <w:spacing w:before="98" w:after="0" w:line="400" w:lineRule="exact"/>
        <w:ind w:left="1440" w:right="720" w:hanging="720"/>
      </w:pPr>
      <w:r>
        <w:t xml:space="preserve">A.</w:t>
      </w:r>
      <w:r>
        <w:tab/>
      </w:r>
      <w:r>
        <w:t xml:space="preserve">The Applicable Standard of Review   </w:t>
      </w:r>
      <w:r>
        <w:tab/>
      </w:r>
      <w:r>
        <w:t xml:space="preserve">4</w:t>
      </w:r>
    </w:p>
    <w:p>
      <w:pPr>
        <w:keepLines/>
        <w:tabs>
          <w:tab w:val="right" w:leader="dot" w:pos="9360"/>
        </w:tabs>
        <w:spacing w:before="168" w:after="0" w:line="400" w:lineRule="exact"/>
        <w:ind w:left="720" w:right="720" w:hanging="720"/>
      </w:pPr>
      <w:r>
        <w:t xml:space="preserve">CONCLUSION   </w:t>
      </w:r>
      <w:r>
        <w:tab/>
      </w:r>
      <w:r>
        <w:t xml:space="preserve">6</w:t>
      </w:r>
    </w:p>
    <w:p>
      <w:pPr>
        <w:keepLines/>
        <w:tabs>
          <w:tab w:val="right" w:leader="dot" w:pos="9360"/>
        </w:tabs>
        <w:spacing w:before="168" w:after="0" w:line="400" w:lineRule="exact"/>
        <w:ind w:left="720" w:right="720" w:hanging="720"/>
      </w:pPr>
      <w:r>
        <w:t xml:space="preserve">CERTIFICATE OF COMPLIANCE   </w:t>
      </w:r>
      <w:r>
        <w:tab/>
      </w:r>
      <w:r>
        <w:t xml:space="preserve">7</w:t>
      </w:r>
    </w:p>
    <w:p>
      <w:pPr>
        <w:keepLines/>
        <w:tabs>
          <w:tab w:val="right" w:leader="dot" w:pos="9360"/>
        </w:tabs>
        <w:spacing w:before="168" w:after="0" w:line="400" w:lineRule="exact"/>
        <w:ind w:left="720" w:right="720" w:hanging="720"/>
      </w:pPr>
      <w:r>
        <w:t xml:space="preserve">CERTIFICATE OF SERVICE   </w:t>
      </w:r>
      <w:r>
        <w:tab/>
      </w:r>
      <w:r>
        <w:t xml:space="preserve">8</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br/>
      </w:r>
      <w:r>
        <w:t xml:space="preserve">556</w:t>
      </w:r>
      <w:r>
        <w:t xml:space="preserve"> </w:t>
      </w:r>
      <w:r>
        <w:t xml:space="preserve">U.S.</w:t>
      </w:r>
      <w:r>
        <w:t xml:space="preserve"> </w:t>
      </w:r>
      <w:r>
        <w:t xml:space="preserve">662</w:t>
      </w:r>
      <w:r>
        <w:t xml:space="preserve"> </w:t>
      </w:r>
      <w:r>
        <w:t xml:space="preserve">(2009)</w:t>
      </w:r>
      <w:r>
        <w:t xml:space="preserve">   </w:t>
      </w:r>
      <w:r>
        <w:tab/>
      </w:r>
      <w:r>
        <w:t xml:space="preserve">4, 5</w:t>
      </w:r>
    </w:p>
    <w:p>
      <w:pPr>
        <w:keepLines/>
        <w:tabs>
          <w:tab w:val="right" w:leader="dot" w:pos="9360"/>
        </w:tabs>
        <w:spacing w:before="196" w:after="0" w:line="400" w:lineRule="exact"/>
        <w:ind w:left="504" w:right="1120" w:hanging="504"/>
      </w:pPr>
      <w:r>
        <w:rPr>
          <w:i/>
          <w:iCs/>
        </w:rPr>
        <w:t xml:space="preserve">Aulson</w:t>
      </w:r>
      <w:r>
        <w:rPr>
          <w:i/>
          <w:iCs/>
        </w:rPr>
        <w:t xml:space="preserve"> </w:t>
      </w:r>
      <w:r>
        <w:rPr>
          <w:i/>
          <w:iCs/>
        </w:rPr>
        <w:t xml:space="preserve">v.</w:t>
      </w:r>
      <w:r>
        <w:rPr>
          <w:i/>
          <w:iCs/>
        </w:rPr>
        <w:t xml:space="preserve"> </w:t>
      </w:r>
      <w:r>
        <w:rPr>
          <w:i/>
          <w:iCs/>
        </w:rPr>
        <w:t xml:space="preserve">Blanchard</w:t>
      </w:r>
      <w:r>
        <w:t xml:space="preserve">,</w:t>
      </w:r>
      <w:r>
        <w:br/>
      </w:r>
      <w:r>
        <w:t xml:space="preserve">83</w:t>
      </w:r>
      <w:r>
        <w:t xml:space="preserve"> </w:t>
      </w:r>
      <w:r>
        <w:t xml:space="preserve">F.3d</w:t>
      </w:r>
      <w:r>
        <w:t xml:space="preserve"> </w:t>
      </w:r>
      <w:r>
        <w:t xml:space="preserve">1</w:t>
      </w:r>
      <w:r>
        <w:t xml:space="preserve"> </w:t>
      </w:r>
      <w:r>
        <w:t xml:space="preserve">(1st</w:t>
      </w:r>
      <w:r>
        <w:t xml:space="preserve"> </w:t>
      </w:r>
      <w:r>
        <w:t xml:space="preserve">Cir.</w:t>
      </w:r>
      <w:r>
        <w:t xml:space="preserve"> </w:t>
      </w:r>
      <w:r>
        <w:t xml:space="preserve">1996)</w:t>
      </w:r>
      <w:r>
        <w:t xml:space="preserve">   </w:t>
      </w:r>
      <w:r>
        <w:tab/>
      </w:r>
      <w:r>
        <w:t xml:space="preserve">5</w:t>
      </w:r>
    </w:p>
    <w:p>
      <w:pPr>
        <w:keepLines/>
        <w:tabs>
          <w:tab w:val="right" w:leader="dot" w:pos="9360"/>
        </w:tabs>
        <w:spacing w:before="196" w:after="0" w:line="400" w:lineRule="exact"/>
        <w:ind w:left="504" w:right="1120" w:hanging="504"/>
      </w:pPr>
      <w:r>
        <w:rPr>
          <w:i/>
          <w:iCs/>
        </w:rPr>
        <w:t xml:space="preserve">Bell</w:t>
      </w:r>
      <w:r>
        <w:rPr>
          <w:i/>
          <w:iCs/>
        </w:rPr>
        <w:t xml:space="preserve"> </w:t>
      </w:r>
      <w:r>
        <w:rPr>
          <w:i/>
          <w:iCs/>
        </w:rPr>
        <w:t xml:space="preserve">Atlantic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br/>
      </w:r>
      <w:r>
        <w:t xml:space="preserve">550</w:t>
      </w:r>
      <w:r>
        <w:t xml:space="preserve"> </w:t>
      </w:r>
      <w:r>
        <w:t xml:space="preserve">U.S.</w:t>
      </w:r>
      <w:r>
        <w:t xml:space="preserve"> </w:t>
      </w:r>
      <w:r>
        <w:t xml:space="preserve">544</w:t>
      </w:r>
      <w:r>
        <w:t xml:space="preserve"> </w:t>
      </w:r>
      <w:r>
        <w:t xml:space="preserve">(2007)</w:t>
      </w:r>
      <w:r>
        <w:t xml:space="preserve">   </w:t>
      </w:r>
      <w:r>
        <w:tab/>
      </w:r>
      <w:r>
        <w:t xml:space="preserve">4</w:t>
      </w:r>
    </w:p>
    <w:p>
      <w:pPr>
        <w:keepLines/>
        <w:tabs>
          <w:tab w:val="right" w:leader="dot" w:pos="9360"/>
        </w:tabs>
        <w:spacing w:before="196" w:after="0" w:line="400" w:lineRule="exact"/>
        <w:ind w:left="504" w:right="1120" w:hanging="504"/>
      </w:pPr>
      <w:r>
        <w:rPr>
          <w:i/>
          <w:iCs/>
        </w:rPr>
        <w:t xml:space="preserve">Berner</w:t>
      </w:r>
      <w:r>
        <w:rPr>
          <w:i/>
          <w:iCs/>
        </w:rPr>
        <w:t xml:space="preserve"> </w:t>
      </w:r>
      <w:r>
        <w:rPr>
          <w:i/>
          <w:iCs/>
        </w:rPr>
        <w:t xml:space="preserve">v.</w:t>
      </w:r>
      <w:r>
        <w:rPr>
          <w:i/>
          <w:iCs/>
        </w:rPr>
        <w:t xml:space="preserve"> </w:t>
      </w:r>
      <w:r>
        <w:rPr>
          <w:i/>
          <w:iCs/>
        </w:rPr>
        <w:t xml:space="preserve">Delahanty</w:t>
      </w:r>
      <w:r>
        <w:t xml:space="preserve">,</w:t>
      </w:r>
      <w:r>
        <w:br/>
      </w:r>
      <w:r>
        <w:t xml:space="preserve">129</w:t>
      </w:r>
      <w:r>
        <w:t xml:space="preserve"> </w:t>
      </w:r>
      <w:r>
        <w:t xml:space="preserve">F.3d</w:t>
      </w:r>
      <w:r>
        <w:t xml:space="preserve"> </w:t>
      </w:r>
      <w:r>
        <w:t xml:space="preserve">20</w:t>
      </w:r>
      <w:r>
        <w:t xml:space="preserve"> </w:t>
      </w:r>
      <w:r>
        <w:t xml:space="preserve">(1st</w:t>
      </w:r>
      <w:r>
        <w:t xml:space="preserve"> </w:t>
      </w:r>
      <w:r>
        <w:t xml:space="preserve">Cir.</w:t>
      </w:r>
      <w:r>
        <w:t xml:space="preserve"> </w:t>
      </w:r>
      <w:r>
        <w:t xml:space="preserve">1997)</w:t>
      </w:r>
      <w:r>
        <w:t xml:space="preserve">   </w:t>
      </w:r>
      <w:r>
        <w:tab/>
      </w:r>
      <w:r>
        <w:t xml:space="preserve">5</w:t>
      </w:r>
    </w:p>
    <w:p>
      <w:pPr>
        <w:keepLines/>
        <w:tabs>
          <w:tab w:val="right" w:leader="dot" w:pos="9360"/>
        </w:tabs>
        <w:spacing w:before="196" w:after="0" w:line="400" w:lineRule="exact"/>
        <w:ind w:left="504" w:right="1120" w:hanging="504"/>
      </w:pPr>
      <w:r>
        <w:rPr>
          <w:i/>
          <w:iCs/>
        </w:rPr>
        <w:t xml:space="preserve">Hostar</w:t>
      </w:r>
      <w:r>
        <w:rPr>
          <w:i/>
          <w:iCs/>
        </w:rPr>
        <w:t xml:space="preserve"> </w:t>
      </w:r>
      <w:r>
        <w:rPr>
          <w:i/>
          <w:iCs/>
        </w:rPr>
        <w:t xml:space="preserve">Marine</w:t>
      </w:r>
      <w:r>
        <w:rPr>
          <w:i/>
          <w:iCs/>
        </w:rPr>
        <w:t xml:space="preserve"> </w:t>
      </w:r>
      <w:r>
        <w:rPr>
          <w:i/>
          <w:iCs/>
        </w:rPr>
        <w:t xml:space="preserve">Transp.</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592</w:t>
      </w:r>
      <w:r>
        <w:t xml:space="preserve"> </w:t>
      </w:r>
      <w:r>
        <w:t xml:space="preserve">F.3d</w:t>
      </w:r>
      <w:r>
        <w:t xml:space="preserve"> </w:t>
      </w:r>
      <w:r>
        <w:t xml:space="preserve">202</w:t>
      </w:r>
      <w:r>
        <w:t xml:space="preserve"> </w:t>
      </w:r>
      <w:r>
        <w:t xml:space="preserve">(1st</w:t>
      </w:r>
      <w:r>
        <w:t xml:space="preserve"> </w:t>
      </w:r>
      <w:r>
        <w:t xml:space="preserve">Cir.</w:t>
      </w:r>
      <w:r>
        <w:t xml:space="preserve"> </w:t>
      </w:r>
      <w:r>
        <w:t xml:space="preserve">2010)</w:t>
      </w:r>
      <w:r>
        <w:t xml:space="preserve">   </w:t>
      </w:r>
      <w:r>
        <w:tab/>
      </w:r>
      <w:r>
        <w:t xml:space="preserve">4</w:t>
      </w:r>
    </w:p>
    <w:p>
      <w:pPr>
        <w:keepLines/>
        <w:tabs>
          <w:tab w:val="right" w:leader="dot" w:pos="9360"/>
        </w:tabs>
        <w:spacing w:before="196" w:after="0" w:line="400" w:lineRule="exact"/>
        <w:ind w:left="504" w:right="1120" w:hanging="504"/>
      </w:pPr>
      <w:r>
        <w:rPr>
          <w:i/>
          <w:iCs/>
        </w:rPr>
        <w:t xml:space="preserve">InterGen</w:t>
      </w:r>
      <w:r>
        <w:rPr>
          <w:i/>
          <w:iCs/>
        </w:rPr>
        <w:t xml:space="preserve"> </w:t>
      </w:r>
      <w:r>
        <w:rPr>
          <w:i/>
          <w:iCs/>
        </w:rPr>
        <w:t xml:space="preserve">N.V.</w:t>
      </w:r>
      <w:r>
        <w:rPr>
          <w:i/>
          <w:iCs/>
        </w:rPr>
        <w:t xml:space="preserve"> </w:t>
      </w:r>
      <w:r>
        <w:rPr>
          <w:i/>
          <w:iCs/>
        </w:rPr>
        <w:t xml:space="preserve">v.</w:t>
      </w:r>
      <w:r>
        <w:rPr>
          <w:i/>
          <w:iCs/>
        </w:rPr>
        <w:t xml:space="preserve"> </w:t>
      </w:r>
      <w:r>
        <w:rPr>
          <w:i/>
          <w:iCs/>
        </w:rPr>
        <w:t xml:space="preserve">Grina</w:t>
      </w:r>
      <w:r>
        <w:t xml:space="preserve">,</w:t>
      </w:r>
      <w:r>
        <w:br/>
      </w:r>
      <w:r>
        <w:t xml:space="preserve">344</w:t>
      </w:r>
      <w:r>
        <w:t xml:space="preserve"> </w:t>
      </w:r>
      <w:r>
        <w:t xml:space="preserve">F.3d</w:t>
      </w:r>
      <w:r>
        <w:t xml:space="preserve"> </w:t>
      </w:r>
      <w:r>
        <w:t xml:space="preserve">134</w:t>
      </w:r>
      <w:r>
        <w:t xml:space="preserve"> </w:t>
      </w:r>
      <w:r>
        <w:t xml:space="preserve">(1st</w:t>
      </w:r>
      <w:r>
        <w:t xml:space="preserve"> </w:t>
      </w:r>
      <w:r>
        <w:t xml:space="preserve">Cir.</w:t>
      </w:r>
      <w:r>
        <w:t xml:space="preserve"> </w:t>
      </w:r>
      <w:r>
        <w:t xml:space="preserve">2003)</w:t>
      </w:r>
      <w:r>
        <w:t xml:space="preserve">   </w:t>
      </w:r>
      <w:r>
        <w:tab/>
      </w:r>
      <w:r>
        <w:t xml:space="preserve">4</w:t>
      </w:r>
    </w:p>
    <w:p>
      <w:pPr>
        <w:keepLines/>
        <w:tabs>
          <w:tab w:val="right" w:leader="dot" w:pos="9360"/>
        </w:tabs>
        <w:spacing w:before="196" w:after="0" w:line="400" w:lineRule="exact"/>
        <w:ind w:left="504" w:right="1120" w:hanging="504"/>
      </w:pPr>
      <w:r>
        <w:rPr>
          <w:i/>
          <w:iCs/>
        </w:rPr>
        <w:t xml:space="preserve">Mass.</w:t>
      </w:r>
      <w:r>
        <w:rPr>
          <w:i/>
          <w:iCs/>
        </w:rPr>
        <w:t xml:space="preserve"> </w:t>
      </w:r>
      <w:r>
        <w:rPr>
          <w:i/>
          <w:iCs/>
        </w:rPr>
        <w:t xml:space="preserve">Sch.</w:t>
      </w:r>
      <w:r>
        <w:rPr>
          <w:i/>
          <w:iCs/>
        </w:rPr>
        <w:t xml:space="preserve"> </w:t>
      </w:r>
      <w:r>
        <w:rPr>
          <w:i/>
          <w:iCs/>
        </w:rPr>
        <w:t xml:space="preserve">of</w:t>
      </w:r>
      <w:r>
        <w:rPr>
          <w:i/>
          <w:iCs/>
        </w:rPr>
        <w:t xml:space="preserve"> </w:t>
      </w:r>
      <w:r>
        <w:rPr>
          <w:i/>
          <w:iCs/>
        </w:rPr>
        <w:t xml:space="preserve">Law</w:t>
      </w:r>
      <w:r>
        <w:rPr>
          <w:i/>
          <w:iCs/>
        </w:rPr>
        <w:t xml:space="preserve"> </w:t>
      </w:r>
      <w:r>
        <w:rPr>
          <w:i/>
          <w:iCs/>
        </w:rPr>
        <w:t xml:space="preserve">v.</w:t>
      </w:r>
      <w:r>
        <w:rPr>
          <w:i/>
          <w:iCs/>
        </w:rPr>
        <w:t xml:space="preserve"> </w:t>
      </w:r>
      <w:r>
        <w:rPr>
          <w:i/>
          <w:iCs/>
        </w:rPr>
        <w:t xml:space="preserve">ABA</w:t>
      </w:r>
      <w:r>
        <w:t xml:space="preserve">,</w:t>
      </w:r>
      <w:r>
        <w:br/>
      </w:r>
      <w:r>
        <w:t xml:space="preserve">142</w:t>
      </w:r>
      <w:r>
        <w:t xml:space="preserve"> </w:t>
      </w:r>
      <w:r>
        <w:t xml:space="preserve">F.3d</w:t>
      </w:r>
      <w:r>
        <w:t xml:space="preserve"> </w:t>
      </w:r>
      <w:r>
        <w:t xml:space="preserve">26</w:t>
      </w:r>
      <w:r>
        <w:t xml:space="preserve"> </w:t>
      </w:r>
      <w:r>
        <w:t xml:space="preserve">(1st</w:t>
      </w:r>
      <w:r>
        <w:t xml:space="preserve"> </w:t>
      </w:r>
      <w:r>
        <w:t xml:space="preserve">Cir.</w:t>
      </w:r>
      <w:r>
        <w:t xml:space="preserve"> </w:t>
      </w:r>
      <w:r>
        <w:t xml:space="preserve">1998)</w:t>
      </w:r>
      <w:r>
        <w:t xml:space="preserve">   </w:t>
      </w:r>
      <w:r>
        <w:tab/>
      </w:r>
      <w:r>
        <w:t xml:space="preserve">5</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AVX</w:t>
      </w:r>
      <w:r>
        <w:rPr>
          <w:i/>
          <w:iCs/>
        </w:rPr>
        <w:t xml:space="preserve"> </w:t>
      </w:r>
      <w:r>
        <w:rPr>
          <w:i/>
          <w:iCs/>
        </w:rPr>
        <w:t xml:space="preserve">Corp.</w:t>
      </w:r>
      <w:r>
        <w:t xml:space="preserve">,</w:t>
      </w:r>
      <w:r>
        <w:br/>
      </w:r>
      <w:r>
        <w:t xml:space="preserve">962</w:t>
      </w:r>
      <w:r>
        <w:t xml:space="preserve"> </w:t>
      </w:r>
      <w:r>
        <w:t xml:space="preserve">F.2d</w:t>
      </w:r>
      <w:r>
        <w:t xml:space="preserve"> </w:t>
      </w:r>
      <w:r>
        <w:t xml:space="preserve">108</w:t>
      </w:r>
      <w:r>
        <w:t xml:space="preserve"> </w:t>
      </w:r>
      <w:r>
        <w:t xml:space="preserve">(1st</w:t>
      </w:r>
      <w:r>
        <w:t xml:space="preserve"> </w:t>
      </w:r>
      <w:r>
        <w:t xml:space="preserve">Cir.</w:t>
      </w:r>
      <w:r>
        <w:t xml:space="preserve"> </w:t>
      </w:r>
      <w:r>
        <w:t xml:space="preserve">1992)</w:t>
      </w:r>
      <w:r>
        <w:t xml:space="preserve">   </w:t>
      </w:r>
      <w:r>
        <w:tab/>
      </w:r>
      <w:r>
        <w:t xml:space="preserve">5</w:t>
      </w:r>
    </w:p>
    <w:p>
      <w:pPr>
        <w:keepLines/>
        <w:tabs>
          <w:tab w:val="right" w:leader="dot" w:pos="9360"/>
        </w:tabs>
        <w:spacing w:before="196" w:after="0" w:line="400" w:lineRule="exact"/>
        <w:ind w:left="504" w:right="1120" w:hanging="504"/>
      </w:pPr>
      <w:r>
        <w:rPr>
          <w:i/>
          <w:iCs/>
        </w:rPr>
        <w:t xml:space="preserve">Watterson</w:t>
      </w:r>
      <w:r>
        <w:rPr>
          <w:i/>
          <w:iCs/>
        </w:rPr>
        <w:t xml:space="preserve"> </w:t>
      </w:r>
      <w:r>
        <w:rPr>
          <w:i/>
          <w:iCs/>
        </w:rPr>
        <w:t xml:space="preserve">v.</w:t>
      </w:r>
      <w:r>
        <w:rPr>
          <w:i/>
          <w:iCs/>
        </w:rPr>
        <w:t xml:space="preserve"> </w:t>
      </w:r>
      <w:r>
        <w:rPr>
          <w:i/>
          <w:iCs/>
        </w:rPr>
        <w:t xml:space="preserve">Page</w:t>
      </w:r>
      <w:r>
        <w:t xml:space="preserve">,</w:t>
      </w:r>
      <w:r>
        <w:br/>
      </w:r>
      <w:r>
        <w:t xml:space="preserve">987</w:t>
      </w:r>
      <w:r>
        <w:t xml:space="preserve"> </w:t>
      </w:r>
      <w:r>
        <w:t xml:space="preserve">F.2d</w:t>
      </w:r>
      <w:r>
        <w:t xml:space="preserve"> </w:t>
      </w:r>
      <w:r>
        <w:t xml:space="preserve">1</w:t>
      </w:r>
      <w:r>
        <w:t xml:space="preserve"> </w:t>
      </w:r>
      <w:r>
        <w:t xml:space="preserve">(1st</w:t>
      </w:r>
      <w:r>
        <w:t xml:space="preserve"> </w:t>
      </w:r>
      <w:r>
        <w:t xml:space="preserve">Cir.</w:t>
      </w:r>
      <w:r>
        <w:t xml:space="preserve"> </w:t>
      </w:r>
      <w:r>
        <w:t xml:space="preserve">1993)</w:t>
      </w:r>
      <w:r>
        <w:t xml:space="preserve">   </w:t>
      </w:r>
      <w:r>
        <w:tab/>
      </w:r>
      <w:r>
        <w:t xml:space="preserve">3, 4</w:t>
      </w:r>
    </w:p>
    <w:p>
      <w:pPr>
        <w:keepNext/>
        <w:keepLines/>
        <w:tabs>
          <w:tab w:val="right" w:pos="9360"/>
        </w:tabs>
        <w:spacing w:before="392" w:after="56" w:line="400" w:lineRule="exact"/>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1, 4</w:t>
      </w:r>
    </w:p>
    <w:p>
      <w:pPr>
        <w:spacing w:before="0" w:after="0" w:line="20" w:lineRule="exact"/>
        <w:sectPr>
          <w:footerReference w:type="default" r:id="rIdFtrPage"/>
          <w:pgSz w:w="12240" w:h="15840"/>
          <w:pgMar w:top="1440" w:right="1440" w:bottom="1440" w:left="1440" w:header="720" w:footer="628" w:gutter="0"/>
          <w:pgNumType w:fmt="lowerRoman" w:start="1"/>
        </w:sectPr>
      </w:pPr>
    </w:p>
    <w:p>
      <w:pPr>
        <w:pStyle w:val="Heading1"/>
        <w:keepNext/>
        <w:keepLines/>
        <w:spacing w:before="0" w:after="308" w:line="400" w:lineRule="exact"/>
        <w:ind w:left="0" w:firstLine="0"/>
        <w:jc w:val="center"/>
      </w:pPr>
      <w:r>
        <w:rPr>
          <w:b/>
          <w:bCs/>
          <w:sz w:val="32"/>
          <w:szCs w:val="32"/>
        </w:rPr>
        <w:t xml:space="preserve">STATEMENT OF THE ISSUES</w:t>
      </w:r>
    </w:p>
    <w:p>
      <w:pPr>
        <w:pStyle w:val="FirstParagraph"/>
      </w:pPr>
      <w:r>
        <w:t xml:space="preserve">1. Did the District Court err in dismissing Griffin’s Complaint pursuant to Fed. R. Civ. P. 12(b)⁠(6) for failure to state a claim upon which relief can be granted due to Griffin’s failure to plead sufficient facts to establish that her religious belief or religious practice prevented her from being vaccinated?</w:t>
      </w:r>
    </w:p>
    <w:p>
      <w:pPr>
        <w:pStyle w:val="Heading1"/>
        <w:keepNext/>
        <w:keepLines/>
        <w:spacing w:before="420" w:after="308" w:line="400" w:lineRule="exact"/>
        <w:ind w:left="0" w:firstLine="0"/>
        <w:jc w:val="center"/>
      </w:pPr>
      <w:r>
        <w:rPr>
          <w:b/>
          <w:bCs/>
          <w:sz w:val="32"/>
          <w:szCs w:val="32"/>
        </w:rPr>
        <w:t xml:space="preserve">STATEMENT OF THE CASE</w:t>
      </w:r>
    </w:p>
    <w:p>
      <w:pPr>
        <w:pStyle w:val="BodyText"/>
      </w:pPr>
      <w:r>
        <w:t xml:space="preserve">On November 22, 2022, Kimberly Griffin (“Appellant” or “Griffin”) filed a complaint with the United States District Court for the District of Massachusetts (“District Court”) alleging that the Massachusetts Department of Revenue (the “DOR”) discriminated against her on the basis of her religion (the “Complaint”). (Appx 8</w:t>
      </w:r>
      <w:r>
        <w:noBreakHyphen/>
      </w:r>
      <w:r>
        <w:t xml:space="preserve">12). Specifically, the Complaint alleged that the DOR discriminated against her under Title VII by denying her request for an exemption from the Commonwealth of Massachusetts’ (“Commonwealth”) COVID</w:t>
      </w:r>
      <w:r>
        <w:noBreakHyphen/>
      </w:r>
      <w:r>
        <w:t xml:space="preserve">19 vaccine requirement for executive department employees on religious grounds and by terminating her employment due to her admitted failure to comply with the Commonwealth’s vaccine requirement.</w:t>
      </w:r>
    </w:p>
    <w:p>
      <w:pPr>
        <w:pStyle w:val="BodyText"/>
      </w:pPr>
      <w:r>
        <w:t xml:space="preserve">On February 3, 2023, the DOR filed its Motion to Dismiss Griffin’s Complaint pursuant to Fed. R. Civ. P. 12(b)⁠(6) on the grounds that Griffin failed to plead sufficient facts to meet the required legal elements of her religious discrimination claim.</w:t>
      </w:r>
    </w:p>
    <w:p>
      <w:pPr>
        <w:pStyle w:val="BodyText"/>
      </w:pPr>
      <w:r>
        <w:t xml:space="preserve">On July 20, 2023, the District Court issued an Order granting the DOR’s Motion to Dismiss Griffin’s Complaint (the “Order”) (Appx 43</w:t>
      </w:r>
      <w:r>
        <w:noBreakHyphen/>
      </w:r>
      <w:r>
        <w:t xml:space="preserve">56). In its Order, the District Court found that Griffin had failed to allege sufficient facts to establish that the Commonwealth’s vaccination requirement conflicted with a sincerely held religious practice or belief. For that reason, the District Court determined that Griffin had failed to establish a prima facie case of religious discrimination under Title VII, and dismissed Griffin’s Complaint.</w:t>
      </w:r>
    </w:p>
    <w:p>
      <w:pPr>
        <w:pStyle w:val="BodyText"/>
      </w:pPr>
      <w:r>
        <w:t xml:space="preserve">On August 8, 2023, Griffin filed a Notice of Appeal as to the District Court’s Order. For the reasons explained herein, the District Court’s Order should stand in all respects.</w:t>
      </w:r>
    </w:p>
    <w:p>
      <w:pPr>
        <w:pStyle w:val="Heading1"/>
        <w:keepNext/>
        <w:keepLines/>
        <w:spacing w:before="420" w:after="308" w:line="400" w:lineRule="exact"/>
        <w:ind w:left="0" w:firstLine="0"/>
        <w:jc w:val="center"/>
      </w:pPr>
      <w:r>
        <w:rPr>
          <w:b/>
          <w:bCs/>
          <w:sz w:val="32"/>
          <w:szCs w:val="32"/>
        </w:rPr>
        <w:t xml:space="preserve">STATEMENT OF FACTS</w:t>
      </w:r>
    </w:p>
    <w:p>
      <w:pPr>
        <w:pStyle w:val="Heading2"/>
        <w:keepNext/>
        <w:keepLines/>
        <w:spacing w:before="308" w:after="252" w:line="400" w:lineRule="exact"/>
        <w:ind w:left="1440" w:hanging="720"/>
      </w:pPr>
      <w:r>
        <w:rPr>
          <w:b/>
          <w:bCs/>
        </w:rPr>
        <w:t xml:space="preserve">A.</w:t>
      </w:r>
      <w:r>
        <w:rPr>
          <w:b/>
          <w:bCs/>
        </w:rPr>
        <w:tab/>
      </w:r>
      <w:r>
        <w:rPr>
          <w:b/>
          <w:bCs/>
        </w:rPr>
        <w:t xml:space="preserve">Relevant</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Considered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p>
    <w:p>
      <w:pPr>
        <w:pStyle w:val="BodyText"/>
      </w:pPr>
      <w:r>
        <w:t xml:space="preserve">On August 19, 2021, the Commonwealth of Massachusetts adopted a mandatory COVID</w:t>
      </w:r>
      <w:r>
        <w:noBreakHyphen/>
      </w:r>
      <w:r>
        <w:t xml:space="preserve">19 vaccination policy for executive department employees. (Appx 44</w:t>
      </w:r>
      <w:r>
        <w:noBreakHyphen/>
      </w:r>
      <w:r>
        <w:t xml:space="preserve">45).</w:t>
      </w:r>
      <w:r>
        <w:rPr>
          <w:rStyle w:val="FootnoteReference"/>
        </w:rPr>
        <w:footnoteReference w:id="9"/>
      </w:r>
      <w:r>
        <w:t xml:space="preserve"> </w:t>
      </w:r>
      <w:r>
        <w:t xml:space="preserve">The policy provided for exemptions for medical or religious reasons. See Executive Order No. 595, Implementing a Requirement for COVID</w:t>
      </w:r>
      <w:r>
        <w:noBreakHyphen/>
      </w:r>
      <w:r>
        <w:t xml:space="preserve">19 Vaccination for the Commonwealth’s Executive Department Employees. Id.</w:t>
      </w:r>
      <w:r>
        <w:rPr>
          <w:rStyle w:val="FootnoteReference"/>
        </w:rPr>
        <w:footnoteReference w:id="10"/>
      </w:r>
    </w:p>
    <w:p>
      <w:pPr>
        <w:pStyle w:val="Heading1"/>
        <w:keepNext/>
        <w:keepLines/>
        <w:spacing w:before="420" w:after="308" w:line="400" w:lineRule="exact"/>
        <w:ind w:left="0" w:firstLine="0"/>
        <w:jc w:val="center"/>
      </w:pPr>
      <w:r>
        <w:rPr>
          <w:b/>
          <w:bCs/>
          <w:sz w:val="32"/>
          <w:szCs w:val="32"/>
        </w:rPr>
        <w:t xml:space="preserve">SUMMARY OF THE ARGUMENT</w:t>
      </w:r>
    </w:p>
    <w:p>
      <w:pPr>
        <w:pStyle w:val="BodyText"/>
      </w:pPr>
      <w:r>
        <w:t xml:space="preserve">In her Complaint, Griffin alleged that the DOR discriminated against her in violation of Title VII of the Civil Rights Act of 1964 by failing to grant her request for a religious exemption from the Commonwealth’s COVID</w:t>
      </w:r>
      <w:r>
        <w:noBreakHyphen/>
      </w:r>
      <w:r>
        <w:t xml:space="preserve">19 vaccine requirement. After receiving Griffin’s request for an exemption from the vaccine requirement, the DOR engaged Griffin in an interactive dialogue. As part of the interactive dialogue the DOR asked Griffin, in writing, to expand on how a COVID</w:t>
      </w:r>
      <w:r>
        <w:noBreakHyphen/>
      </w:r>
      <w:r>
        <w:t xml:space="preserve">19 vaccine conflicted with her asserted sincerely held religious beliefs. Griffin failed to describe a religious belief or practice of any kind, but rather replied that:</w:t>
      </w:r>
    </w:p>
    <w:p>
      <w:pPr>
        <w:pStyle w:val="BlockText"/>
      </w:pPr>
      <w:r>
        <w:t xml:space="preserve">“My sincerely held religious belief is that I should not receive the COVID</w:t>
      </w:r>
      <w:r>
        <w:noBreakHyphen/>
      </w:r>
      <w:r>
        <w:t xml:space="preserve">19 vaccine. I have closely contemplated with God and have been shown that I should not receive the Covid</w:t>
      </w:r>
      <w:r>
        <w:noBreakHyphen/>
      </w:r>
      <w:r>
        <w:t xml:space="preserve">19 vaccine. Therefore, the Covid</w:t>
      </w:r>
      <w:r>
        <w:noBreakHyphen/>
      </w:r>
      <w:r>
        <w:t xml:space="preserve">19 vaccine specifically conflicts with my sincerely held religious belief.”</w:t>
      </w:r>
    </w:p>
    <w:p>
      <w:pPr>
        <w:pStyle w:val="FirstParagraph"/>
      </w:pPr>
      <w:r>
        <w:t xml:space="preserve">(Appx 21</w:t>
      </w:r>
      <w:r>
        <w:noBreakHyphen/>
      </w:r>
      <w:r>
        <w:t xml:space="preserve">24).</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Griffin’s</w:t>
      </w:r>
      <w:r>
        <w:rPr>
          <w:b/>
          <w:bCs/>
        </w:rPr>
        <w:t xml:space="preserve"> </w:t>
      </w:r>
      <w:r>
        <w:rPr>
          <w:b/>
          <w:bCs/>
        </w:rPr>
        <w:t xml:space="preserve">Action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12(b)⁠(6)</w:t>
      </w:r>
    </w:p>
    <w:p>
      <w:pPr>
        <w:pStyle w:val="Heading3"/>
        <w:keepNext/>
        <w:keepLine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Applicable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the District Court’s granting of a motion to dismiss under Fed. R. Civ. P. 12(b)⁠(6) de novo. See</w:t>
      </w:r>
      <w:r>
        <w:t xml:space="preserve"> </w:t>
      </w:r>
      <w:r>
        <w:rPr>
          <w:i/>
          <w:iCs/>
        </w:rPr>
        <w:t xml:space="preserve">Hostar Marine Transp. Sys., Inc. v. United States</w:t>
      </w:r>
      <w:r>
        <w:t xml:space="preserve">, 592 F.3d 202, 207 (1st Cir. 2010). The Court is “not wedded to the lower court’s rationale, but, rather, may affirm its order on any independent ground made manifest by the record.”</w:t>
      </w:r>
      <w:r>
        <w:t xml:space="preserve"> </w:t>
      </w:r>
      <w:r>
        <w:rPr>
          <w:i/>
          <w:iCs/>
        </w:rPr>
        <w:t xml:space="preserve">InterGen N.V. v. Grina</w:t>
      </w:r>
      <w:r>
        <w:t xml:space="preserve">, 344 F.3d 134, 141 (1st Cir. 2003).</w:t>
      </w:r>
    </w:p>
    <w:p>
      <w:pPr>
        <w:pStyle w:val="BodyText"/>
      </w:pPr>
      <w:r>
        <w:t xml:space="preserve">To survive a motion to dismiss under Rule 12(b)⁠(6),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The Court must accept all well-pleaded facts alleged in the Complaint as true and draw all reasonable inferences in favor of the plaintiff.</w:t>
      </w:r>
      <w:r>
        <w:t xml:space="preserve"> </w:t>
      </w:r>
      <w:r>
        <w:rPr>
          <w:i/>
          <w:iCs/>
        </w:rPr>
        <w:t xml:space="preserve">Watterson v. Page</w:t>
      </w:r>
      <w:r>
        <w:t xml:space="preserve">, 987 F.2d 1, 3 (1st Cir. 1993). This “does not mean, however, that a court must (or should) accept every allegation made by the complainant, no matter how conclusory or generalized.”</w:t>
      </w:r>
      <w:r>
        <w:t xml:space="preserve"> </w:t>
      </w:r>
      <w:r>
        <w:rPr>
          <w:i/>
          <w:iCs/>
        </w:rPr>
        <w:t xml:space="preserve">United States v. AVX Corp.</w:t>
      </w:r>
      <w:r>
        <w:t xml:space="preserve">, 962 F.2d 108, 115 (1st Cir. 1992). The Court is not obliged to “honor subjective characterizations, optimistic predictions, or problematic suppositions ….”</w:t>
      </w:r>
      <w:r>
        <w:t xml:space="preserve"> </w:t>
      </w:r>
      <w:r>
        <w:rPr>
          <w:i/>
          <w:iCs/>
        </w:rPr>
        <w:t xml:space="preserve">Id.</w:t>
      </w:r>
      <w:r>
        <w:t xml:space="preserve"> </w:t>
      </w:r>
      <w:r>
        <w:t xml:space="preserve">Moreover, “a reviewing court need not ‘swallow plaintiff’s invective hook, line, and sinker; bald assertions, unsupportable conclusions, periphrastic circumlocutions, and the like need not be credited.’”</w:t>
      </w:r>
      <w:r>
        <w:t xml:space="preserve"> </w:t>
      </w:r>
      <w:r>
        <w:rPr>
          <w:i/>
          <w:iCs/>
        </w:rPr>
        <w:t xml:space="preserve">Mass. Sch. of Law v. ABA</w:t>
      </w:r>
      <w:r>
        <w:t xml:space="preserve">, 142 F.3d 26, 40 (1st Cir. 1998) (quoting</w:t>
      </w:r>
      <w:r>
        <w:t xml:space="preserve"> </w:t>
      </w:r>
      <w:r>
        <w:rPr>
          <w:i/>
          <w:iCs/>
        </w:rPr>
        <w:t xml:space="preserve">Aulson v. Blanchard</w:t>
      </w:r>
      <w:r>
        <w:t xml:space="preserve">, 83 F.3d 1, 3 (1st Cir. 1996)).</w:t>
      </w:r>
    </w:p>
    <w:p>
      <w:pPr>
        <w:pStyle w:val="BodyText"/>
      </w:pPr>
      <w:r>
        <w:t xml:space="preserve">Dismissal for failure to state a claim is appropriate when the pleadings fail to set forth “factual allegations, either direct or inferential, respecting each material element necessary to sustain recovery under some actionable legal theory.”</w:t>
      </w:r>
      <w:r>
        <w:t xml:space="preserve"> </w:t>
      </w:r>
      <w:r>
        <w:rPr>
          <w:i/>
          <w:iCs/>
        </w:rPr>
        <w:t xml:space="preserve">Berner v. Delahanty</w:t>
      </w:r>
      <w:r>
        <w:t xml:space="preserve">, 129 F.3d 20, 25 (1st Cir. 1997) (quotation and citation omitted). The tenet that a court must accept as true all of the allegations contained in a complaint is inapplicable to legal conclusions.</w:t>
      </w:r>
      <w:r>
        <w:t xml:space="preserve"> </w:t>
      </w:r>
      <w:r>
        <w:rPr>
          <w:i/>
          <w:iCs/>
        </w:rPr>
        <w:t xml:space="preserve">Iqbal</w:t>
      </w:r>
      <w:r>
        <w:t xml:space="preserve">, 556 U.S. at 678. Moreover, threadbare recitals of the elements of a cause of action, supported by mere conclusory statements, do not suffice.</w:t>
      </w:r>
      <w:r>
        <w:t xml:space="preserve"> </w:t>
      </w:r>
      <w:r>
        <w:rPr>
          <w:i/>
          <w:iCs/>
        </w:rPr>
        <w:t xml:space="preserve">Id.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For</w:t>
      </w:r>
      <w:r>
        <w:t xml:space="preserve"> </w:t>
      </w:r>
      <w:r>
        <w:t xml:space="preserve">the</w:t>
      </w:r>
      <w:r>
        <w:t xml:space="preserve"> </w:t>
      </w:r>
      <w:r>
        <w:t xml:space="preserve">foregoing</w:t>
      </w:r>
      <w:r>
        <w:t xml:space="preserve"> </w:t>
      </w:r>
      <w:r>
        <w:t xml:space="preserve">reasons,</w:t>
      </w:r>
      <w:r>
        <w:t xml:space="preserve"> </w:t>
      </w:r>
      <w:r>
        <w:t xml:space="preserve">the</w:t>
      </w:r>
      <w:r>
        <w:t xml:space="preserve"> </w:t>
      </w:r>
      <w:r>
        <w:t xml:space="preserve">DOR</w:t>
      </w:r>
      <w:r>
        <w:t xml:space="preserve"> </w:t>
      </w:r>
      <w:r>
        <w:t xml:space="preserve">respectfully</w:t>
      </w:r>
      <w:r>
        <w:t xml:space="preserve"> </w:t>
      </w:r>
      <w:r>
        <w:t xml:space="preserve">requests</w:t>
      </w:r>
      <w:r>
        <w:t xml:space="preserve"> </w:t>
      </w:r>
      <w:r>
        <w:t xml:space="preserve">that</w:t>
      </w:r>
      <w:r>
        <w:t xml:space="preserve"> </w:t>
      </w:r>
      <w:r>
        <w:t xml:space="preserve">this</w:t>
      </w:r>
      <w:r>
        <w:t xml:space="preserve"> </w:t>
      </w:r>
      <w:r>
        <w:t xml:space="preserve">Court</w:t>
      </w:r>
      <w:r>
        <w:t xml:space="preserve"> </w:t>
      </w:r>
      <w:r>
        <w:t xml:space="preserve">affirm</w:t>
      </w:r>
      <w:r>
        <w:t xml:space="preserve"> </w:t>
      </w:r>
      <w:r>
        <w:t xml:space="preserve">the</w:t>
      </w:r>
      <w:r>
        <w:t xml:space="preserve"> </w:t>
      </w:r>
      <w:r>
        <w:t xml:space="preserve">Order</w:t>
      </w:r>
      <w:r>
        <w:t xml:space="preserve"> </w:t>
      </w:r>
      <w:r>
        <w:t xml:space="preserve">and</w:t>
      </w:r>
      <w:r>
        <w:t xml:space="preserve"> </w:t>
      </w:r>
      <w:r>
        <w:t xml:space="preserve">Judgment</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t xml:space="preserve">to</w:t>
      </w:r>
      <w:r>
        <w:t xml:space="preserve"> </w:t>
      </w:r>
      <w:r>
        <w:t xml:space="preserve">dismiss</w:t>
      </w:r>
      <w:r>
        <w:t xml:space="preserve"> </w:t>
      </w:r>
      <w:r>
        <w:t xml:space="preserve">Griffin’s</w:t>
      </w:r>
      <w:r>
        <w:t xml:space="preserve"> </w:t>
      </w:r>
      <w:r>
        <w:t xml:space="preserve">Complaint</w:t>
      </w:r>
      <w:r>
        <w:t xml:space="preserve"> </w:t>
      </w:r>
      <w:r>
        <w:t xml:space="preserve">with</w:t>
      </w:r>
      <w:r>
        <w:t xml:space="preserve"> </w:t>
      </w:r>
      <w:r>
        <w:t xml:space="preserve">prejudice.</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Jeffrey T. Collins</w:t>
      </w:r>
    </w:p>
    <w:p>
      <w:pPr>
        <w:keepNext/>
        <w:keepLines/>
        <w:spacing w:before="0" w:after="0" w:line="400" w:lineRule="exact"/>
        <w:ind w:left="4680"/>
      </w:pPr>
      <w:r>
        <w:t xml:space="preserve">JEFFREY T. COLLINS</w:t>
      </w:r>
    </w:p>
    <w:p>
      <w:pPr>
        <w:keepNext/>
        <w:keepLines/>
        <w:spacing w:before="0" w:after="0" w:line="400" w:lineRule="exact"/>
        <w:ind w:left="4680" w:firstLine="140"/>
      </w:pPr>
      <w:r>
        <w:rPr>
          <w:i/>
          <w:iCs/>
        </w:rPr>
        <w:t xml:space="preserve">Special</w:t>
      </w:r>
      <w:r>
        <w:rPr>
          <w:i/>
          <w:iCs/>
        </w:rPr>
        <w:t xml:space="preserve"> </w:t>
      </w:r>
      <w:r>
        <w:rPr>
          <w:i/>
          <w:iCs/>
        </w:rPr>
        <w:t xml:space="preserve">Assistant</w:t>
      </w:r>
      <w:r>
        <w:rPr>
          <w:i/>
          <w:iCs/>
        </w:rPr>
        <w:t xml:space="preserve"> </w:t>
      </w:r>
      <w:r>
        <w:rPr>
          <w:i/>
          <w:iCs/>
        </w:rPr>
        <w:t xml:space="preserve">Attorney</w:t>
      </w:r>
      <w:r>
        <w:rPr>
          <w:i/>
          <w:iCs/>
        </w:rPr>
        <w:t xml:space="preserve"> </w:t>
      </w:r>
      <w:r>
        <w:rPr>
          <w:i/>
          <w:iCs/>
        </w:rPr>
        <w:t xml:space="preserve">General</w:t>
      </w:r>
    </w:p>
    <w:p>
      <w:pPr>
        <w:keepNext/>
        <w:keepLines/>
        <w:spacing w:before="0" w:after="0" w:line="400" w:lineRule="exact"/>
        <w:ind w:left="4680" w:firstLine="140"/>
      </w:pPr>
      <w:r>
        <w:rPr>
          <w:i/>
          <w:iCs/>
        </w:rPr>
        <w:t xml:space="preserve">Morgan,</w:t>
      </w:r>
      <w:r>
        <w:rPr>
          <w:i/>
          <w:iCs/>
        </w:rPr>
        <w:t xml:space="preserve"> </w:t>
      </w:r>
      <w:r>
        <w:rPr>
          <w:i/>
          <w:iCs/>
        </w:rPr>
        <w:t xml:space="preserve">Brown</w:t>
      </w:r>
      <w:r>
        <w:rPr>
          <w:i/>
          <w:iCs/>
        </w:rPr>
        <w:t xml:space="preserve"> </w:t>
      </w:r>
      <w:r>
        <w:rPr>
          <w:i/>
          <w:iCs/>
        </w:rPr>
        <w:t xml:space="preserve">&amp;</w:t>
      </w:r>
      <w:r>
        <w:rPr>
          <w:i/>
          <w:iCs/>
        </w:rPr>
        <w:t xml:space="preserve"> </w:t>
      </w:r>
      <w:r>
        <w:rPr>
          <w:i/>
          <w:iCs/>
        </w:rPr>
        <w:t xml:space="preserve">Joy,</w:t>
      </w:r>
      <w:r>
        <w:rPr>
          <w:i/>
          <w:iCs/>
        </w:rPr>
        <w:t xml:space="preserve"> </w:t>
      </w:r>
      <w:r>
        <w:rPr>
          <w:i/>
          <w:iCs/>
        </w:rPr>
        <w:t xml:space="preserve">LLP</w:t>
      </w:r>
    </w:p>
    <w:p>
      <w:pPr>
        <w:keepNext/>
        <w:keepLines/>
        <w:spacing w:before="0" w:after="0" w:line="400" w:lineRule="exact"/>
        <w:ind w:left="4680" w:firstLine="140"/>
      </w:pPr>
      <w:r>
        <w:rPr>
          <w:i/>
          <w:iCs/>
        </w:rPr>
        <w:t xml:space="preserve">200</w:t>
      </w:r>
      <w:r>
        <w:rPr>
          <w:i/>
          <w:iCs/>
        </w:rPr>
        <w:t xml:space="preserve"> </w:t>
      </w:r>
      <w:r>
        <w:rPr>
          <w:i/>
          <w:iCs/>
        </w:rPr>
        <w:t xml:space="preserve">State</w:t>
      </w:r>
      <w:r>
        <w:rPr>
          <w:i/>
          <w:iCs/>
        </w:rPr>
        <w:t xml:space="preserve"> </w:t>
      </w:r>
      <w:r>
        <w:rPr>
          <w:i/>
          <w:iCs/>
        </w:rPr>
        <w:t xml:space="preserve">Street,</w:t>
      </w:r>
      <w:r>
        <w:rPr>
          <w:i/>
          <w:iCs/>
        </w:rPr>
        <w:t xml:space="preserve"> </w:t>
      </w:r>
      <w:r>
        <w:rPr>
          <w:i/>
          <w:iCs/>
        </w:rPr>
        <w:t xml:space="preserve">Suite</w:t>
      </w:r>
      <w:r>
        <w:rPr>
          <w:i/>
          <w:iCs/>
        </w:rPr>
        <w:t xml:space="preserve"> </w:t>
      </w:r>
      <w:r>
        <w:rPr>
          <w:i/>
          <w:iCs/>
        </w:rPr>
        <w:t xml:space="preserve">11A</w:t>
      </w:r>
    </w:p>
    <w:p>
      <w:pPr>
        <w:keepNext/>
        <w:keepLines/>
        <w:spacing w:before="0" w:after="0" w:line="400" w:lineRule="exact"/>
        <w:ind w:left="4680" w:firstLine="140"/>
      </w:pPr>
      <w:r>
        <w:rPr>
          <w:i/>
          <w:iCs/>
        </w:rPr>
        <w:t xml:space="preserve">Boston,</w:t>
      </w:r>
      <w:r>
        <w:rPr>
          <w:i/>
          <w:iCs/>
        </w:rPr>
        <w:t xml:space="preserve"> </w:t>
      </w:r>
      <w:r>
        <w:rPr>
          <w:i/>
          <w:iCs/>
        </w:rPr>
        <w:t xml:space="preserve">MA</w:t>
      </w:r>
      <w:r>
        <w:rPr>
          <w:i/>
          <w:iCs/>
        </w:rPr>
        <w:t xml:space="preserve"> </w:t>
      </w:r>
      <w:r>
        <w:rPr>
          <w:i/>
          <w:iCs/>
        </w:rPr>
        <w:t xml:space="preserve">02109</w:t>
        <w:noBreakHyphen/>
        <w:t xml:space="preserve">2605</w:t>
      </w:r>
    </w:p>
    <w:p>
      <w:pPr>
        <w:keepNext/>
        <w:keepLines/>
        <w:spacing w:before="0" w:after="0" w:line="400" w:lineRule="exact"/>
        <w:ind w:left="4680" w:firstLine="140"/>
      </w:pPr>
      <w:r>
        <w:rPr>
          <w:i/>
          <w:iCs/>
        </w:rPr>
        <w:t xml:space="preserve">Tele:</w:t>
      </w:r>
      <w:r>
        <w:rPr>
          <w:i/>
          <w:iCs/>
        </w:rPr>
        <w:t xml:space="preserve"> </w:t>
      </w:r>
      <w:r>
        <w:rPr>
          <w:i/>
          <w:iCs/>
        </w:rPr>
        <w:t xml:space="preserve">(617)</w:t>
      </w:r>
      <w:r>
        <w:rPr>
          <w:i/>
          <w:iCs/>
        </w:rPr>
        <w:t xml:space="preserve"> </w:t>
      </w:r>
      <w:r>
        <w:rPr>
          <w:i/>
          <w:iCs/>
        </w:rPr>
        <w:t xml:space="preserve">523</w:t>
        <w:noBreakHyphen/>
        <w:t xml:space="preserve">6666</w:t>
      </w:r>
    </w:p>
    <w:p>
      <w:pPr>
        <w:keepNext/>
        <w:keepLines/>
        <w:spacing w:before="0" w:after="0" w:line="400" w:lineRule="exact"/>
        <w:ind w:left="4680" w:firstLine="140"/>
      </w:pPr>
      <w:r>
        <w:rPr>
          <w:i/>
          <w:iCs/>
        </w:rPr>
        <w:t xml:space="preserve">jcollins@morganbrown.com</w:t>
      </w:r>
    </w:p>
    <w:p>
      <w:pPr>
        <w:keepLines/>
        <w:spacing w:before="224" w:after="0" w:line="400" w:lineRule="exact"/>
        <w:ind w:left="0"/>
      </w:pPr>
      <w:r>
        <w:t xml:space="preserve">January</w:t>
      </w:r>
      <w:r>
        <w:t xml:space="preserve"> </w:t>
      </w:r>
      <w:r>
        <w:t xml:space="preserve">2,</w:t>
      </w:r>
      <w:r>
        <w:t xml:space="preserve"> </w:t>
      </w:r>
      <w:r>
        <w:t xml:space="preserve">2024</w:t>
      </w:r>
    </w:p>
    <w:p>
      <w:pPr>
        <w:pStyle w:val="Heading1"/>
        <w:keepNext/>
        <w:keepLines/>
        <w:pageBreakBefore/>
        <w:spacing w:before="0" w:after="308" w:line="400" w:lineRule="exact"/>
        <w:ind w:left="0" w:firstLine="0"/>
        <w:jc w:val="center"/>
      </w:pPr>
      <w:r>
        <w:rPr>
          <w:b/>
          <w:bCs/>
          <w:sz w:val="32"/>
          <w:szCs w:val="32"/>
        </w:rPr>
        <w:t xml:space="preserve">CERTIFICATE OF COMPLIANCE</w:t>
      </w:r>
    </w:p>
    <w:p>
      <w:pPr>
        <w:keepLines/>
        <w:spacing w:before="0" w:after="0" w:line="400" w:lineRule="exact"/>
        <w:ind w:left="720" w:hanging="720"/>
      </w:pPr>
      <w:r>
        <w:t xml:space="preserve">1.</w:t>
      </w:r>
      <w:r>
        <w:tab/>
      </w:r>
      <w:r>
        <w:t xml:space="preserve">This document complies with the type-volume limit of Fed. R. App. P. 32(a)⁠(7)⁠(B) because, excluding the parts of the document exempted by Fed. R. App. P. 32(f):</w:t>
      </w:r>
    </w:p>
    <w:p>
      <w:pPr>
        <w:keepLines/>
        <w:spacing w:before="224" w:after="224" w:line="400" w:lineRule="exact"/>
        <w:ind w:left="896" w:hanging="448"/>
      </w:pPr>
      <w:r>
        <w:rPr>
          <w:bdr w:val="single" w:sz="6" w:space="0" w:color="000000"/>
        </w:rPr>
        <w:t xml:space="preserve">X</w:t>
      </w:r>
      <w:r>
        <w:tab/>
      </w:r>
      <w:r>
        <w:t xml:space="preserve">this document contains 1,012 words.</w:t>
      </w:r>
    </w:p>
    <w:p>
      <w:pPr>
        <w:keepLines/>
        <w:spacing w:before="0" w:after="0" w:line="400" w:lineRule="exact"/>
        <w:ind w:left="720" w:hanging="720"/>
      </w:pPr>
      <w:r>
        <w:t xml:space="preserve">2.</w:t>
      </w:r>
      <w:r>
        <w:tab/>
      </w:r>
      <w:r>
        <w:t xml:space="preserve">This document complies with the typeface requirements of Fed. R. App. P. 32(a)⁠(5) and the type-style requirements of Fed. R. App. P. 32(a)⁠(6) because:</w:t>
      </w:r>
    </w:p>
    <w:p>
      <w:pPr>
        <w:keepLines/>
        <w:spacing w:before="224" w:after="224" w:line="400" w:lineRule="exact"/>
        <w:ind w:left="896" w:hanging="448"/>
      </w:pPr>
      <w:r>
        <w:rPr>
          <w:bdr w:val="single" w:sz="6" w:space="0" w:color="000000"/>
        </w:rPr>
        <w:t xml:space="preserve">X</w:t>
      </w:r>
      <w:r>
        <w:tab/>
      </w:r>
      <w:r>
        <w:t xml:space="preserve">this document has been prepared in a proportionally spaced typeface using </w:t>
      </w:r>
      <w:r>
        <w:t xml:space="preserve">Typst</w:t>
      </w:r>
      <w:r>
        <w:t xml:space="preserve"> </w:t>
      </w:r>
      <w:r>
        <w:t xml:space="preserve">0.15.1</w:t>
      </w:r>
      <w:r>
        <w:t xml:space="preserve"> in 14-point </w:t>
      </w:r>
      <w:r>
        <w:t xml:space="preserve">Liberation</w:t>
      </w:r>
      <w:r>
        <w:t xml:space="preserve"> </w:t>
      </w:r>
      <w:r>
        <w:t xml:space="preserve">Serif</w:t>
      </w:r>
      <w:r>
        <w:t xml:space="preserve"> roman type.</w:t>
      </w:r>
    </w:p>
    <w:p>
      <w:pPr>
        <w:keepNext/>
        <w:keepLines/>
        <w:spacing w:before="448" w:after="0" w:line="400" w:lineRule="exact"/>
        <w:ind w:left="4680"/>
      </w:pPr>
      <w:r>
        <w:t xml:space="preserve">/s/ Jeffrey T. Collins</w:t>
      </w:r>
    </w:p>
    <w:p>
      <w:pPr>
        <w:keepNext/>
        <w:keepLines/>
        <w:spacing w:before="0" w:after="0" w:line="400" w:lineRule="exact"/>
        <w:ind w:left="4680"/>
      </w:pPr>
      <w:r>
        <w:t xml:space="preserve">Attorney for </w:t>
      </w:r>
      <w:r>
        <w:t xml:space="preserve">Defendant</w:t>
      </w:r>
      <w:r>
        <w:t xml:space="preserve"> </w:t>
      </w:r>
      <w:r>
        <w:t xml:space="preserve">–</w:t>
      </w:r>
      <w:r>
        <w:t xml:space="preserve"> </w:t>
      </w:r>
      <w:r>
        <w:t xml:space="preserve">Appellee</w:t>
      </w:r>
      <w:r>
        <w:t xml:space="preserve"> </w:t>
      </w:r>
      <w:r>
        <w:t xml:space="preserve">Massachusetts</w:t>
      </w:r>
      <w:r>
        <w:t xml:space="preserve"> </w:t>
      </w:r>
      <w:r>
        <w:t xml:space="preserve">Department</w:t>
      </w:r>
      <w:r>
        <w:t xml:space="preserve"> </w:t>
      </w:r>
      <w:r>
        <w:t xml:space="preserve">of</w:t>
      </w:r>
      <w:r>
        <w:t xml:space="preserve"> </w:t>
      </w:r>
      <w:r>
        <w:t xml:space="preserve">Revenue</w:t>
      </w:r>
    </w:p>
    <w:p>
      <w:pPr>
        <w:keepLines/>
        <w:spacing w:before="0" w:after="0" w:line="400" w:lineRule="exact"/>
        <w:ind w:left="4680"/>
      </w:pPr>
      <w:r>
        <w:t xml:space="preserve">Dated: </w:t>
      </w:r>
      <w:r>
        <w:t xml:space="preserve">January</w:t>
      </w:r>
      <w:r>
        <w:t xml:space="preserve"> </w:t>
      </w:r>
      <w:r>
        <w:t xml:space="preserve">2,</w:t>
      </w:r>
      <w:r>
        <w:t xml:space="preserve"> </w:t>
      </w:r>
      <w:r>
        <w:t xml:space="preserve">2024</w:t>
      </w:r>
    </w:p>
    <w:p>
      <w:pPr>
        <w:pStyle w:val="Heading1"/>
        <w:keepNext/>
        <w:keepLines/>
        <w:pageBreakBefore/>
        <w:spacing w:before="0" w:after="308" w:line="400" w:lineRule="exact"/>
        <w:ind w:left="0" w:firstLine="0"/>
        <w:jc w:val="center"/>
      </w:pPr>
      <w:r>
        <w:rPr>
          <w:b/>
          <w:bCs/>
          <w:sz w:val="32"/>
          <w:szCs w:val="32"/>
        </w:rPr>
        <w:t xml:space="preserve">CERTIFICATE OF SERVICE</w:t>
      </w:r>
    </w:p>
    <w:p>
      <w:pPr>
        <w:spacing w:before="0" w:after="280" w:line="400" w:lineRule="exact"/>
        <w:ind w:left="0"/>
      </w:pPr>
      <w:r>
        <w:t xml:space="preserve">I hereby certify that on </w:t>
      </w:r>
      <w:r>
        <w:t xml:space="preserve">January</w:t>
      </w:r>
      <w:r>
        <w:t xml:space="preserve"> </w:t>
      </w:r>
      <w:r>
        <w:t xml:space="preserve">2,</w:t>
      </w:r>
      <w:r>
        <w:t xml:space="preserve"> </w:t>
      </w:r>
      <w:r>
        <w:t xml:space="preserve">2024</w:t>
      </w:r>
      <w:r>
        <w:t xml:space="preserve">, I electronically filed the foregoing with the Clerk of the Court for the United States Court of Appeals for the First Circuit by using the appellate CM/ECF system, which will send notification of such filing to all counsel of record.</w:t>
      </w:r>
    </w:p>
    <w:p>
      <w:pPr>
        <w:keepNext/>
        <w:keepLines/>
        <w:spacing w:before="448" w:after="0" w:line="400" w:lineRule="exact"/>
        <w:ind w:left="4680"/>
      </w:pPr>
      <w:r>
        <w:t xml:space="preserve">/s/ Jeffrey T. Collins</w:t>
      </w:r>
    </w:p>
    <w:p>
      <w:pPr>
        <w:keepNext/>
        <w:keepLines/>
        <w:spacing w:before="0" w:after="0" w:line="400" w:lineRule="exact"/>
        <w:ind w:left="4680"/>
      </w:pPr>
      <w:r>
        <w:t xml:space="preserve">Attorney for </w:t>
      </w:r>
      <w:r>
        <w:t xml:space="preserve">Defendant</w:t>
      </w:r>
      <w:r>
        <w:t xml:space="preserve"> </w:t>
      </w:r>
      <w:r>
        <w:t xml:space="preserve">–</w:t>
      </w:r>
      <w:r>
        <w:t xml:space="preserve"> </w:t>
      </w:r>
      <w:r>
        <w:t xml:space="preserve">Appellee</w:t>
      </w:r>
      <w:r>
        <w:t xml:space="preserve"> </w:t>
      </w:r>
      <w:r>
        <w:t xml:space="preserve">Massachusetts</w:t>
      </w:r>
      <w:r>
        <w:t xml:space="preserve"> </w:t>
      </w:r>
      <w:r>
        <w:t xml:space="preserve">Department</w:t>
      </w:r>
      <w:r>
        <w:t xml:space="preserve"> </w:t>
      </w:r>
      <w:r>
        <w:t xml:space="preserve">of</w:t>
      </w:r>
      <w:r>
        <w:t xml:space="preserve"> </w:t>
      </w:r>
      <w:r>
        <w:t xml:space="preserve">Revenue</w:t>
      </w:r>
    </w:p>
    <w:p>
      <w:pPr>
        <w:keepLines/>
        <w:spacing w:before="0" w:after="0" w:line="400" w:lineRule="exact"/>
        <w:ind w:left="4680"/>
      </w:pPr>
      <w:r>
        <w:t xml:space="preserve">Dated: </w:t>
      </w:r>
      <w:r>
        <w:t xml:space="preserve">January</w:t>
      </w:r>
      <w:r>
        <w:t xml:space="preserve"> </w:t>
      </w:r>
      <w:r>
        <w:t xml:space="preserve">2,</w:t>
      </w:r>
      <w:r>
        <w:t xml:space="preserve"> </w:t>
      </w:r>
      <w:r>
        <w:t xml:space="preserve">2024</w:t>
      </w:r>
    </w:p>
    <w:sectPr>
      <w:footerReference w:type="default" r:id="rIdFtrPage"/>
      <w:pgSz w:w="12240" w:h="15840"/>
      <w:pgMar w:top="1440" w:right="1440" w:bottom="1440" w:left="1440" w:header="720" w:footer="62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documents submitted as part of the Appendix are cited to herein as “Appx #”</w:t>
      </w:r>
    </w:p>
  </w:footnote>
  <w:footnote w:id="10">
    <w:p>
      <w:pPr>
        <w:pStyle w:val="FootnoteText"/>
      </w:pPr>
      <w:r>
        <w:rPr>
          <w:rStyle w:val="FootnoteReference"/>
        </w:rPr>
        <w:footnoteRef/>
      </w:r>
      <w:r>
        <w:t xml:space="preserve"> </w:t>
      </w:r>
      <w:r>
        <w:t xml:space="preserve">The District Court relied on the facts alleged in the Complaint and certain documents provided by the parties, including (1) Griffin’s request for an exemption (2) a follow up e-mail explaining her responses (3) the DOR’s denial of her request (4) Griffin’s follow-up emails requesting an opportunity for further reconsideration; and (5) Griffin’s e-mail stating her objection to her termination. See</w:t>
      </w:r>
      <w:r>
        <w:t xml:space="preserve"> </w:t>
      </w:r>
      <w:r>
        <w:rPr>
          <w:i/>
          <w:iCs/>
        </w:rPr>
        <w:t xml:space="preserve">Watterson v. Page</w:t>
      </w:r>
      <w:r>
        <w:t xml:space="preserve">, 987 F.2d 1, 3 (1st Cir. 1993) (Appx 44).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