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230491</w:t>
      </w:r>
    </w:p>
    <w:p>
      <w:pPr>
        <w:spacing w:before="448" w:after="0" w:line="322" w:lineRule="exact"/>
        <w:ind w:left="0" w:firstLine="0"/>
        <w:jc w:val="left"/>
      </w:pPr>
      <w:r>
        <w:t xml:space="preserve">BOARD</w:t>
      </w:r>
      <w:r>
        <w:t xml:space="preserve"> </w:t>
      </w:r>
      <w:r>
        <w:t xml:space="preserve">OF</w:t>
      </w:r>
      <w:r>
        <w:t xml:space="preserve"> </w:t>
      </w:r>
      <w:r>
        <w:t xml:space="preserve">SUPERVISORS</w:t>
      </w:r>
      <w:r>
        <w:t xml:space="preserve"> </w:t>
      </w:r>
      <w:r>
        <w:t xml:space="preserve">OF</w:t>
      </w:r>
      <w:r>
        <w:t xml:space="preserve"> </w:t>
      </w:r>
      <w:r>
        <w:t xml:space="preserve">FAIRFAX</w:t>
      </w:r>
      <w:r>
        <w:t xml:space="preserve"> </w:t>
      </w:r>
      <w:r>
        <w:t xml:space="preserve">COUNTY,</w:t>
      </w:r>
      <w:r>
        <w:t xml:space="preserve"> </w:t>
      </w:r>
      <w:r>
        <w:t xml:space="preserve">VIRGINIA,</w:t>
      </w:r>
    </w:p>
    <w:p>
      <w:pPr>
        <w:spacing w:before="0" w:after="0" w:line="322" w:lineRule="exact"/>
        <w:ind w:left="720" w:firstLine="0"/>
        <w:jc w:val="left"/>
      </w:pPr>
      <w:r>
        <w:t xml:space="preserve">Appellant,</w:t>
      </w:r>
    </w:p>
    <w:p>
      <w:pPr>
        <w:spacing w:before="224" w:after="224" w:line="322" w:lineRule="exact"/>
        <w:ind w:left="720" w:firstLine="0"/>
        <w:jc w:val="left"/>
      </w:pPr>
      <w:r>
        <w:t xml:space="preserve">v.</w:t>
      </w:r>
    </w:p>
    <w:p>
      <w:pPr>
        <w:spacing w:before="0" w:after="0" w:line="322" w:lineRule="exact"/>
        <w:ind w:left="0" w:firstLine="0"/>
        <w:jc w:val="left"/>
      </w:pPr>
      <w:r>
        <w:t xml:space="preserve">RITA</w:t>
      </w:r>
      <w:r>
        <w:t xml:space="preserve"> </w:t>
      </w:r>
      <w:r>
        <w:t xml:space="preserve">M.</w:t>
      </w:r>
      <w:r>
        <w:t xml:space="preserve"> </w:t>
      </w:r>
      <w:r>
        <w:t xml:space="preserve">LEACH-LEWIS,</w:t>
      </w:r>
      <w:r>
        <w:t xml:space="preserve"> </w:t>
      </w:r>
      <w:r>
        <w:t xml:space="preserve">TRUSTEE</w:t>
      </w:r>
      <w:r>
        <w:t xml:space="preserve"> </w:t>
      </w:r>
      <w:r>
        <w:t xml:space="preserve">OF</w:t>
      </w:r>
      <w:r>
        <w:t xml:space="preserve"> </w:t>
      </w:r>
      <w:r>
        <w:t xml:space="preserve">THE</w:t>
      </w:r>
      <w:r>
        <w:t xml:space="preserve"> </w:t>
      </w:r>
      <w:r>
        <w:t xml:space="preserve">RITA</w:t>
      </w:r>
      <w:r>
        <w:t xml:space="preserve"> </w:t>
      </w:r>
      <w:r>
        <w:t xml:space="preserve">M.</w:t>
      </w:r>
      <w:r>
        <w:t xml:space="preserve"> </w:t>
      </w:r>
      <w:r>
        <w:t xml:space="preserve">LEACH-LEWIS</w:t>
      </w:r>
      <w:r>
        <w:t xml:space="preserve"> </w:t>
      </w:r>
      <w:r>
        <w:t xml:space="preserve">TRUST</w:t>
      </w:r>
      <w:r>
        <w:t xml:space="preserve"> </w:t>
      </w:r>
      <w:r>
        <w:t xml:space="preserve">18MAR13,</w:t>
      </w:r>
    </w:p>
    <w:p>
      <w:pPr>
        <w:spacing w:before="0" w:after="0" w:line="322" w:lineRule="exact"/>
        <w:ind w:left="720" w:firstLine="0"/>
        <w:jc w:val="left"/>
      </w:pPr>
      <w:r>
        <w:t xml:space="preserve">Appellee.</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INSTITUTE</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VIRGINIA,</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Michael</w:t>
            </w:r>
            <w:r>
              <w:t xml:space="preserve"> </w:t>
            </w:r>
            <w:r>
              <w:t xml:space="preserve">Greenberg*</w:t>
            </w:r>
          </w:p>
          <w:p>
            <w:pPr>
              <w:spacing w:before="0" w:after="0" w:line="322" w:lineRule="exact"/>
              <w:ind w:left="0" w:firstLine="0"/>
              <w:jc w:val="left"/>
            </w:pPr>
            <w:r>
              <w:t xml:space="preserve">Robert</w:t>
            </w:r>
            <w:r>
              <w:t xml:space="preserve"> </w:t>
            </w:r>
            <w:r>
              <w:t xml:space="preserve">Frommer</w:t>
            </w:r>
            <w:r>
              <w:t xml:space="preserve"> </w:t>
            </w:r>
            <w:r>
              <w:t xml:space="preserve">(VSB</w:t>
            </w:r>
            <w:r>
              <w:t xml:space="preserve"> </w:t>
            </w:r>
            <w:r>
              <w:t xml:space="preserve">No.</w:t>
            </w:r>
            <w:r>
              <w:t xml:space="preserve"> </w:t>
            </w:r>
            <w:r>
              <w:t xml:space="preserve">70086)</w:t>
            </w:r>
          </w:p>
          <w:p>
            <w:pPr>
              <w:spacing w:before="0" w:after="0" w:line="322" w:lineRule="exact"/>
              <w:ind w:left="0" w:firstLine="0"/>
              <w:jc w:val="left"/>
            </w:pPr>
            <w:r>
              <w:t xml:space="preserve">INSTITUTE</w:t>
            </w:r>
            <w:r>
              <w:t xml:space="preserve"> </w:t>
            </w:r>
            <w:r>
              <w:t xml:space="preserve">FOR</w:t>
            </w:r>
            <w:r>
              <w:t xml:space="preserve"> </w:t>
            </w:r>
            <w:r>
              <w:t xml:space="preserve">JUSTICE</w:t>
            </w:r>
          </w:p>
          <w:p>
            <w:pPr>
              <w:spacing w:before="0" w:after="0" w:line="322" w:lineRule="exact"/>
              <w:ind w:left="0" w:firstLine="0"/>
              <w:jc w:val="left"/>
            </w:pPr>
            <w:r>
              <w:t xml:space="preserve">901</w:t>
            </w:r>
            <w:r>
              <w:t xml:space="preserve"> </w:t>
            </w:r>
            <w:r>
              <w:t xml:space="preserve">N.</w:t>
            </w:r>
            <w:r>
              <w:t xml:space="preserve"> </w:t>
            </w:r>
            <w:r>
              <w:t xml:space="preserve">Glebe</w:t>
            </w:r>
            <w:r>
              <w:t xml:space="preserve"> </w:t>
            </w:r>
            <w:r>
              <w:t xml:space="preserve">Rd.,</w:t>
            </w:r>
            <w:r>
              <w:t xml:space="preserve"> </w:t>
            </w:r>
            <w:r>
              <w:t xml:space="preserve">Suite</w:t>
            </w:r>
            <w:r>
              <w:t xml:space="preserve"> </w:t>
            </w:r>
            <w:r>
              <w:t xml:space="preserve">900</w:t>
            </w:r>
          </w:p>
          <w:p>
            <w:pPr>
              <w:spacing w:before="0" w:after="0" w:line="322" w:lineRule="exact"/>
              <w:ind w:left="0" w:firstLine="0"/>
              <w:jc w:val="left"/>
            </w:pPr>
            <w:r>
              <w:t xml:space="preserve">Arlington,</w:t>
            </w:r>
            <w:r>
              <w:t xml:space="preserve"> </w:t>
            </w:r>
            <w:r>
              <w:t xml:space="preserve">VA</w:t>
            </w:r>
            <w:r>
              <w:t xml:space="preserve"> </w:t>
            </w:r>
            <w:r>
              <w:t xml:space="preserve">22203</w:t>
            </w:r>
          </w:p>
          <w:p>
            <w:pPr>
              <w:spacing w:before="0" w:after="0" w:line="322" w:lineRule="exact"/>
              <w:ind w:left="0" w:firstLine="0"/>
              <w:jc w:val="left"/>
            </w:pPr>
            <w:r>
              <w:t xml:space="preserve">Tel.:</w:t>
            </w:r>
            <w:r>
              <w:t xml:space="preserve"> </w:t>
            </w:r>
            <w:r>
              <w:t xml:space="preserve">(703)</w:t>
            </w:r>
            <w:r>
              <w:t xml:space="preserve"> </w:t>
            </w:r>
            <w:r>
              <w:t xml:space="preserve">682-⁠9320</w:t>
            </w:r>
          </w:p>
          <w:p>
            <w:pPr>
              <w:spacing w:before="0" w:after="0" w:line="322" w:lineRule="exact"/>
              <w:ind w:left="0" w:firstLine="0"/>
              <w:jc w:val="left"/>
            </w:pPr>
            <w:r>
              <w:t xml:space="preserve">Fax:</w:t>
            </w:r>
            <w:r>
              <w:t xml:space="preserve"> </w:t>
            </w:r>
            <w:r>
              <w:t xml:space="preserve">(703)</w:t>
            </w:r>
            <w:r>
              <w:t xml:space="preserve"> </w:t>
            </w:r>
            <w:r>
              <w:t xml:space="preserve">682-⁠9321</w:t>
            </w:r>
          </w:p>
          <w:p>
            <w:pPr>
              <w:spacing w:before="0" w:after="0" w:line="322" w:lineRule="exact"/>
              <w:ind w:left="0" w:firstLine="0"/>
              <w:jc w:val="left"/>
            </w:pPr>
            <w:r>
              <w:t xml:space="preserve">mgreenberg@ij.org</w:t>
            </w:r>
          </w:p>
          <w:p>
            <w:pPr>
              <w:spacing w:before="0" w:after="0" w:line="322" w:lineRule="exact"/>
              <w:ind w:left="0" w:firstLine="0"/>
              <w:jc w:val="left"/>
            </w:pPr>
            <w:r>
              <w:t xml:space="preserve">rfrommer@ij.org</w:t>
            </w:r>
          </w:p>
        </w:tc>
        <w:tc>
          <w:tcPr>
            <w:tcW w:w="4896" w:type="dxa"/>
            <w:tcMar>
              <w:left w:w="432" w:type="dxa"/>
            </w:tcMar>
          </w:tcPr>
          <w:p>
            <w:pPr>
              <w:spacing w:before="0" w:after="0" w:line="322" w:lineRule="exact"/>
              <w:ind w:left="0" w:firstLine="0"/>
              <w:jc w:val="left"/>
            </w:pPr>
            <w:r>
              <w:t xml:space="preserve">Bridget</w:t>
            </w:r>
            <w:r>
              <w:t xml:space="preserve"> </w:t>
            </w:r>
            <w:r>
              <w:t xml:space="preserve">Lavender*</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FOUNDATION</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17th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(212)</w:t>
            </w:r>
            <w:r>
              <w:t xml:space="preserve"> </w:t>
            </w:r>
            <w:r>
              <w:t xml:space="preserve">549-⁠2500</w:t>
            </w:r>
          </w:p>
          <w:p>
            <w:pPr>
              <w:spacing w:before="0" w:after="0" w:line="322" w:lineRule="exact"/>
              <w:ind w:left="0" w:firstLine="0"/>
              <w:jc w:val="left"/>
            </w:pPr>
            <w:r>
              <w:t xml:space="preserve">blavender@aclu.org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Vishal</w:t>
            </w:r>
            <w:r>
              <w:t xml:space="preserve"> </w:t>
            </w:r>
            <w:r>
              <w:t xml:space="preserve">Agraharkar</w:t>
            </w:r>
            <w:r>
              <w:t xml:space="preserve"> </w:t>
            </w:r>
            <w:r>
              <w:t xml:space="preserve">(VSB</w:t>
            </w:r>
            <w:r>
              <w:t xml:space="preserve"> </w:t>
            </w:r>
            <w:r>
              <w:t xml:space="preserve">#93265)</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VIRGINIA</w:t>
            </w:r>
          </w:p>
          <w:p>
            <w:pPr>
              <w:spacing w:before="0" w:after="0" w:line="322" w:lineRule="exact"/>
              <w:ind w:left="0" w:firstLine="0"/>
              <w:jc w:val="left"/>
            </w:pPr>
            <w:r>
              <w:t xml:space="preserve">701</w:t>
            </w:r>
            <w:r>
              <w:t xml:space="preserve"> </w:t>
            </w:r>
            <w:r>
              <w:t xml:space="preserve">E.</w:t>
            </w:r>
            <w:r>
              <w:t xml:space="preserve"> </w:t>
            </w:r>
            <w:r>
              <w:t xml:space="preserve">Franklin</w:t>
            </w:r>
            <w:r>
              <w:t xml:space="preserve"> </w:t>
            </w:r>
            <w:r>
              <w:t xml:space="preserve">Street,</w:t>
            </w:r>
            <w:r>
              <w:t xml:space="preserve"> </w:t>
            </w:r>
            <w:r>
              <w:t xml:space="preserve">Ste.</w:t>
            </w:r>
            <w:r>
              <w:t xml:space="preserve"> </w:t>
            </w:r>
            <w:r>
              <w:t xml:space="preserve">1412</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523-⁠2151</w:t>
            </w:r>
          </w:p>
          <w:p>
            <w:pPr>
              <w:spacing w:before="0" w:after="0" w:line="322" w:lineRule="exact"/>
              <w:ind w:left="0" w:firstLine="0"/>
              <w:jc w:val="left"/>
            </w:pPr>
            <w:r>
              <w:t xml:space="preserve">vagraharkar@acluva.org</w:t>
            </w:r>
          </w:p>
          <w:p>
            <w:pPr>
              <w:spacing w:before="0" w:after="0" w:line="32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Virginia</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spacing w:before="0" w:after="336" w:line="322" w:lineRule="exact"/>
        <w:ind w:left="0" w:firstLine="0"/>
        <w:jc w:val="center"/>
      </w:pPr>
      <w:r>
        <w:rPr>
          <w:b/>
          <w:bCs/>
        </w:rPr>
        <w:t xml:space="preserve">STATEMENT</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5:30(e)⁠(2)</w:t>
      </w:r>
    </w:p>
    <w:p>
      <w:pPr>
        <w:spacing w:before="0" w:after="0" w:line="644" w:lineRule="exact"/>
        <w:ind w:left="0" w:firstLine="0"/>
        <w:jc w:val="left"/>
      </w:pPr>
      <w:r>
        <w:t xml:space="preserve">Whether</w:t>
      </w:r>
      <w:r>
        <w:t xml:space="preserve"> </w:t>
      </w:r>
      <w:r>
        <w:t xml:space="preserve">a</w:t>
      </w:r>
      <w:r>
        <w:t xml:space="preserve"> </w:t>
      </w:r>
      <w:r>
        <w:t xml:space="preserve">party’s</w:t>
      </w:r>
      <w:r>
        <w:t xml:space="preserve"> </w:t>
      </w:r>
      <w:r>
        <w:t xml:space="preserve">counsel</w:t>
      </w:r>
      <w:r>
        <w:t xml:space="preserve"> </w:t>
      </w:r>
      <w:r>
        <w:t xml:space="preserve">authored</w:t>
      </w:r>
      <w:r>
        <w:t xml:space="preserve"> </w:t>
      </w:r>
      <w:r>
        <w:t xml:space="preserve">this</w:t>
      </w:r>
      <w:r>
        <w:t xml:space="preserve"> </w:t>
      </w:r>
      <w:r>
        <w:t xml:space="preserve">brief</w:t>
      </w:r>
      <w:r>
        <w:t xml:space="preserve"> </w:t>
      </w:r>
      <w:r>
        <w:t xml:space="preserve">in</w:t>
      </w:r>
      <w:r>
        <w:t xml:space="preserve"> </w:t>
      </w:r>
      <w:r>
        <w:t xml:space="preserve">whole</w:t>
      </w:r>
      <w:r>
        <w:t xml:space="preserve"> </w:t>
      </w:r>
      <w:r>
        <w:t xml:space="preserve">or</w:t>
      </w:r>
      <w:r>
        <w:t xml:space="preserve"> </w:t>
      </w:r>
      <w:r>
        <w:t xml:space="preserve">in</w:t>
      </w:r>
      <w:r>
        <w:t xml:space="preserve"> </w:t>
      </w:r>
      <w:r>
        <w:t xml:space="preserve">part:</w:t>
      </w:r>
      <w:r>
        <w:t xml:space="preserve"> </w:t>
      </w:r>
      <w:r>
        <w:t xml:space="preserve">______________________</w:t>
      </w:r>
    </w:p>
    <w:p>
      <w:pPr>
        <w:spacing w:before="280" w:after="0" w:line="644" w:lineRule="exact"/>
        <w:ind w:left="0" w:firstLine="0"/>
        <w:jc w:val="left"/>
      </w:pPr>
      <w:r>
        <w:t xml:space="preserve">Whether</w:t>
      </w:r>
      <w:r>
        <w:t xml:space="preserve"> </w:t>
      </w:r>
      <w:r>
        <w:t xml:space="preserve">a</w:t>
      </w:r>
      <w:r>
        <w:t xml:space="preserve"> </w:t>
      </w:r>
      <w:r>
        <w:t xml:space="preserve">party</w:t>
      </w:r>
      <w:r>
        <w:t xml:space="preserve"> </w:t>
      </w:r>
      <w:r>
        <w:t xml:space="preserve">or</w:t>
      </w:r>
      <w:r>
        <w:t xml:space="preserve"> </w:t>
      </w:r>
      <w:r>
        <w:t xml:space="preserve">a</w:t>
      </w:r>
      <w:r>
        <w:t xml:space="preserve"> </w:t>
      </w:r>
      <w:r>
        <w:t xml:space="preserve">party’s</w:t>
      </w:r>
      <w:r>
        <w:t xml:space="preserve"> </w:t>
      </w:r>
      <w:r>
        <w:t xml:space="preserve">counsel</w:t>
      </w:r>
      <w:r>
        <w:t xml:space="preserve"> </w:t>
      </w:r>
      <w:r>
        <w:t xml:space="preserve">contributed</w:t>
      </w:r>
      <w:r>
        <w:t xml:space="preserve"> </w:t>
      </w:r>
      <w:r>
        <w:t xml:space="preserve">money</w:t>
      </w:r>
      <w:r>
        <w:t xml:space="preserve"> </w:t>
      </w:r>
      <w:r>
        <w:t xml:space="preserve">that</w:t>
      </w:r>
      <w:r>
        <w:t xml:space="preserve"> </w:t>
      </w:r>
      <w:r>
        <w:t xml:space="preserve">was</w:t>
      </w:r>
      <w:r>
        <w:t xml:space="preserve"> </w:t>
      </w:r>
      <w:r>
        <w:t xml:space="preserve">intended</w:t>
      </w:r>
      <w:r>
        <w:t xml:space="preserve"> </w:t>
      </w:r>
      <w:r>
        <w:t xml:space="preserve">to</w:t>
      </w:r>
      <w:r>
        <w:t xml:space="preserve"> </w:t>
      </w:r>
      <w:r>
        <w:t xml:space="preserve">fund</w:t>
      </w:r>
      <w:r>
        <w:t xml:space="preserve"> </w:t>
      </w:r>
      <w:r>
        <w:t xml:space="preserve">preparing</w:t>
      </w:r>
      <w:r>
        <w:t xml:space="preserve"> </w:t>
      </w:r>
      <w:r>
        <w:t xml:space="preserve">or</w:t>
      </w:r>
      <w:r>
        <w:t xml:space="preserve"> </w:t>
      </w:r>
      <w:r>
        <w:t xml:space="preserve">submitting</w:t>
      </w:r>
      <w:r>
        <w:t xml:space="preserve"> </w:t>
      </w:r>
      <w:r>
        <w:t xml:space="preserve">this</w:t>
      </w:r>
      <w:r>
        <w:t xml:space="preserve"> </w:t>
      </w:r>
      <w:r>
        <w:t xml:space="preserve">brief:</w:t>
      </w:r>
      <w:r>
        <w:t xml:space="preserve"> </w:t>
      </w:r>
      <w:r>
        <w:t xml:space="preserve">______________________</w:t>
      </w:r>
    </w:p>
    <w:p>
      <w:pPr>
        <w:spacing w:before="280" w:after="0" w:line="644" w:lineRule="exact"/>
        <w:ind w:left="0" w:firstLine="0"/>
        <w:jc w:val="left"/>
      </w:pPr>
      <w:r>
        <w:t xml:space="preserve">Whether</w:t>
      </w:r>
      <w:r>
        <w:t xml:space="preserve"> </w:t>
      </w:r>
      <w:r>
        <w:t xml:space="preserve">a</w:t>
      </w:r>
      <w:r>
        <w:t xml:space="preserve"> </w:t>
      </w:r>
      <w:r>
        <w:t xml:space="preserve">person</w:t>
      </w:r>
      <w:r>
        <w:t xml:space="preserve"> </w:t>
      </w:r>
      <w:r>
        <w:t xml:space="preserve">other</w:t>
      </w:r>
      <w:r>
        <w:t xml:space="preserve"> </w:t>
      </w:r>
      <w:r>
        <w:t xml:space="preserve">than</w:t>
      </w:r>
      <w:r>
        <w:t xml:space="preserve"> </w:t>
      </w:r>
      <w:r>
        <w:t xml:space="preserve">the</w:t>
      </w:r>
      <w:r>
        <w:t xml:space="preserve"> </w:t>
      </w:r>
      <w:r>
        <w:t xml:space="preserve">amicus</w:t>
      </w:r>
      <w:r>
        <w:t xml:space="preserve"> </w:t>
      </w:r>
      <w:r>
        <w:t xml:space="preserve">curiae,</w:t>
      </w:r>
      <w:r>
        <w:t xml:space="preserve"> </w:t>
      </w:r>
      <w:r>
        <w:t xml:space="preserve">its</w:t>
      </w:r>
      <w:r>
        <w:t xml:space="preserve"> </w:t>
      </w:r>
      <w:r>
        <w:t xml:space="preserve">members,</w:t>
      </w:r>
      <w:r>
        <w:t xml:space="preserve"> </w:t>
      </w:r>
      <w:r>
        <w:t xml:space="preserve">or</w:t>
      </w:r>
      <w:r>
        <w:t xml:space="preserve"> </w:t>
      </w:r>
      <w:r>
        <w:t xml:space="preserve">its</w:t>
      </w:r>
      <w:r>
        <w:t xml:space="preserve"> </w:t>
      </w:r>
      <w:r>
        <w:t xml:space="preserve">counsel</w:t>
      </w:r>
      <w:r>
        <w:t xml:space="preserve"> </w:t>
      </w:r>
      <w:r>
        <w:t xml:space="preserve">contributed</w:t>
      </w:r>
      <w:r>
        <w:t xml:space="preserve"> </w:t>
      </w:r>
      <w:r>
        <w:t xml:space="preserve">money</w:t>
      </w:r>
      <w:r>
        <w:t xml:space="preserve"> </w:t>
      </w:r>
      <w:r>
        <w:t xml:space="preserve">that</w:t>
      </w:r>
      <w:r>
        <w:t xml:space="preserve"> </w:t>
      </w:r>
      <w:r>
        <w:t xml:space="preserve">was</w:t>
      </w:r>
      <w:r>
        <w:t xml:space="preserve"> </w:t>
      </w:r>
      <w:r>
        <w:t xml:space="preserve">intended</w:t>
      </w:r>
      <w:r>
        <w:t xml:space="preserve"> </w:t>
      </w:r>
      <w:r>
        <w:t xml:space="preserve">to</w:t>
      </w:r>
      <w:r>
        <w:t xml:space="preserve"> </w:t>
      </w:r>
      <w:r>
        <w:t xml:space="preserve">fund</w:t>
      </w:r>
      <w:r>
        <w:t xml:space="preserve"> </w:t>
      </w:r>
      <w:r>
        <w:t xml:space="preserve">preparing</w:t>
      </w:r>
      <w:r>
        <w:t xml:space="preserve"> </w:t>
      </w:r>
      <w:r>
        <w:t xml:space="preserve">or</w:t>
      </w:r>
      <w:r>
        <w:t xml:space="preserve"> </w:t>
      </w:r>
      <w:r>
        <w:t xml:space="preserve">submitting</w:t>
      </w:r>
      <w:r>
        <w:t xml:space="preserve"> </w:t>
      </w:r>
      <w:r>
        <w:t xml:space="preserve">this</w:t>
      </w:r>
      <w:r>
        <w:t xml:space="preserve"> </w:t>
      </w:r>
      <w:r>
        <w:t xml:space="preserve">brief,</w:t>
      </w:r>
      <w:r>
        <w:t xml:space="preserve"> </w:t>
      </w:r>
      <w:r>
        <w:t xml:space="preserve">and</w:t>
      </w:r>
      <w:r>
        <w:t xml:space="preserve"> </w:t>
      </w:r>
      <w:r>
        <w:t xml:space="preserve">if</w:t>
      </w:r>
      <w:r>
        <w:t xml:space="preserve"> </w:t>
      </w:r>
      <w:r>
        <w:t xml:space="preserve">so,</w:t>
      </w:r>
      <w:r>
        <w:t xml:space="preserve"> </w:t>
      </w:r>
      <w:r>
        <w:t xml:space="preserve">identifying</w:t>
      </w:r>
      <w:r>
        <w:t xml:space="preserve"> </w:t>
      </w:r>
      <w:r>
        <w:t xml:space="preserve">each</w:t>
      </w:r>
      <w:r>
        <w:t xml:space="preserve"> </w:t>
      </w:r>
      <w:r>
        <w:t xml:space="preserve">such</w:t>
      </w:r>
      <w:r>
        <w:t xml:space="preserve"> </w:t>
      </w:r>
      <w:r>
        <w:t xml:space="preserve">person:</w:t>
      </w:r>
      <w:r>
        <w:t xml:space="preserve"> </w:t>
      </w:r>
      <w:r>
        <w:t xml:space="preserve">______________________</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192" w:after="0" w:line="322" w:lineRule="exact"/>
        <w:ind w:left="360" w:right="720" w:hanging="360"/>
      </w:pPr>
      <w:r>
        <w:t xml:space="preserve">ARGUMENT</w:t>
      </w:r>
      <w:r>
        <w:t xml:space="preserve">   </w:t>
      </w:r>
      <w:r>
        <w:tab/>
      </w:r>
      <w:r>
        <w:t xml:space="preserve">4</w:t>
      </w:r>
    </w:p>
    <w:p>
      <w:pPr>
        <w:keepLines/>
        <w:tabs>
          <w:tab w:val="right" w:leader="dot" w:pos="9360"/>
        </w:tabs>
        <w:spacing w:before="192" w:after="0" w:line="322" w:lineRule="exact"/>
        <w:ind w:left="720" w:right="720" w:hanging="360"/>
      </w:pPr>
      <w:r>
        <w:t xml:space="preserve">THE</w:t>
      </w:r>
      <w:r>
        <w:t xml:space="preserve"> </w:t>
      </w:r>
      <w:r>
        <w:t xml:space="preserve">FOURTH</w:t>
      </w:r>
      <w:r>
        <w:t xml:space="preserve"> </w:t>
      </w:r>
      <w:r>
        <w:t xml:space="preserve">AMENDMENT</w:t>
      </w:r>
      <w:r>
        <w:t xml:space="preserve"> </w:t>
      </w:r>
      <w:r>
        <w:t xml:space="preserve">EXCLUSIONARY</w:t>
      </w:r>
      <w:r>
        <w:t xml:space="preserve"> </w:t>
      </w:r>
      <w:r>
        <w:t xml:space="preserve">RULE</w:t>
      </w:r>
      <w:r>
        <w:t xml:space="preserve"> </w:t>
      </w:r>
      <w:r>
        <w:t xml:space="preserve">APPLIES</w:t>
      </w:r>
      <w:r>
        <w:t xml:space="preserve"> </w:t>
      </w:r>
      <w:r>
        <w:t xml:space="preserve">TO</w:t>
      </w:r>
      <w:r>
        <w:t xml:space="preserve"> </w:t>
      </w:r>
      <w:r>
        <w:t xml:space="preserve">THIS</w:t>
      </w:r>
      <w:r>
        <w:t xml:space="preserve"> </w:t>
      </w:r>
      <w:r>
        <w:t xml:space="preserve">CIVIL</w:t>
      </w:r>
      <w:r>
        <w:t xml:space="preserve"> </w:t>
      </w:r>
      <w:r>
        <w:t xml:space="preserve">ZONING</w:t>
      </w:r>
      <w:r>
        <w:t xml:space="preserve"> </w:t>
      </w:r>
      <w:r>
        <w:t xml:space="preserve">ENFORCEMENT</w:t>
      </w:r>
      <w:r>
        <w:t xml:space="preserve"> </w:t>
      </w:r>
      <w:r>
        <w:t xml:space="preserve">ACTION.</w:t>
      </w:r>
      <w:r>
        <w:t xml:space="preserve">   </w:t>
      </w:r>
      <w:r>
        <w:tab/>
      </w:r>
      <w:r>
        <w:t xml:space="preserve">4</w:t>
      </w:r>
    </w:p>
    <w:p>
      <w:pPr>
        <w:keepLines/>
        <w:tabs>
          <w:tab w:val="right" w:leader="dot" w:pos="9360"/>
        </w:tabs>
        <w:spacing w:before="192" w:after="0" w:line="322" w:lineRule="exact"/>
        <w:ind w:left="1080" w:right="720" w:hanging="360"/>
      </w:pPr>
      <w:r>
        <w:t xml:space="preserve">The</w:t>
      </w:r>
      <w:r>
        <w:t xml:space="preserve"> </w:t>
      </w:r>
      <w:r>
        <w:t xml:space="preserve">exclusionary</w:t>
      </w:r>
      <w:r>
        <w:t xml:space="preserve"> </w:t>
      </w:r>
      <w:r>
        <w:t xml:space="preserve">rule’s</w:t>
      </w:r>
      <w:r>
        <w:t xml:space="preserve"> </w:t>
      </w:r>
      <w:r>
        <w:t xml:space="preserve">applicability</w:t>
      </w:r>
      <w:r>
        <w:t xml:space="preserve"> </w:t>
      </w:r>
      <w:r>
        <w:t xml:space="preserve">turns</w:t>
      </w:r>
      <w:r>
        <w:t xml:space="preserve"> </w:t>
      </w:r>
      <w:r>
        <w:t xml:space="preserve">on</w:t>
      </w:r>
      <w:r>
        <w:t xml:space="preserve"> </w:t>
      </w:r>
      <w:r>
        <w:t xml:space="preserve">weighing</w:t>
      </w:r>
      <w:r>
        <w:t xml:space="preserve"> </w:t>
      </w:r>
      <w:r>
        <w:t xml:space="preserve">the</w:t>
      </w:r>
      <w:r>
        <w:t xml:space="preserve"> </w:t>
      </w:r>
      <w:r>
        <w:t xml:space="preserve">deterrence</w:t>
      </w:r>
      <w:r>
        <w:t xml:space="preserve"> </w:t>
      </w:r>
      <w:r>
        <w:t xml:space="preserve">benefits</w:t>
      </w:r>
      <w:r>
        <w:t xml:space="preserve"> </w:t>
      </w:r>
      <w:r>
        <w:t xml:space="preserve">of</w:t>
      </w:r>
      <w:r>
        <w:t xml:space="preserve"> </w:t>
      </w:r>
      <w:r>
        <w:t xml:space="preserve">suppression</w:t>
      </w:r>
      <w:r>
        <w:t xml:space="preserve"> </w:t>
      </w:r>
      <w:r>
        <w:t xml:space="preserve">against</w:t>
      </w:r>
      <w:r>
        <w:t xml:space="preserve"> </w:t>
      </w:r>
      <w:r>
        <w:t xml:space="preserve">its</w:t>
      </w:r>
      <w:r>
        <w:t xml:space="preserve"> </w:t>
      </w:r>
      <w:r>
        <w:t xml:space="preserve">costs,</w:t>
      </w:r>
      <w:r>
        <w:t xml:space="preserve"> </w:t>
      </w:r>
      <w:r>
        <w:t xml:space="preserve">not</w:t>
      </w:r>
      <w:r>
        <w:t xml:space="preserve"> </w:t>
      </w:r>
      <w:r>
        <w:t xml:space="preserve">the</w:t>
      </w:r>
      <w:r>
        <w:t xml:space="preserve"> </w:t>
      </w:r>
      <w:r>
        <w:t xml:space="preserve">label</w:t>
      </w:r>
      <w:r>
        <w:t xml:space="preserve"> </w:t>
      </w:r>
      <w:r>
        <w:t xml:space="preserve">of</w:t>
      </w:r>
      <w:r>
        <w:t xml:space="preserve"> </w:t>
      </w:r>
      <w:r>
        <w:t xml:space="preserve">the</w:t>
      </w:r>
      <w:r>
        <w:t xml:space="preserve"> </w:t>
      </w:r>
      <w:r>
        <w:t xml:space="preserve">government’s</w:t>
      </w:r>
      <w:r>
        <w:t xml:space="preserve"> </w:t>
      </w:r>
      <w:r>
        <w:t xml:space="preserve">enforcement</w:t>
      </w:r>
      <w:r>
        <w:t xml:space="preserve"> </w:t>
      </w:r>
      <w:r>
        <w:t xml:space="preserve">action.</w:t>
      </w:r>
      <w:r>
        <w:t xml:space="preserve">   </w:t>
      </w:r>
      <w:r>
        <w:tab/>
      </w:r>
      <w:r>
        <w:t xml:space="preserve">4</w:t>
      </w:r>
    </w:p>
    <w:p>
      <w:pPr>
        <w:keepLines/>
        <w:tabs>
          <w:tab w:val="right" w:leader="dot" w:pos="9360"/>
        </w:tabs>
        <w:spacing w:before="192" w:after="0" w:line="322" w:lineRule="exact"/>
        <w:ind w:left="1080" w:right="720" w:hanging="360"/>
      </w:pPr>
      <w:r>
        <w:t xml:space="preserve">The</w:t>
      </w:r>
      <w:r>
        <w:t xml:space="preserve"> </w:t>
      </w:r>
      <w:r>
        <w:t xml:space="preserve">benefits</w:t>
      </w:r>
      <w:r>
        <w:t xml:space="preserve"> </w:t>
      </w:r>
      <w:r>
        <w:t xml:space="preserve">of</w:t>
      </w:r>
      <w:r>
        <w:t xml:space="preserve"> </w:t>
      </w:r>
      <w:r>
        <w:t xml:space="preserve">deterring</w:t>
      </w:r>
      <w:r>
        <w:t xml:space="preserve"> </w:t>
      </w:r>
      <w:r>
        <w:t xml:space="preserve">zoning</w:t>
      </w:r>
      <w:r>
        <w:t xml:space="preserve"> </w:t>
      </w:r>
      <w:r>
        <w:t xml:space="preserve">officers</w:t>
      </w:r>
      <w:r>
        <w:t xml:space="preserve"> </w:t>
      </w:r>
      <w:r>
        <w:t xml:space="preserve">from</w:t>
      </w:r>
      <w:r>
        <w:t xml:space="preserve"> </w:t>
      </w:r>
      <w:r>
        <w:t xml:space="preserve">rifling</w:t>
      </w:r>
      <w:r>
        <w:t xml:space="preserve"> </w:t>
      </w:r>
      <w:r>
        <w:t xml:space="preserve">through</w:t>
      </w:r>
      <w:r>
        <w:t xml:space="preserve"> </w:t>
      </w:r>
      <w:r>
        <w:t xml:space="preserve">private</w:t>
      </w:r>
      <w:r>
        <w:t xml:space="preserve"> </w:t>
      </w:r>
      <w:r>
        <w:t xml:space="preserve">homes</w:t>
      </w:r>
      <w:r>
        <w:t xml:space="preserve"> </w:t>
      </w:r>
      <w:r>
        <w:t xml:space="preserve">without</w:t>
      </w:r>
      <w:r>
        <w:t xml:space="preserve"> </w:t>
      </w:r>
      <w:r>
        <w:t xml:space="preserve">a</w:t>
      </w:r>
      <w:r>
        <w:t xml:space="preserve"> </w:t>
      </w:r>
      <w:r>
        <w:t xml:space="preserve">warrant</w:t>
      </w:r>
      <w:r>
        <w:t xml:space="preserve"> </w:t>
      </w:r>
      <w:r>
        <w:t xml:space="preserve">outweigh</w:t>
      </w:r>
      <w:r>
        <w:t xml:space="preserve"> </w:t>
      </w:r>
      <w:r>
        <w:t xml:space="preserve">the</w:t>
      </w:r>
      <w:r>
        <w:t xml:space="preserve"> </w:t>
      </w:r>
      <w:r>
        <w:t xml:space="preserve">minimal</w:t>
      </w:r>
      <w:r>
        <w:t xml:space="preserve"> </w:t>
      </w:r>
      <w:r>
        <w:t xml:space="preserve">cost</w:t>
      </w:r>
      <w:r>
        <w:t xml:space="preserve"> </w:t>
      </w:r>
      <w:r>
        <w:t xml:space="preserve">of</w:t>
      </w:r>
      <w:r>
        <w:t xml:space="preserve"> </w:t>
      </w:r>
      <w:r>
        <w:t xml:space="preserve">suppression</w:t>
      </w:r>
      <w:r>
        <w:t xml:space="preserve"> </w:t>
      </w:r>
      <w:r>
        <w:t xml:space="preserve">here.</w:t>
      </w:r>
      <w:r>
        <w:t xml:space="preserve">   </w:t>
      </w:r>
      <w:r>
        <w:tab/>
      </w:r>
      <w:r>
        <w:t xml:space="preserve">10</w:t>
      </w:r>
    </w:p>
    <w:p>
      <w:pPr>
        <w:keepLines/>
        <w:tabs>
          <w:tab w:val="right" w:leader="dot" w:pos="9360"/>
        </w:tabs>
        <w:spacing w:before="192" w:after="0" w:line="322" w:lineRule="exact"/>
        <w:ind w:left="1080" w:right="720" w:hanging="360"/>
      </w:pPr>
      <w:r>
        <w:t xml:space="preserve">Historical</w:t>
      </w:r>
      <w:r>
        <w:t xml:space="preserve"> </w:t>
      </w:r>
      <w:r>
        <w:t xml:space="preserve">and</w:t>
      </w:r>
      <w:r>
        <w:t xml:space="preserve"> </w:t>
      </w:r>
      <w:r>
        <w:t xml:space="preserve">modern</w:t>
      </w:r>
      <w:r>
        <w:t xml:space="preserve"> </w:t>
      </w:r>
      <w:r>
        <w:t xml:space="preserve">context</w:t>
      </w:r>
      <w:r>
        <w:t xml:space="preserve"> </w:t>
      </w:r>
      <w:r>
        <w:t xml:space="preserve">spotlights</w:t>
      </w:r>
      <w:r>
        <w:t xml:space="preserve"> </w:t>
      </w:r>
      <w:r>
        <w:t xml:space="preserve">the</w:t>
      </w:r>
      <w:r>
        <w:t xml:space="preserve"> </w:t>
      </w:r>
      <w:r>
        <w:t xml:space="preserve">exclusionary</w:t>
      </w:r>
      <w:r>
        <w:t xml:space="preserve"> </w:t>
      </w:r>
      <w:r>
        <w:t xml:space="preserve">rule’s</w:t>
      </w:r>
      <w:r>
        <w:t xml:space="preserve"> </w:t>
      </w:r>
      <w:r>
        <w:t xml:space="preserve">essential</w:t>
      </w:r>
      <w:r>
        <w:t xml:space="preserve"> </w:t>
      </w:r>
      <w:r>
        <w:t xml:space="preserve">role</w:t>
      </w:r>
      <w:r>
        <w:t xml:space="preserve"> </w:t>
      </w:r>
      <w:r>
        <w:t xml:space="preserve">in</w:t>
      </w:r>
      <w:r>
        <w:t xml:space="preserve"> </w:t>
      </w:r>
      <w:r>
        <w:t xml:space="preserve">securing</w:t>
      </w:r>
      <w:r>
        <w:t xml:space="preserve"> </w:t>
      </w:r>
      <w:r>
        <w:t xml:space="preserve">Fourth</w:t>
      </w:r>
      <w:r>
        <w:t xml:space="preserve"> </w:t>
      </w:r>
      <w:r>
        <w:t xml:space="preserve">Amendment</w:t>
      </w:r>
      <w:r>
        <w:t xml:space="preserve"> </w:t>
      </w:r>
      <w:r>
        <w:t xml:space="preserve">rights.</w:t>
      </w:r>
      <w:r>
        <w:t xml:space="preserve">   </w:t>
      </w:r>
      <w:r>
        <w:tab/>
      </w:r>
      <w:r>
        <w:t xml:space="preserve">18</w:t>
      </w:r>
    </w:p>
    <w:p>
      <w:pPr>
        <w:keepLines/>
        <w:tabs>
          <w:tab w:val="right" w:leader="dot" w:pos="9360"/>
        </w:tabs>
        <w:spacing w:before="192" w:after="0" w:line="322" w:lineRule="exact"/>
        <w:ind w:left="720" w:right="720" w:hanging="360"/>
      </w:pPr>
      <w:r>
        <w:t xml:space="preserve">AT</w:t>
      </w:r>
      <w:r>
        <w:t xml:space="preserve"> </w:t>
      </w:r>
      <w:r>
        <w:t xml:space="preserve">A</w:t>
      </w:r>
      <w:r>
        <w:t xml:space="preserve"> </w:t>
      </w:r>
      <w:r>
        <w:t xml:space="preserve">MINIMUM,</w:t>
      </w:r>
      <w:r>
        <w:t xml:space="preserve"> </w:t>
      </w:r>
      <w:r>
        <w:t xml:space="preserve">THE</w:t>
      </w:r>
      <w:r>
        <w:t xml:space="preserve"> </w:t>
      </w:r>
      <w:r>
        <w:t xml:space="preserve">VIRGINIA</w:t>
      </w:r>
      <w:r>
        <w:t xml:space="preserve"> </w:t>
      </w:r>
      <w:r>
        <w:t xml:space="preserve">CONSTITUTION</w:t>
      </w:r>
      <w:r>
        <w:t xml:space="preserve"> </w:t>
      </w:r>
      <w:r>
        <w:t xml:space="preserve">REQUIRES</w:t>
      </w:r>
      <w:r>
        <w:t xml:space="preserve"> </w:t>
      </w:r>
      <w:r>
        <w:t xml:space="preserve">THAT</w:t>
      </w:r>
      <w:r>
        <w:t xml:space="preserve"> </w:t>
      </w:r>
      <w:r>
        <w:t xml:space="preserve">THE</w:t>
      </w:r>
      <w:r>
        <w:t xml:space="preserve"> </w:t>
      </w:r>
      <w:r>
        <w:t xml:space="preserve">EXCLUSIONARY</w:t>
      </w:r>
      <w:r>
        <w:t xml:space="preserve"> </w:t>
      </w:r>
      <w:r>
        <w:t xml:space="preserve">RULE</w:t>
      </w:r>
      <w:r>
        <w:t xml:space="preserve"> </w:t>
      </w:r>
      <w:r>
        <w:t xml:space="preserve">APPLY</w:t>
      </w:r>
      <w:r>
        <w:t xml:space="preserve"> </w:t>
      </w:r>
      <w:r>
        <w:t xml:space="preserve">TO</w:t>
      </w:r>
      <w:r>
        <w:t xml:space="preserve"> </w:t>
      </w:r>
      <w:r>
        <w:t xml:space="preserve">THIS</w:t>
      </w:r>
      <w:r>
        <w:t xml:space="preserve"> </w:t>
      </w:r>
      <w:r>
        <w:t xml:space="preserve">ZONING</w:t>
      </w:r>
      <w:r>
        <w:t xml:space="preserve"> </w:t>
      </w:r>
      <w:r>
        <w:t xml:space="preserve">ENFORCEMENT</w:t>
      </w:r>
      <w:r>
        <w:t xml:space="preserve"> </w:t>
      </w:r>
      <w:r>
        <w:t xml:space="preserve">ACTION.</w:t>
      </w:r>
      <w:r>
        <w:t xml:space="preserve">   </w:t>
      </w:r>
      <w:r>
        <w:tab/>
      </w:r>
      <w:r>
        <w:t xml:space="preserve">22</w:t>
      </w:r>
    </w:p>
    <w:p>
      <w:pPr>
        <w:keepLines/>
        <w:tabs>
          <w:tab w:val="right" w:leader="dot" w:pos="9360"/>
        </w:tabs>
        <w:spacing w:before="192" w:after="0" w:line="322" w:lineRule="exact"/>
        <w:ind w:left="1080" w:right="720" w:hanging="360"/>
      </w:pPr>
      <w:r>
        <w:t xml:space="preserve">The</w:t>
      </w:r>
      <w:r>
        <w:t xml:space="preserve"> </w:t>
      </w:r>
      <w:r>
        <w:t xml:space="preserve">drafters</w:t>
      </w:r>
      <w:r>
        <w:t xml:space="preserve"> </w:t>
      </w:r>
      <w:r>
        <w:t xml:space="preserve">of</w:t>
      </w:r>
      <w:r>
        <w:t xml:space="preserve"> </w:t>
      </w:r>
      <w:r>
        <w:t xml:space="preserve">the</w:t>
      </w:r>
      <w:r>
        <w:t xml:space="preserve"> </w:t>
      </w:r>
      <w:r>
        <w:t xml:space="preserve">Virginia</w:t>
      </w:r>
      <w:r>
        <w:t xml:space="preserve"> </w:t>
      </w:r>
      <w:r>
        <w:t xml:space="preserve">Constitution</w:t>
      </w:r>
      <w:r>
        <w:t xml:space="preserve"> </w:t>
      </w:r>
      <w:r>
        <w:t xml:space="preserve">sought</w:t>
      </w:r>
      <w:r>
        <w:t xml:space="preserve"> </w:t>
      </w:r>
      <w:r>
        <w:t xml:space="preserve">to</w:t>
      </w:r>
      <w:r>
        <w:t xml:space="preserve"> </w:t>
      </w:r>
      <w:r>
        <w:t xml:space="preserve">protect</w:t>
      </w:r>
      <w:r>
        <w:t xml:space="preserve"> </w:t>
      </w:r>
      <w:r>
        <w:t xml:space="preserve">citizens’</w:t>
      </w:r>
      <w:r>
        <w:t xml:space="preserve"> </w:t>
      </w:r>
      <w:r>
        <w:t xml:space="preserve">liberty</w:t>
      </w:r>
      <w:r>
        <w:t xml:space="preserve"> </w:t>
      </w:r>
      <w:r>
        <w:t xml:space="preserve">and</w:t>
      </w:r>
      <w:r>
        <w:t xml:space="preserve"> </w:t>
      </w:r>
      <w:r>
        <w:t xml:space="preserve">privacy</w:t>
      </w:r>
      <w:r>
        <w:t xml:space="preserve"> </w:t>
      </w:r>
      <w:r>
        <w:t xml:space="preserve">in</w:t>
      </w:r>
      <w:r>
        <w:t xml:space="preserve"> </w:t>
      </w:r>
      <w:r>
        <w:t xml:space="preserve">their</w:t>
      </w:r>
      <w:r>
        <w:t xml:space="preserve"> </w:t>
      </w:r>
      <w:r>
        <w:t xml:space="preserve">homes</w:t>
      </w:r>
      <w:r>
        <w:t xml:space="preserve"> </w:t>
      </w:r>
      <w:r>
        <w:t xml:space="preserve">and</w:t>
      </w:r>
      <w:r>
        <w:t xml:space="preserve"> </w:t>
      </w:r>
      <w:r>
        <w:t xml:space="preserve">papers.</w:t>
      </w:r>
      <w:r>
        <w:t xml:space="preserve">   </w:t>
      </w:r>
      <w:r>
        <w:tab/>
      </w:r>
      <w:r>
        <w:t xml:space="preserve">24</w:t>
      </w:r>
    </w:p>
    <w:p>
      <w:pPr>
        <w:keepLines/>
        <w:tabs>
          <w:tab w:val="right" w:leader="dot" w:pos="9360"/>
        </w:tabs>
        <w:spacing w:before="192" w:after="0" w:line="322" w:lineRule="exact"/>
        <w:ind w:left="1080" w:right="720" w:hanging="360"/>
      </w:pPr>
      <w:r>
        <w:t xml:space="preserve">The</w:t>
      </w:r>
      <w:r>
        <w:t xml:space="preserve"> </w:t>
      </w:r>
      <w:r>
        <w:t xml:space="preserve">exclusionary</w:t>
      </w:r>
      <w:r>
        <w:t xml:space="preserve"> </w:t>
      </w:r>
      <w:r>
        <w:t xml:space="preserve">rule</w:t>
      </w:r>
      <w:r>
        <w:t xml:space="preserve"> </w:t>
      </w:r>
      <w:r>
        <w:t xml:space="preserve">is</w:t>
      </w:r>
      <w:r>
        <w:t xml:space="preserve"> </w:t>
      </w:r>
      <w:r>
        <w:t xml:space="preserve">a</w:t>
      </w:r>
      <w:r>
        <w:t xml:space="preserve"> </w:t>
      </w:r>
      <w:r>
        <w:t xml:space="preserve">necessary</w:t>
      </w:r>
      <w:r>
        <w:t xml:space="preserve"> </w:t>
      </w:r>
      <w:r>
        <w:t xml:space="preserve">state-law</w:t>
      </w:r>
      <w:r>
        <w:t xml:space="preserve"> </w:t>
      </w:r>
      <w:r>
        <w:t xml:space="preserve">remedy</w:t>
      </w:r>
      <w:r>
        <w:t xml:space="preserve"> </w:t>
      </w:r>
      <w:r>
        <w:t xml:space="preserve">to</w:t>
      </w:r>
      <w:r>
        <w:t xml:space="preserve"> </w:t>
      </w:r>
      <w:r>
        <w:t xml:space="preserve">compel</w:t>
      </w:r>
      <w:r>
        <w:t xml:space="preserve"> </w:t>
      </w:r>
      <w:r>
        <w:t xml:space="preserve">respect</w:t>
      </w:r>
      <w:r>
        <w:t xml:space="preserve"> </w:t>
      </w:r>
      <w:r>
        <w:t xml:space="preserve">for</w:t>
      </w:r>
      <w:r>
        <w:t xml:space="preserve"> </w:t>
      </w:r>
      <w:r>
        <w:t xml:space="preserve">Article</w:t>
      </w:r>
      <w:r>
        <w:t xml:space="preserve"> </w:t>
      </w:r>
      <w:r>
        <w:t xml:space="preserve">I,</w:t>
      </w:r>
      <w:r>
        <w:t xml:space="preserve"> </w:t>
      </w:r>
      <w:r>
        <w:t xml:space="preserve">Section</w:t>
      </w:r>
      <w:r>
        <w:t xml:space="preserve"> </w:t>
      </w:r>
      <w:r>
        <w:t xml:space="preserve">10.</w:t>
      </w:r>
      <w:r>
        <w:t xml:space="preserve">   </w:t>
      </w:r>
      <w:r>
        <w:tab/>
      </w:r>
      <w:r>
        <w:t xml:space="preserve">25</w:t>
      </w:r>
    </w:p>
    <w:p>
      <w:pPr>
        <w:keepLines/>
        <w:tabs>
          <w:tab w:val="right" w:leader="dot" w:pos="9360"/>
        </w:tabs>
        <w:spacing w:before="192" w:after="0" w:line="322" w:lineRule="exact"/>
        <w:ind w:left="1080" w:right="720" w:hanging="360"/>
      </w:pPr>
      <w:r>
        <w:t xml:space="preserve">Virginia</w:t>
      </w:r>
      <w:r>
        <w:t xml:space="preserve"> </w:t>
      </w:r>
      <w:r>
        <w:t xml:space="preserve">would</w:t>
      </w:r>
      <w:r>
        <w:t xml:space="preserve"> </w:t>
      </w:r>
      <w:r>
        <w:t xml:space="preserve">be</w:t>
      </w:r>
      <w:r>
        <w:t xml:space="preserve"> </w:t>
      </w:r>
      <w:r>
        <w:t xml:space="preserve">in</w:t>
      </w:r>
      <w:r>
        <w:t xml:space="preserve"> </w:t>
      </w:r>
      <w:r>
        <w:t xml:space="preserve">good</w:t>
      </w:r>
      <w:r>
        <w:t xml:space="preserve"> </w:t>
      </w:r>
      <w:r>
        <w:t xml:space="preserve">company</w:t>
      </w:r>
      <w:r>
        <w:t xml:space="preserve"> </w:t>
      </w:r>
      <w:r>
        <w:t xml:space="preserve">if</w:t>
      </w:r>
      <w:r>
        <w:t xml:space="preserve"> </w:t>
      </w:r>
      <w:r>
        <w:t xml:space="preserve">it</w:t>
      </w:r>
      <w:r>
        <w:t xml:space="preserve"> </w:t>
      </w:r>
      <w:r>
        <w:t xml:space="preserve">adopted</w:t>
      </w:r>
      <w:r>
        <w:t xml:space="preserve"> </w:t>
      </w:r>
      <w:r>
        <w:t xml:space="preserve">the</w:t>
      </w:r>
      <w:r>
        <w:t xml:space="preserve"> </w:t>
      </w:r>
      <w:r>
        <w:t xml:space="preserve">exclusionary</w:t>
      </w:r>
      <w:r>
        <w:t xml:space="preserve"> </w:t>
      </w:r>
      <w:r>
        <w:t xml:space="preserve">rule</w:t>
      </w:r>
      <w:r>
        <w:t xml:space="preserve"> </w:t>
      </w:r>
      <w:r>
        <w:t xml:space="preserve">to</w:t>
      </w:r>
      <w:r>
        <w:t xml:space="preserve"> </w:t>
      </w:r>
      <w:r>
        <w:t xml:space="preserve">protect</w:t>
      </w:r>
      <w:r>
        <w:t xml:space="preserve"> </w:t>
      </w:r>
      <w:r>
        <w:t xml:space="preserve">state</w:t>
      </w:r>
      <w:r>
        <w:t xml:space="preserve"> </w:t>
      </w:r>
      <w:r>
        <w:t xml:space="preserve">constitutional</w:t>
      </w:r>
      <w:r>
        <w:t xml:space="preserve"> </w:t>
      </w:r>
      <w:r>
        <w:t xml:space="preserve">rights</w:t>
      </w:r>
      <w:r>
        <w:t xml:space="preserve"> </w:t>
      </w:r>
      <w:r>
        <w:t xml:space="preserve">in</w:t>
      </w:r>
      <w:r>
        <w:t xml:space="preserve"> </w:t>
      </w:r>
      <w:r>
        <w:t xml:space="preserve">this</w:t>
      </w:r>
      <w:r>
        <w:t xml:space="preserve"> </w:t>
      </w:r>
      <w:r>
        <w:t xml:space="preserve">context.</w:t>
      </w:r>
      <w:r>
        <w:t xml:space="preserve">   </w:t>
      </w:r>
      <w:r>
        <w:tab/>
      </w:r>
      <w:r>
        <w:t xml:space="preserve">27</w:t>
      </w:r>
    </w:p>
    <w:p>
      <w:pPr>
        <w:keepLines/>
        <w:tabs>
          <w:tab w:val="right" w:leader="dot" w:pos="9360"/>
        </w:tabs>
        <w:spacing w:before="192" w:after="0" w:line="322" w:lineRule="exact"/>
        <w:ind w:left="360" w:right="720" w:hanging="360"/>
      </w:pPr>
      <w:r>
        <w:t xml:space="preserve">CONCLUSION</w:t>
      </w:r>
      <w:r>
        <w:t xml:space="preserve">   </w:t>
      </w:r>
      <w:r>
        <w:tab/>
      </w:r>
      <w:r>
        <w:t xml:space="preserve">31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Ahart</w:t>
      </w:r>
      <w:r>
        <w:rPr>
          <w:i/>
          <w:iCs/>
        </w:rPr>
        <w:t xml:space="preserve"> </w:t>
      </w:r>
      <w:r>
        <w:rPr>
          <w:i/>
          <w:iCs/>
        </w:rPr>
        <w:t xml:space="preserve">v.</w:t>
      </w:r>
      <w:r>
        <w:rPr>
          <w:i/>
          <w:iCs/>
        </w:rPr>
        <w:t xml:space="preserve"> </w:t>
      </w:r>
      <w:r>
        <w:rPr>
          <w:i/>
          <w:iCs/>
        </w:rPr>
        <w:t xml:space="preserve">Colo.</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w:t>
      </w:r>
      <w:r>
        <w:t xml:space="preserve"> </w:t>
      </w:r>
      <w:r>
        <w:t xml:space="preserve">964</w:t>
      </w:r>
      <w:r>
        <w:t xml:space="preserve"> </w:t>
      </w:r>
      <w:r>
        <w:t xml:space="preserve">P.2d</w:t>
      </w:r>
      <w:r>
        <w:t xml:space="preserve"> </w:t>
      </w:r>
      <w:r>
        <w:t xml:space="preserve">517</w:t>
      </w:r>
      <w:r>
        <w:t xml:space="preserve"> </w:t>
      </w:r>
      <w:r>
        <w:t xml:space="preserve">(Colo.</w:t>
      </w:r>
      <w:r>
        <w:t xml:space="preserve"> </w:t>
      </w:r>
      <w:r>
        <w:t xml:space="preserve">1998)</w:t>
      </w:r>
      <w:r>
        <w:t xml:space="preserve">   </w:t>
      </w:r>
      <w:r>
        <w:tab/>
      </w:r>
      <w:r>
        <w:t xml:space="preserve">6</w:t>
      </w:r>
    </w:p>
    <w:p>
      <w:pPr>
        <w:keepLines/>
        <w:tabs>
          <w:tab w:val="right" w:leader="dot" w:pos="9360"/>
        </w:tabs>
        <w:spacing w:before="80" w:after="0" w:line="322" w:lineRule="exact"/>
        <w:ind w:left="576" w:right="1120" w:hanging="576"/>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21</w:t>
      </w:r>
    </w:p>
    <w:p>
      <w:pPr>
        <w:keepLines/>
        <w:tabs>
          <w:tab w:val="right" w:leader="dot" w:pos="9360"/>
        </w:tabs>
        <w:spacing w:before="80" w:after="0" w:line="322" w:lineRule="exact"/>
        <w:ind w:left="576" w:right="1120" w:hanging="576"/>
      </w:pPr>
      <w:r>
        <w:rPr>
          <w:i/>
          <w:iCs/>
        </w:rPr>
        <w:t xml:space="preserve">Camara</w:t>
      </w:r>
      <w:r>
        <w:rPr>
          <w:i/>
          <w:iCs/>
        </w:rPr>
        <w:t xml:space="preserve"> </w:t>
      </w:r>
      <w:r>
        <w:rPr>
          <w:i/>
          <w:iCs/>
        </w:rPr>
        <w:t xml:space="preserve">v.</w:t>
      </w:r>
      <w:r>
        <w:rPr>
          <w:i/>
          <w:iCs/>
        </w:rPr>
        <w:t xml:space="preserve"> </w:t>
      </w:r>
      <w:r>
        <w:rPr>
          <w:i/>
          <w:iCs/>
        </w:rPr>
        <w:t xml:space="preserve">Municipal</w:t>
      </w:r>
      <w:r>
        <w:rPr>
          <w:i/>
          <w:iCs/>
        </w:rPr>
        <w:t xml:space="preserve"> </w:t>
      </w:r>
      <w:r>
        <w:rPr>
          <w:i/>
          <w:iCs/>
        </w:rPr>
        <w:t xml:space="preserve">Ct.</w:t>
      </w:r>
      <w:r>
        <w:t xml:space="preserve"> </w:t>
      </w:r>
      <w:r>
        <w:t xml:space="preserve">387</w:t>
      </w:r>
      <w:r>
        <w:t xml:space="preserve"> </w:t>
      </w:r>
      <w:r>
        <w:t xml:space="preserve">U.S.</w:t>
      </w:r>
      <w:r>
        <w:t xml:space="preserve"> </w:t>
      </w:r>
      <w:r>
        <w:t xml:space="preserve">523</w:t>
      </w:r>
      <w:r>
        <w:t xml:space="preserve"> </w:t>
      </w:r>
      <w:r>
        <w:t xml:space="preserve">(1967)</w:t>
      </w:r>
      <w:r>
        <w:t xml:space="preserve">   </w:t>
      </w:r>
      <w:r>
        <w:tab/>
      </w:r>
      <w:r>
        <w:t xml:space="preserve">5, 9</w:t>
      </w:r>
    </w:p>
    <w:p>
      <w:pPr>
        <w:keepLines/>
        <w:tabs>
          <w:tab w:val="right" w:leader="dot" w:pos="9360"/>
        </w:tabs>
        <w:spacing w:before="80" w:after="0" w:line="322" w:lineRule="exact"/>
        <w:ind w:left="576" w:right="1120" w:hanging="576"/>
      </w:pPr>
      <w:r>
        <w:rPr>
          <w:i/>
          <w:iCs/>
        </w:rPr>
        <w:t xml:space="preserve">Carlisle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Trammell</w:t>
      </w:r>
      <w:r>
        <w:t xml:space="preserve"> </w:t>
      </w:r>
      <w:r>
        <w:t xml:space="preserve">163</w:t>
      </w:r>
      <w:r>
        <w:t xml:space="preserve"> </w:t>
      </w:r>
      <w:r>
        <w:t xml:space="preserve">So.</w:t>
      </w:r>
      <w:r>
        <w:t xml:space="preserve"> </w:t>
      </w:r>
      <w:r>
        <w:t xml:space="preserve">2d</w:t>
      </w:r>
      <w:r>
        <w:t xml:space="preserve"> </w:t>
      </w:r>
      <w:r>
        <w:t xml:space="preserve">596</w:t>
      </w:r>
      <w:r>
        <w:t xml:space="preserve"> </w:t>
      </w:r>
      <w:r>
        <w:t xml:space="preserve">(Ala.</w:t>
      </w:r>
      <w:r>
        <w:t xml:space="preserve"> </w:t>
      </w:r>
      <w:r>
        <w:t xml:space="preserve">1964)</w:t>
      </w:r>
      <w:r>
        <w:t xml:space="preserve">   </w:t>
      </w:r>
      <w:r>
        <w:tab/>
      </w:r>
      <w:r>
        <w:t xml:space="preserve">7</w:t>
      </w:r>
    </w:p>
    <w:p>
      <w:pPr>
        <w:keepLines/>
        <w:tabs>
          <w:tab w:val="right" w:leader="dot" w:pos="9360"/>
        </w:tabs>
        <w:spacing w:before="80" w:after="0" w:line="322" w:lineRule="exact"/>
        <w:ind w:left="576" w:right="1120" w:hanging="576"/>
      </w:pPr>
      <w:r>
        <w:rPr>
          <w:i/>
          <w:iCs/>
        </w:rPr>
        <w:t xml:space="preserve">Carpenter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138</w:t>
      </w:r>
      <w:r>
        <w:t xml:space="preserve"> </w:t>
      </w:r>
      <w:r>
        <w:t xml:space="preserve">S.</w:t>
      </w:r>
      <w:r>
        <w:t xml:space="preserve"> </w:t>
      </w:r>
      <w:r>
        <w:t xml:space="preserve">Ct.</w:t>
      </w:r>
      <w:r>
        <w:t xml:space="preserve"> </w:t>
      </w:r>
      <w:r>
        <w:t xml:space="preserve">2206</w:t>
      </w:r>
      <w:r>
        <w:t xml:space="preserve"> </w:t>
      </w:r>
      <w:r>
        <w:t xml:space="preserve">(2018)</w:t>
      </w:r>
      <w:r>
        <w:t xml:space="preserve">   </w:t>
      </w:r>
      <w:r>
        <w:tab/>
      </w:r>
      <w:r>
        <w:t xml:space="preserve">19</w:t>
      </w:r>
    </w:p>
    <w:p>
      <w:pPr>
        <w:keepLines/>
        <w:tabs>
          <w:tab w:val="right" w:leader="dot" w:pos="9360"/>
        </w:tabs>
        <w:spacing w:before="80" w:after="0" w:line="322" w:lineRule="exact"/>
        <w:ind w:left="576" w:right="1120" w:hanging="576"/>
      </w:pPr>
      <w:r>
        <w:rPr>
          <w:i/>
          <w:iCs/>
        </w:rPr>
        <w:t xml:space="preserve">Carson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Price</w:t>
      </w:r>
      <w:r>
        <w:t xml:space="preserve"> </w:t>
      </w:r>
      <w:r>
        <w:t xml:space="preserve">144</w:t>
      </w:r>
      <w:r>
        <w:t xml:space="preserve"> </w:t>
      </w:r>
      <w:r>
        <w:t xml:space="preserve">S.E.2d</w:t>
      </w:r>
      <w:r>
        <w:t xml:space="preserve"> </w:t>
      </w:r>
      <w:r>
        <w:t xml:space="preserve">384</w:t>
      </w:r>
      <w:r>
        <w:t xml:space="preserve"> </w:t>
      </w:r>
      <w:r>
        <w:t xml:space="preserve">(Ga.</w:t>
      </w:r>
      <w:r>
        <w:t xml:space="preserve"> </w:t>
      </w:r>
      <w:r>
        <w:t xml:space="preserve">1965)</w:t>
      </w:r>
      <w:r>
        <w:t xml:space="preserve">   </w:t>
      </w:r>
      <w:r>
        <w:tab/>
      </w:r>
      <w:r>
        <w:t xml:space="preserve">7, 29</w:t>
      </w:r>
    </w:p>
    <w:p>
      <w:pPr>
        <w:keepLines/>
        <w:tabs>
          <w:tab w:val="right" w:leader="dot" w:pos="9360"/>
        </w:tabs>
        <w:spacing w:before="80" w:after="0" w:line="322"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Britton</w:t>
      </w:r>
      <w:r>
        <w:t xml:space="preserve"> </w:t>
      </w:r>
      <w:r>
        <w:t xml:space="preserve">229</w:t>
      </w:r>
      <w:r>
        <w:t xml:space="preserve"> </w:t>
      </w:r>
      <w:r>
        <w:t xml:space="preserve">A.3d</w:t>
      </w:r>
      <w:r>
        <w:t xml:space="preserve"> </w:t>
      </w:r>
      <w:r>
        <w:t xml:space="preserve">590</w:t>
      </w:r>
      <w:r>
        <w:t xml:space="preserve"> </w:t>
      </w:r>
      <w:r>
        <w:t xml:space="preserve">(Pa.</w:t>
      </w:r>
      <w:r>
        <w:t xml:space="preserve"> </w:t>
      </w:r>
      <w:r>
        <w:t xml:space="preserve">2020)</w:t>
      </w:r>
      <w:r>
        <w:t xml:space="preserve">   </w:t>
      </w:r>
      <w:r>
        <w:tab/>
      </w:r>
      <w:r>
        <w:t xml:space="preserve">28</w:t>
      </w:r>
    </w:p>
    <w:p>
      <w:pPr>
        <w:keepLines/>
        <w:tabs>
          <w:tab w:val="right" w:leader="dot" w:pos="9360"/>
        </w:tabs>
        <w:spacing w:before="80" w:after="0" w:line="322"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E.A.</w:t>
      </w:r>
      <w:r>
        <w:rPr>
          <w:i/>
          <w:iCs/>
        </w:rPr>
        <w:t xml:space="preserve"> </w:t>
      </w:r>
      <w:r>
        <w:rPr>
          <w:i/>
          <w:iCs/>
        </w:rPr>
        <w:t xml:space="preserve">Clore</w:t>
      </w:r>
      <w:r>
        <w:rPr>
          <w:i/>
          <w:iCs/>
        </w:rPr>
        <w:t xml:space="preserve"> </w:t>
      </w:r>
      <w:r>
        <w:rPr>
          <w:i/>
          <w:iCs/>
        </w:rPr>
        <w:t xml:space="preserve">Sons,</w:t>
      </w:r>
      <w:r>
        <w:rPr>
          <w:i/>
          <w:iCs/>
        </w:rPr>
        <w:t xml:space="preserve"> </w:t>
      </w:r>
      <w:r>
        <w:rPr>
          <w:i/>
          <w:iCs/>
        </w:rPr>
        <w:t xml:space="preserve">Inc.</w:t>
      </w:r>
      <w:r>
        <w:t xml:space="preserve"> </w:t>
      </w:r>
      <w:r>
        <w:t xml:space="preserve">281</w:t>
      </w:r>
      <w:r>
        <w:t xml:space="preserve"> </w:t>
      </w:r>
      <w:r>
        <w:t xml:space="preserve">S.E.2d</w:t>
      </w:r>
      <w:r>
        <w:t xml:space="preserve"> </w:t>
      </w:r>
      <w:r>
        <w:t xml:space="preserve">901</w:t>
      </w:r>
      <w:r>
        <w:t xml:space="preserve"> </w:t>
      </w:r>
      <w:r>
        <w:t xml:space="preserve">(Va.</w:t>
      </w:r>
      <w:r>
        <w:t xml:space="preserve"> </w:t>
      </w:r>
      <w:r>
        <w:t xml:space="preserve">1981)</w:t>
      </w:r>
      <w:r>
        <w:t xml:space="preserve">   </w:t>
      </w:r>
      <w:r>
        <w:tab/>
      </w:r>
      <w:r>
        <w:t xml:space="preserve">7</w:t>
      </w:r>
    </w:p>
    <w:p>
      <w:pPr>
        <w:keepLines/>
        <w:tabs>
          <w:tab w:val="right" w:leader="dot" w:pos="9360"/>
        </w:tabs>
        <w:spacing w:before="80" w:after="0" w:line="322" w:lineRule="exact"/>
        <w:ind w:left="576" w:right="1680" w:hanging="576"/>
      </w:pPr>
      <w:r>
        <w:rPr>
          <w:i/>
          <w:iCs/>
        </w:rPr>
        <w:t xml:space="preserve">County</w:t>
      </w:r>
      <w:r>
        <w:rPr>
          <w:i/>
          <w:iCs/>
        </w:rPr>
        <w:t xml:space="preserve"> </w:t>
      </w:r>
      <w:r>
        <w:rPr>
          <w:i/>
          <w:iCs/>
        </w:rPr>
        <w:t xml:space="preserve">of</w:t>
      </w:r>
      <w:r>
        <w:rPr>
          <w:i/>
          <w:iCs/>
        </w:rPr>
        <w:t xml:space="preserve"> </w:t>
      </w:r>
      <w:r>
        <w:rPr>
          <w:i/>
          <w:iCs/>
        </w:rPr>
        <w:t xml:space="preserve">Henrico</w:t>
      </w:r>
      <w:r>
        <w:rPr>
          <w:i/>
          <w:iCs/>
        </w:rPr>
        <w:t xml:space="preserve"> </w:t>
      </w:r>
      <w:r>
        <w:rPr>
          <w:i/>
          <w:iCs/>
        </w:rPr>
        <w:t xml:space="preserve">v.</w:t>
      </w:r>
      <w:r>
        <w:rPr>
          <w:i/>
          <w:iCs/>
        </w:rPr>
        <w:t xml:space="preserve"> </w:t>
      </w:r>
      <w:r>
        <w:rPr>
          <w:i/>
          <w:iCs/>
        </w:rPr>
        <w:t xml:space="preserve">Ehlers</w:t>
      </w:r>
      <w:r>
        <w:t xml:space="preserve"> </w:t>
      </w:r>
      <w:r>
        <w:t xml:space="preserve">379</w:t>
      </w:r>
      <w:r>
        <w:t xml:space="preserve"> </w:t>
      </w:r>
      <w:r>
        <w:t xml:space="preserve">S.E.2d</w:t>
      </w:r>
      <w:r>
        <w:t xml:space="preserve"> </w:t>
      </w:r>
      <w:r>
        <w:t xml:space="preserve">457</w:t>
      </w:r>
      <w:r>
        <w:t xml:space="preserve"> </w:t>
      </w:r>
      <w:r>
        <w:t xml:space="preserve">(Va.</w:t>
      </w:r>
      <w:r>
        <w:t xml:space="preserve"> </w:t>
      </w:r>
      <w:r>
        <w:t xml:space="preserve">1989)</w:t>
      </w:r>
      <w:r>
        <w:t xml:space="preserve">   </w:t>
      </w:r>
      <w:r>
        <w:tab/>
      </w:r>
      <w:r>
        <w:t xml:space="preserve">8, 9, 10, 14, 25</w:t>
      </w:r>
    </w:p>
    <w:p>
      <w:pPr>
        <w:keepLines/>
        <w:tabs>
          <w:tab w:val="right" w:leader="dot" w:pos="9360"/>
        </w:tabs>
        <w:spacing w:before="80" w:after="0" w:line="322" w:lineRule="exact"/>
        <w:ind w:left="576" w:right="1120" w:hanging="576"/>
      </w:pPr>
      <w:r>
        <w:rPr>
          <w:i/>
          <w:iCs/>
        </w:rPr>
        <w:t xml:space="preserve">Cromartie</w:t>
      </w:r>
      <w:r>
        <w:rPr>
          <w:i/>
          <w:iCs/>
        </w:rPr>
        <w:t xml:space="preserve"> </w:t>
      </w:r>
      <w:r>
        <w:rPr>
          <w:i/>
          <w:iCs/>
        </w:rPr>
        <w:t xml:space="preserve">v.</w:t>
      </w:r>
      <w:r>
        <w:rPr>
          <w:i/>
          <w:iCs/>
        </w:rPr>
        <w:t xml:space="preserve"> </w:t>
      </w:r>
      <w:r>
        <w:rPr>
          <w:i/>
          <w:iCs/>
        </w:rPr>
        <w:t xml:space="preserve">Billings</w:t>
      </w:r>
      <w:r>
        <w:t xml:space="preserve"> </w:t>
      </w:r>
      <w:r>
        <w:t xml:space="preserve">837</w:t>
      </w:r>
      <w:r>
        <w:t xml:space="preserve"> </w:t>
      </w:r>
      <w:r>
        <w:t xml:space="preserve">S.E.2d</w:t>
      </w:r>
      <w:r>
        <w:t xml:space="preserve"> </w:t>
      </w:r>
      <w:r>
        <w:t xml:space="preserve">247</w:t>
      </w:r>
      <w:r>
        <w:t xml:space="preserve"> </w:t>
      </w:r>
      <w:r>
        <w:t xml:space="preserve">(Va.</w:t>
      </w:r>
      <w:r>
        <w:t xml:space="preserve"> </w:t>
      </w:r>
      <w:r>
        <w:t xml:space="preserve">2020)</w:t>
      </w:r>
      <w:r>
        <w:t xml:space="preserve">   </w:t>
      </w:r>
      <w:r>
        <w:tab/>
      </w:r>
      <w:r>
        <w:t xml:space="preserve">27</w:t>
      </w:r>
    </w:p>
    <w:p>
      <w:pPr>
        <w:keepLines/>
        <w:tabs>
          <w:tab w:val="right" w:leader="dot" w:pos="9360"/>
        </w:tabs>
        <w:spacing w:before="80" w:after="0" w:line="322" w:lineRule="exact"/>
        <w:ind w:left="576" w:right="1260" w:hanging="576"/>
      </w:pPr>
      <w:r>
        <w:rPr>
          <w:i/>
          <w:iCs/>
        </w:rPr>
        <w:t xml:space="preserve">Davis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564</w:t>
      </w:r>
      <w:r>
        <w:t xml:space="preserve"> </w:t>
      </w:r>
      <w:r>
        <w:t xml:space="preserve">U.S.</w:t>
      </w:r>
      <w:r>
        <w:t xml:space="preserve"> </w:t>
      </w:r>
      <w:r>
        <w:t xml:space="preserve">229</w:t>
      </w:r>
      <w:r>
        <w:t xml:space="preserve"> </w:t>
      </w:r>
      <w:r>
        <w:t xml:space="preserve">(2011)</w:t>
      </w:r>
      <w:r>
        <w:t xml:space="preserve">   </w:t>
      </w:r>
      <w:r>
        <w:tab/>
      </w:r>
      <w:r>
        <w:t xml:space="preserve">1, 5, 10, 18</w:t>
      </w:r>
    </w:p>
    <w:p>
      <w:pPr>
        <w:keepLines/>
        <w:tabs>
          <w:tab w:val="right" w:leader="dot" w:pos="9360"/>
        </w:tabs>
        <w:spacing w:before="80" w:after="0" w:line="322" w:lineRule="exact"/>
        <w:ind w:left="576" w:right="1120" w:hanging="576"/>
      </w:pPr>
      <w:r>
        <w:rPr>
          <w:i/>
          <w:iCs/>
        </w:rPr>
        <w:t xml:space="preserve">Dickerson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530</w:t>
      </w:r>
      <w:r>
        <w:t xml:space="preserve"> </w:t>
      </w:r>
      <w:r>
        <w:t xml:space="preserve">U.S.</w:t>
      </w:r>
      <w:r>
        <w:t xml:space="preserve"> </w:t>
      </w:r>
      <w:r>
        <w:t xml:space="preserve">428</w:t>
      </w:r>
      <w:r>
        <w:t xml:space="preserve"> </w:t>
      </w:r>
      <w:r>
        <w:t xml:space="preserve">(2000)</w:t>
      </w:r>
      <w:r>
        <w:t xml:space="preserve">   </w:t>
      </w:r>
      <w:r>
        <w:tab/>
      </w:r>
      <w:r>
        <w:t xml:space="preserve">9</w:t>
      </w:r>
    </w:p>
    <w:p>
      <w:pPr>
        <w:keepLines/>
        <w:tabs>
          <w:tab w:val="right" w:leader="dot" w:pos="9360"/>
        </w:tabs>
        <w:spacing w:before="80" w:after="0" w:line="322" w:lineRule="exact"/>
        <w:ind w:left="576" w:right="1120" w:hanging="576"/>
      </w:pPr>
      <w:r>
        <w:rPr>
          <w:i/>
          <w:iCs/>
        </w:rPr>
        <w:t xml:space="preserve">Elkins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364</w:t>
      </w:r>
      <w:r>
        <w:t xml:space="preserve"> </w:t>
      </w:r>
      <w:r>
        <w:t xml:space="preserve">U.S.</w:t>
      </w:r>
      <w:r>
        <w:t xml:space="preserve"> </w:t>
      </w:r>
      <w:r>
        <w:t xml:space="preserve">206</w:t>
      </w:r>
      <w:r>
        <w:t xml:space="preserve"> </w:t>
      </w:r>
      <w:r>
        <w:t xml:space="preserve">(1960)</w:t>
      </w:r>
      <w:r>
        <w:t xml:space="preserve">   </w:t>
      </w:r>
      <w:r>
        <w:tab/>
      </w:r>
      <w:r>
        <w:t xml:space="preserve">1</w:t>
      </w:r>
    </w:p>
    <w:p>
      <w:pPr>
        <w:keepLines/>
        <w:tabs>
          <w:tab w:val="right" w:leader="dot" w:pos="9360"/>
        </w:tabs>
        <w:spacing w:before="80" w:after="0" w:line="322" w:lineRule="exact"/>
        <w:ind w:left="576" w:right="1120" w:hanging="576"/>
      </w:pPr>
      <w:r>
        <w:rPr>
          <w:i/>
          <w:iCs/>
        </w:rPr>
        <w:t xml:space="preserve">Finn’s</w:t>
      </w:r>
      <w:r>
        <w:rPr>
          <w:i/>
          <w:iCs/>
        </w:rPr>
        <w:t xml:space="preserve"> </w:t>
      </w:r>
      <w:r>
        <w:rPr>
          <w:i/>
          <w:iCs/>
        </w:rPr>
        <w:t xml:space="preserve">Liquor</w:t>
      </w:r>
      <w:r>
        <w:rPr>
          <w:i/>
          <w:iCs/>
        </w:rPr>
        <w:t xml:space="preserve"> </w:t>
      </w:r>
      <w:r>
        <w:rPr>
          <w:i/>
          <w:iCs/>
        </w:rPr>
        <w:t xml:space="preserve">Shop,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Liquor</w:t>
      </w:r>
      <w:r>
        <w:rPr>
          <w:i/>
          <w:iCs/>
        </w:rPr>
        <w:t xml:space="preserve"> </w:t>
      </w:r>
      <w:r>
        <w:rPr>
          <w:i/>
          <w:iCs/>
        </w:rPr>
        <w:t xml:space="preserve">Auth.</w:t>
      </w:r>
      <w:r>
        <w:t xml:space="preserve"> </w:t>
      </w:r>
      <w:r>
        <w:t xml:space="preserve">249</w:t>
      </w:r>
      <w:r>
        <w:t xml:space="preserve"> </w:t>
      </w:r>
      <w:r>
        <w:t xml:space="preserve">N.E.2d</w:t>
      </w:r>
      <w:r>
        <w:t xml:space="preserve"> </w:t>
      </w:r>
      <w:r>
        <w:t xml:space="preserve">440</w:t>
      </w:r>
      <w:r>
        <w:t xml:space="preserve"> </w:t>
      </w:r>
      <w:r>
        <w:t xml:space="preserve">(N.Y.</w:t>
      </w:r>
      <w:r>
        <w:t xml:space="preserve"> </w:t>
      </w:r>
      <w:r>
        <w:t xml:space="preserve">1969)</w:t>
      </w:r>
      <w:r>
        <w:t xml:space="preserve">   </w:t>
      </w:r>
      <w:r>
        <w:tab/>
      </w:r>
      <w:r>
        <w:t xml:space="preserve">7</w:t>
      </w:r>
    </w:p>
    <w:p>
      <w:pPr>
        <w:keepLines/>
        <w:tabs>
          <w:tab w:val="right" w:leader="dot" w:pos="9360"/>
        </w:tabs>
        <w:spacing w:before="80" w:after="0" w:line="322" w:lineRule="exact"/>
        <w:ind w:left="576" w:right="1120" w:hanging="576"/>
      </w:pPr>
      <w:r>
        <w:rPr>
          <w:i/>
          <w:iCs/>
        </w:rPr>
        <w:t xml:space="preserve">Florida</w:t>
      </w:r>
      <w:r>
        <w:rPr>
          <w:i/>
          <w:iCs/>
        </w:rPr>
        <w:t xml:space="preserve"> </w:t>
      </w:r>
      <w:r>
        <w:rPr>
          <w:i/>
          <w:iCs/>
        </w:rPr>
        <w:t xml:space="preserve">v.</w:t>
      </w:r>
      <w:r>
        <w:rPr>
          <w:i/>
          <w:iCs/>
        </w:rPr>
        <w:t xml:space="preserve"> </w:t>
      </w:r>
      <w:r>
        <w:rPr>
          <w:i/>
          <w:iCs/>
        </w:rPr>
        <w:t xml:space="preserve">Jardines</w:t>
      </w:r>
      <w:r>
        <w:t xml:space="preserve"> </w:t>
      </w:r>
      <w:r>
        <w:t xml:space="preserve">569</w:t>
      </w:r>
      <w:r>
        <w:t xml:space="preserve"> </w:t>
      </w:r>
      <w:r>
        <w:t xml:space="preserve">U.S.</w:t>
      </w:r>
      <w:r>
        <w:t xml:space="preserve"> </w:t>
      </w:r>
      <w:r>
        <w:t xml:space="preserve">1</w:t>
      </w:r>
      <w:r>
        <w:t xml:space="preserve"> </w:t>
      </w:r>
      <w:r>
        <w:t xml:space="preserve">(2013)</w:t>
      </w:r>
      <w:r>
        <w:t xml:space="preserve">   </w:t>
      </w:r>
      <w:r>
        <w:tab/>
      </w:r>
      <w:r>
        <w:t xml:space="preserve">18</w:t>
      </w:r>
    </w:p>
    <w:p>
      <w:pPr>
        <w:keepLines/>
        <w:tabs>
          <w:tab w:val="right" w:leader="dot" w:pos="9360"/>
        </w:tabs>
        <w:spacing w:before="80" w:after="0" w:line="322" w:lineRule="exact"/>
        <w:ind w:left="576" w:right="1120" w:hanging="576"/>
      </w:pPr>
      <w:r>
        <w:rPr>
          <w:i/>
          <w:iCs/>
        </w:rPr>
        <w:t xml:space="preserve">Frisbie</w:t>
      </w:r>
      <w:r>
        <w:rPr>
          <w:i/>
          <w:iCs/>
        </w:rPr>
        <w:t xml:space="preserve"> </w:t>
      </w:r>
      <w:r>
        <w:rPr>
          <w:i/>
          <w:iCs/>
        </w:rPr>
        <w:t xml:space="preserve">v.</w:t>
      </w:r>
      <w:r>
        <w:rPr>
          <w:i/>
          <w:iCs/>
        </w:rPr>
        <w:t xml:space="preserve"> </w:t>
      </w:r>
      <w:r>
        <w:rPr>
          <w:i/>
          <w:iCs/>
        </w:rPr>
        <w:t xml:space="preserve">Butler</w:t>
      </w:r>
      <w:r>
        <w:t xml:space="preserve"> </w:t>
      </w:r>
      <w:r>
        <w:t xml:space="preserve">1</w:t>
      </w:r>
      <w:r>
        <w:t xml:space="preserve"> </w:t>
      </w:r>
      <w:r>
        <w:t xml:space="preserve">Kirby</w:t>
      </w:r>
      <w:r>
        <w:t xml:space="preserve"> </w:t>
      </w:r>
      <w:r>
        <w:t xml:space="preserve">213</w:t>
      </w:r>
      <w:r>
        <w:t xml:space="preserve"> </w:t>
      </w:r>
      <w:r>
        <w:t xml:space="preserve">(Conn.</w:t>
      </w:r>
      <w:r>
        <w:t xml:space="preserve"> </w:t>
      </w:r>
      <w:r>
        <w:t xml:space="preserve">Super.</w:t>
      </w:r>
      <w:r>
        <w:t xml:space="preserve"> </w:t>
      </w:r>
      <w:r>
        <w:t xml:space="preserve">Ct.</w:t>
      </w:r>
      <w:r>
        <w:t xml:space="preserve"> </w:t>
      </w:r>
      <w:r>
        <w:t xml:space="preserve">1787)</w:t>
      </w:r>
      <w:r>
        <w:t xml:space="preserve">   </w:t>
      </w:r>
      <w:r>
        <w:tab/>
      </w:r>
      <w:r>
        <w:t xml:space="preserve">19</w:t>
      </w:r>
    </w:p>
    <w:p>
      <w:pPr>
        <w:keepLines/>
        <w:tabs>
          <w:tab w:val="right" w:leader="dot" w:pos="9360"/>
        </w:tabs>
        <w:spacing w:before="80" w:after="0" w:line="322" w:lineRule="exact"/>
        <w:ind w:left="576" w:right="1120" w:hanging="576"/>
      </w:pPr>
      <w:r>
        <w:rPr>
          <w:i/>
          <w:iCs/>
        </w:rPr>
        <w:t xml:space="preserve">Goldin</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Util.</w:t>
      </w:r>
      <w:r>
        <w:rPr>
          <w:i/>
          <w:iCs/>
        </w:rPr>
        <w:t xml:space="preserve"> </w:t>
      </w:r>
      <w:r>
        <w:rPr>
          <w:i/>
          <w:iCs/>
        </w:rPr>
        <w:t xml:space="preserve">Comm’n</w:t>
      </w:r>
      <w:r>
        <w:t xml:space="preserve"> </w:t>
      </w:r>
      <w:r>
        <w:t xml:space="preserve">23</w:t>
      </w:r>
      <w:r>
        <w:t xml:space="preserve"> </w:t>
      </w:r>
      <w:r>
        <w:t xml:space="preserve">Cal.</w:t>
      </w:r>
      <w:r>
        <w:t xml:space="preserve"> </w:t>
      </w:r>
      <w:r>
        <w:t xml:space="preserve">3d</w:t>
      </w:r>
      <w:r>
        <w:t xml:space="preserve"> </w:t>
      </w:r>
      <w:r>
        <w:t xml:space="preserve">638</w:t>
      </w:r>
      <w:r>
        <w:t xml:space="preserve"> </w:t>
      </w:r>
      <w:r>
        <w:t xml:space="preserve">(Cal.</w:t>
      </w:r>
      <w:r>
        <w:t xml:space="preserve"> </w:t>
      </w:r>
      <w:r>
        <w:t xml:space="preserve">1979)</w:t>
      </w:r>
      <w:r>
        <w:t xml:space="preserve">   </w:t>
      </w:r>
      <w:r>
        <w:tab/>
      </w:r>
      <w:r>
        <w:t xml:space="preserve">7</w:t>
      </w:r>
    </w:p>
    <w:p>
      <w:pPr>
        <w:keepLines/>
        <w:tabs>
          <w:tab w:val="right" w:leader="dot" w:pos="9360"/>
        </w:tabs>
        <w:spacing w:before="80" w:after="0" w:line="322" w:lineRule="exact"/>
        <w:ind w:left="576" w:right="1120" w:hanging="576"/>
      </w:pPr>
      <w:r>
        <w:rPr>
          <w:i/>
          <w:iCs/>
        </w:rPr>
        <w:t xml:space="preserve">Grafmuller</w:t>
      </w:r>
      <w:r>
        <w:rPr>
          <w:i/>
          <w:iCs/>
        </w:rPr>
        <w:t xml:space="preserve"> </w:t>
      </w:r>
      <w:r>
        <w:rPr>
          <w:i/>
          <w:iCs/>
        </w:rPr>
        <w:t xml:space="preserve">v.</w:t>
      </w:r>
      <w:r>
        <w:rPr>
          <w:i/>
          <w:iCs/>
        </w:rPr>
        <w:t xml:space="preserve"> </w:t>
      </w:r>
      <w:r>
        <w:rPr>
          <w:i/>
          <w:iCs/>
        </w:rPr>
        <w:t xml:space="preserve">Commonwealth</w:t>
      </w:r>
      <w:r>
        <w:t xml:space="preserve"> </w:t>
      </w:r>
      <w:r>
        <w:t xml:space="preserve">778</w:t>
      </w:r>
      <w:r>
        <w:t xml:space="preserve"> </w:t>
      </w:r>
      <w:r>
        <w:t xml:space="preserve">S.E.2d</w:t>
      </w:r>
      <w:r>
        <w:t xml:space="preserve"> </w:t>
      </w:r>
      <w:r>
        <w:t xml:space="preserve">114</w:t>
      </w:r>
      <w:r>
        <w:t xml:space="preserve"> </w:t>
      </w:r>
      <w:r>
        <w:t xml:space="preserve">(Va.</w:t>
      </w:r>
      <w:r>
        <w:t xml:space="preserve"> </w:t>
      </w:r>
      <w:r>
        <w:t xml:space="preserve">2015)</w:t>
      </w:r>
      <w:r>
        <w:t xml:space="preserve">   </w:t>
      </w:r>
      <w:r>
        <w:tab/>
      </w:r>
      <w:r>
        <w:t xml:space="preserve">3</w:t>
      </w:r>
    </w:p>
    <w:p>
      <w:pPr>
        <w:keepLines/>
        <w:tabs>
          <w:tab w:val="right" w:leader="dot" w:pos="9360"/>
        </w:tabs>
        <w:spacing w:before="80" w:after="0" w:line="322" w:lineRule="exact"/>
        <w:ind w:left="576" w:right="1120" w:hanging="576"/>
      </w:pPr>
      <w:r>
        <w:rPr>
          <w:i/>
          <w:iCs/>
        </w:rPr>
        <w:t xml:space="preserve">Grimes</w:t>
      </w:r>
      <w:r>
        <w:rPr>
          <w:i/>
          <w:iCs/>
        </w:rPr>
        <w:t xml:space="preserve"> </w:t>
      </w:r>
      <w:r>
        <w:rPr>
          <w:i/>
          <w:iCs/>
        </w:rPr>
        <w:t xml:space="preserve">v.</w:t>
      </w:r>
      <w:r>
        <w:rPr>
          <w:i/>
          <w:iCs/>
        </w:rPr>
        <w:t xml:space="preserve"> </w:t>
      </w:r>
      <w:r>
        <w:rPr>
          <w:i/>
          <w:iCs/>
        </w:rPr>
        <w:t xml:space="preserve">Comm’r</w:t>
      </w:r>
      <w:r>
        <w:t xml:space="preserve"> </w:t>
      </w:r>
      <w:r>
        <w:t xml:space="preserve">82</w:t>
      </w:r>
      <w:r>
        <w:t xml:space="preserve"> </w:t>
      </w:r>
      <w:r>
        <w:t xml:space="preserve">F.3d</w:t>
      </w:r>
      <w:r>
        <w:t xml:space="preserve"> </w:t>
      </w:r>
      <w:r>
        <w:t xml:space="preserve">286</w:t>
      </w:r>
      <w:r>
        <w:t xml:space="preserve"> </w:t>
      </w:r>
      <w:r>
        <w:t xml:space="preserve">(9th</w:t>
      </w:r>
      <w:r>
        <w:t xml:space="preserve"> </w:t>
      </w:r>
      <w:r>
        <w:t xml:space="preserve">Cir.</w:t>
      </w:r>
      <w:r>
        <w:t xml:space="preserve"> </w:t>
      </w:r>
      <w:r>
        <w:t xml:space="preserve">1996)</w:t>
      </w:r>
      <w:r>
        <w:t xml:space="preserve">   </w:t>
      </w:r>
      <w:r>
        <w:tab/>
      </w:r>
      <w:r>
        <w:t xml:space="preserve">6</w:t>
      </w:r>
    </w:p>
    <w:p>
      <w:pPr>
        <w:keepLines/>
        <w:tabs>
          <w:tab w:val="right" w:leader="dot" w:pos="9360"/>
        </w:tabs>
        <w:spacing w:before="80" w:after="0" w:line="322" w:lineRule="exact"/>
        <w:ind w:left="576" w:right="1120" w:hanging="576"/>
      </w:pPr>
      <w:r>
        <w:rPr>
          <w:i/>
          <w:iCs/>
        </w:rPr>
        <w:t xml:space="preserve">Grumon</w:t>
      </w:r>
      <w:r>
        <w:rPr>
          <w:i/>
          <w:iCs/>
        </w:rPr>
        <w:t xml:space="preserve"> </w:t>
      </w:r>
      <w:r>
        <w:rPr>
          <w:i/>
          <w:iCs/>
        </w:rPr>
        <w:t xml:space="preserve">v.</w:t>
      </w:r>
      <w:r>
        <w:rPr>
          <w:i/>
          <w:iCs/>
        </w:rPr>
        <w:t xml:space="preserve"> </w:t>
      </w:r>
      <w:r>
        <w:rPr>
          <w:i/>
          <w:iCs/>
        </w:rPr>
        <w:t xml:space="preserve">Raymond</w:t>
      </w:r>
      <w:r>
        <w:t xml:space="preserve"> </w:t>
      </w:r>
      <w:r>
        <w:t xml:space="preserve">1</w:t>
      </w:r>
      <w:r>
        <w:t xml:space="preserve"> </w:t>
      </w:r>
      <w:r>
        <w:t xml:space="preserve">Conn.</w:t>
      </w:r>
      <w:r>
        <w:t xml:space="preserve"> </w:t>
      </w:r>
      <w:r>
        <w:t xml:space="preserve">40</w:t>
      </w:r>
      <w:r>
        <w:t xml:space="preserve"> </w:t>
      </w:r>
      <w:r>
        <w:t xml:space="preserve">(1814)</w:t>
      </w:r>
      <w:r>
        <w:t xml:space="preserve">   </w:t>
      </w:r>
      <w:r>
        <w:tab/>
      </w:r>
      <w:r>
        <w:t xml:space="preserve">19</w:t>
      </w:r>
    </w:p>
    <w:p>
      <w:pPr>
        <w:keepLines/>
        <w:tabs>
          <w:tab w:val="right" w:leader="dot" w:pos="9360"/>
        </w:tabs>
        <w:spacing w:before="80" w:after="0" w:line="322" w:lineRule="exact"/>
        <w:ind w:left="576" w:right="1120" w:hanging="576"/>
      </w:pPr>
      <w:r>
        <w:rPr>
          <w:i/>
          <w:iCs/>
        </w:rPr>
        <w:t xml:space="preserve">Hall</w:t>
      </w:r>
      <w:r>
        <w:rPr>
          <w:i/>
          <w:iCs/>
        </w:rPr>
        <w:t xml:space="preserve"> </w:t>
      </w:r>
      <w:r>
        <w:rPr>
          <w:i/>
          <w:iCs/>
        </w:rPr>
        <w:t xml:space="preserve">v.</w:t>
      </w:r>
      <w:r>
        <w:rPr>
          <w:i/>
          <w:iCs/>
        </w:rPr>
        <w:t xml:space="preserve"> </w:t>
      </w:r>
      <w:r>
        <w:rPr>
          <w:i/>
          <w:iCs/>
        </w:rPr>
        <w:t xml:space="preserve">Commonwealth</w:t>
      </w:r>
      <w:r>
        <w:t xml:space="preserve"> </w:t>
      </w:r>
      <w:r>
        <w:t xml:space="preserve">121</w:t>
      </w:r>
      <w:r>
        <w:t xml:space="preserve"> </w:t>
      </w:r>
      <w:r>
        <w:t xml:space="preserve">S.E.</w:t>
      </w:r>
      <w:r>
        <w:t xml:space="preserve"> </w:t>
      </w:r>
      <w:r>
        <w:t xml:space="preserve">154</w:t>
      </w:r>
      <w:r>
        <w:t xml:space="preserve"> </w:t>
      </w:r>
      <w:r>
        <w:t xml:space="preserve">(Va.</w:t>
      </w:r>
      <w:r>
        <w:t xml:space="preserve"> </w:t>
      </w:r>
      <w:r>
        <w:t xml:space="preserve">1924)</w:t>
      </w:r>
      <w:r>
        <w:t xml:space="preserve">   </w:t>
      </w:r>
      <w:r>
        <w:tab/>
      </w:r>
      <w:r>
        <w:t xml:space="preserve">26, 27</w:t>
      </w:r>
    </w:p>
    <w:p>
      <w:pPr>
        <w:keepLines/>
        <w:tabs>
          <w:tab w:val="right" w:leader="dot" w:pos="9360"/>
        </w:tabs>
        <w:spacing w:before="80" w:after="0" w:line="322" w:lineRule="exact"/>
        <w:ind w:left="576" w:right="1120" w:hanging="576"/>
      </w:pPr>
      <w:r>
        <w:rPr>
          <w:i/>
          <w:iCs/>
        </w:rPr>
        <w:t xml:space="preserve">Henry</w:t>
      </w:r>
      <w:r>
        <w:rPr>
          <w:i/>
          <w:iCs/>
        </w:rPr>
        <w:t xml:space="preserve"> </w:t>
      </w:r>
      <w:r>
        <w:rPr>
          <w:i/>
          <w:iCs/>
        </w:rPr>
        <w:t xml:space="preserve">v.</w:t>
      </w:r>
      <w:r>
        <w:rPr>
          <w:i/>
          <w:iCs/>
        </w:rPr>
        <w:t xml:space="preserve"> </w:t>
      </w:r>
      <w:r>
        <w:rPr>
          <w:i/>
          <w:iCs/>
        </w:rPr>
        <w:t xml:space="preserve">Commonwealth</w:t>
      </w:r>
      <w:r>
        <w:t xml:space="preserve"> </w:t>
      </w:r>
      <w:r>
        <w:t xml:space="preserve">529</w:t>
      </w:r>
      <w:r>
        <w:t xml:space="preserve"> </w:t>
      </w:r>
      <w:r>
        <w:t xml:space="preserve">S.E.2d</w:t>
      </w:r>
      <w:r>
        <w:t xml:space="preserve"> </w:t>
      </w:r>
      <w:r>
        <w:t xml:space="preserve">796</w:t>
      </w:r>
      <w:r>
        <w:t xml:space="preserve"> </w:t>
      </w:r>
      <w:r>
        <w:t xml:space="preserve">(Va.</w:t>
      </w:r>
      <w:r>
        <w:t xml:space="preserve"> </w:t>
      </w:r>
      <w:r>
        <w:t xml:space="preserve">App.</w:t>
      </w:r>
      <w:r>
        <w:t xml:space="preserve"> </w:t>
      </w:r>
      <w:r>
        <w:t xml:space="preserve">2000)</w:t>
      </w:r>
      <w:r>
        <w:t xml:space="preserve">   </w:t>
      </w:r>
      <w:r>
        <w:tab/>
      </w:r>
      <w:r>
        <w:t xml:space="preserve">22</w:t>
      </w:r>
    </w:p>
    <w:p>
      <w:pPr>
        <w:keepLines/>
        <w:tabs>
          <w:tab w:val="right" w:leader="dot" w:pos="9360"/>
        </w:tabs>
        <w:spacing w:before="80" w:after="0" w:line="322" w:lineRule="exact"/>
        <w:ind w:left="576" w:right="1120" w:hanging="576"/>
      </w:pPr>
      <w:r>
        <w:rPr>
          <w:i/>
          <w:iCs/>
        </w:rPr>
        <w:t xml:space="preserve">Herring</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555</w:t>
      </w:r>
      <w:r>
        <w:t xml:space="preserve"> </w:t>
      </w:r>
      <w:r>
        <w:t xml:space="preserve">U.S.</w:t>
      </w:r>
      <w:r>
        <w:t xml:space="preserve"> </w:t>
      </w:r>
      <w:r>
        <w:t xml:space="preserve">135</w:t>
      </w:r>
      <w:r>
        <w:t xml:space="preserve"> </w:t>
      </w:r>
      <w:r>
        <w:t xml:space="preserve">(2009)</w:t>
      </w:r>
      <w:r>
        <w:t xml:space="preserve">   </w:t>
      </w:r>
      <w:r>
        <w:tab/>
      </w:r>
      <w:r>
        <w:t xml:space="preserve">4, 13, 14</w:t>
      </w:r>
    </w:p>
    <w:p>
      <w:pPr>
        <w:keepLines/>
        <w:tabs>
          <w:tab w:val="right" w:leader="dot" w:pos="9360"/>
        </w:tabs>
        <w:spacing w:before="80" w:after="0" w:line="322" w:lineRule="exact"/>
        <w:ind w:left="576" w:right="1120" w:hanging="576"/>
      </w:pPr>
      <w:r>
        <w:rPr>
          <w:i/>
          <w:iCs/>
        </w:rPr>
        <w:t xml:space="preserve">Highlander</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Wildlife</w:t>
      </w:r>
      <w:r>
        <w:rPr>
          <w:i/>
          <w:iCs/>
        </w:rPr>
        <w:t xml:space="preserve"> </w:t>
      </w:r>
      <w:r>
        <w:rPr>
          <w:i/>
          <w:iCs/>
        </w:rPr>
        <w:t xml:space="preserve">Res.</w:t>
      </w:r>
      <w:r>
        <w:t xml:space="preserve"> </w:t>
      </w:r>
      <w:r>
        <w:t xml:space="preserve">No.</w:t>
      </w:r>
      <w:r>
        <w:t xml:space="preserve"> </w:t>
      </w:r>
      <w:r>
        <w:t xml:space="preserve">CL23-⁠4100</w:t>
      </w:r>
      <w:r>
        <w:t xml:space="preserve"> </w:t>
      </w:r>
      <w:r>
        <w:t xml:space="preserve">(Va.</w:t>
      </w:r>
      <w:r>
        <w:t xml:space="preserve"> </w:t>
      </w:r>
      <w:r>
        <w:t xml:space="preserve">Cir.</w:t>
      </w:r>
      <w:r>
        <w:t xml:space="preserve"> </w:t>
      </w:r>
      <w:r>
        <w:t xml:space="preserve">Ct.</w:t>
      </w:r>
      <w:r>
        <w:t xml:space="preserve"> </w:t>
      </w:r>
      <w:r>
        <w:t xml:space="preserve">Oct.</w:t>
      </w:r>
      <w:r>
        <w:t xml:space="preserve"> </w:t>
      </w:r>
      <w:r>
        <w:t xml:space="preserve">27,</w:t>
      </w:r>
      <w:r>
        <w:t xml:space="preserve"> </w:t>
      </w:r>
      <w:r>
        <w:t xml:space="preserve">2023),</w:t>
      </w:r>
      <w:r>
        <w:t xml:space="preserve"> </w:t>
      </w:r>
      <w:r>
        <w:t xml:space="preserve">appeal</w:t>
      </w:r>
      <w:r>
        <w:t xml:space="preserve"> </w:t>
      </w:r>
      <w:r>
        <w:t xml:space="preserve">filed</w:t>
      </w:r>
      <w:r>
        <w:t xml:space="preserve"> </w:t>
      </w:r>
      <w:r>
        <w:t xml:space="preserve">(Va.</w:t>
      </w:r>
      <w:r>
        <w:t xml:space="preserve"> </w:t>
      </w:r>
      <w:r>
        <w:t xml:space="preserve">Ct.</w:t>
      </w:r>
      <w:r>
        <w:t xml:space="preserve"> </w:t>
      </w:r>
      <w:r>
        <w:t xml:space="preserve">App.</w:t>
      </w:r>
      <w:r>
        <w:t xml:space="preserve"> </w:t>
      </w:r>
      <w:r>
        <w:t xml:space="preserve">Dec.</w:t>
      </w:r>
      <w:r>
        <w:t xml:space="preserve"> </w:t>
      </w:r>
      <w:r>
        <w:t xml:space="preserve">6,</w:t>
      </w:r>
      <w:r>
        <w:t xml:space="preserve"> </w:t>
      </w:r>
      <w:r>
        <w:t xml:space="preserve">2023)</w:t>
      </w:r>
      <w:r>
        <w:t xml:space="preserve">   </w:t>
      </w:r>
      <w:r>
        <w:tab/>
      </w:r>
      <w:r>
        <w:t xml:space="preserve">26</w:t>
      </w:r>
    </w:p>
    <w:p>
      <w:pPr>
        <w:keepLines/>
        <w:tabs>
          <w:tab w:val="right" w:leader="dot" w:pos="9360"/>
        </w:tabs>
        <w:spacing w:before="80" w:after="0" w:line="322"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Burch</w:t>
      </w:r>
      <w:r>
        <w:t xml:space="preserve"> </w:t>
      </w:r>
      <w:r>
        <w:t xml:space="preserve">294</w:t>
      </w:r>
      <w:r>
        <w:t xml:space="preserve"> </w:t>
      </w:r>
      <w:r>
        <w:t xml:space="preserve">P.3d</w:t>
      </w:r>
      <w:r>
        <w:t xml:space="preserve"> </w:t>
      </w:r>
      <w:r>
        <w:t xml:space="preserve">1155</w:t>
      </w:r>
      <w:r>
        <w:t xml:space="preserve"> </w:t>
      </w:r>
      <w:r>
        <w:t xml:space="preserve">(Kan.</w:t>
      </w:r>
      <w:r>
        <w:t xml:space="preserve"> </w:t>
      </w:r>
      <w:r>
        <w:t xml:space="preserve">2013)</w:t>
      </w:r>
      <w:r>
        <w:t xml:space="preserve">   </w:t>
      </w:r>
      <w:r>
        <w:tab/>
      </w:r>
      <w:r>
        <w:t xml:space="preserve">6</w:t>
      </w:r>
    </w:p>
    <w:p>
      <w:pPr>
        <w:keepLines/>
        <w:tabs>
          <w:tab w:val="right" w:leader="dot" w:pos="9360"/>
        </w:tabs>
        <w:spacing w:before="80" w:after="0" w:line="322" w:lineRule="exact"/>
        <w:ind w:left="576" w:right="1120" w:hanging="576"/>
      </w:pPr>
      <w:r>
        <w:rPr>
          <w:i/>
          <w:iCs/>
        </w:rPr>
        <w:t xml:space="preserve">INS</w:t>
      </w:r>
      <w:r>
        <w:rPr>
          <w:i/>
          <w:iCs/>
        </w:rPr>
        <w:t xml:space="preserve"> </w:t>
      </w:r>
      <w:r>
        <w:rPr>
          <w:i/>
          <w:iCs/>
        </w:rPr>
        <w:t xml:space="preserve">v.</w:t>
      </w:r>
      <w:r>
        <w:rPr>
          <w:i/>
          <w:iCs/>
        </w:rPr>
        <w:t xml:space="preserve"> </w:t>
      </w:r>
      <w:r>
        <w:rPr>
          <w:i/>
          <w:iCs/>
        </w:rPr>
        <w:t xml:space="preserve">Lopez-Mendoza</w:t>
      </w:r>
      <w:r>
        <w:t xml:space="preserve"> </w:t>
      </w:r>
      <w:r>
        <w:t xml:space="preserve">468</w:t>
      </w:r>
      <w:r>
        <w:t xml:space="preserve"> </w:t>
      </w:r>
      <w:r>
        <w:t xml:space="preserve">U.S.</w:t>
      </w:r>
      <w:r>
        <w:t xml:space="preserve"> </w:t>
      </w:r>
      <w:r>
        <w:t xml:space="preserve">1032</w:t>
      </w:r>
      <w:r>
        <w:t xml:space="preserve"> </w:t>
      </w:r>
      <w:r>
        <w:t xml:space="preserve">(1984)</w:t>
      </w:r>
      <w:r>
        <w:t xml:space="preserve">   </w:t>
      </w:r>
      <w:r>
        <w:tab/>
      </w:r>
      <w:r>
        <w:t xml:space="preserve">15, 17</w:t>
      </w:r>
    </w:p>
    <w:p>
      <w:pPr>
        <w:keepLines/>
        <w:tabs>
          <w:tab w:val="right" w:leader="dot" w:pos="9360"/>
        </w:tabs>
        <w:spacing w:before="80" w:after="0" w:line="322" w:lineRule="exact"/>
        <w:ind w:left="576" w:right="1120" w:hanging="576"/>
      </w:pPr>
      <w:r>
        <w:rPr>
          <w:i/>
          <w:iCs/>
        </w:rPr>
        <w:t xml:space="preserve">Jefferson</w:t>
      </w:r>
      <w:r>
        <w:rPr>
          <w:i/>
          <w:iCs/>
        </w:rPr>
        <w:t xml:space="preserve"> </w:t>
      </w:r>
      <w:r>
        <w:rPr>
          <w:i/>
          <w:iCs/>
        </w:rPr>
        <w:t xml:space="preserve">Parish</w:t>
      </w:r>
      <w:r>
        <w:rPr>
          <w:i/>
          <w:iCs/>
        </w:rPr>
        <w:t xml:space="preserve"> </w:t>
      </w:r>
      <w:r>
        <w:rPr>
          <w:i/>
          <w:iCs/>
        </w:rPr>
        <w:t xml:space="preserve">v.</w:t>
      </w:r>
      <w:r>
        <w:rPr>
          <w:i/>
          <w:iCs/>
        </w:rPr>
        <w:t xml:space="preserve"> </w:t>
      </w:r>
      <w:r>
        <w:rPr>
          <w:i/>
          <w:iCs/>
        </w:rPr>
        <w:t xml:space="preserve">Bayou</w:t>
      </w:r>
      <w:r>
        <w:rPr>
          <w:i/>
          <w:iCs/>
        </w:rPr>
        <w:t xml:space="preserve"> </w:t>
      </w:r>
      <w:r>
        <w:rPr>
          <w:i/>
          <w:iCs/>
        </w:rPr>
        <w:t xml:space="preserve">Landing,</w:t>
      </w:r>
      <w:r>
        <w:rPr>
          <w:i/>
          <w:iCs/>
        </w:rPr>
        <w:t xml:space="preserve"> </w:t>
      </w:r>
      <w:r>
        <w:rPr>
          <w:i/>
          <w:iCs/>
        </w:rPr>
        <w:t xml:space="preserve">Ltd.</w:t>
      </w:r>
      <w:r>
        <w:t xml:space="preserve"> </w:t>
      </w:r>
      <w:r>
        <w:t xml:space="preserve">350</w:t>
      </w:r>
      <w:r>
        <w:t xml:space="preserve"> </w:t>
      </w:r>
      <w:r>
        <w:t xml:space="preserve">So.</w:t>
      </w:r>
      <w:r>
        <w:t xml:space="preserve"> </w:t>
      </w:r>
      <w:r>
        <w:t xml:space="preserve">2d</w:t>
      </w:r>
      <w:r>
        <w:t xml:space="preserve"> </w:t>
      </w:r>
      <w:r>
        <w:t xml:space="preserve">158</w:t>
      </w:r>
      <w:r>
        <w:t xml:space="preserve"> </w:t>
      </w:r>
      <w:r>
        <w:t xml:space="preserve">(La.</w:t>
      </w:r>
      <w:r>
        <w:t xml:space="preserve"> </w:t>
      </w:r>
      <w:r>
        <w:t xml:space="preserve">1977)</w:t>
      </w:r>
      <w:r>
        <w:t xml:space="preserve">   </w:t>
      </w:r>
      <w:r>
        <w:tab/>
      </w:r>
      <w:r>
        <w:t xml:space="preserve">7</w:t>
      </w:r>
    </w:p>
    <w:p>
      <w:pPr>
        <w:keepLines/>
        <w:tabs>
          <w:tab w:val="right" w:leader="dot" w:pos="9360"/>
        </w:tabs>
        <w:spacing w:before="80" w:after="0" w:line="322" w:lineRule="exact"/>
        <w:ind w:left="576" w:right="1120" w:hanging="576"/>
      </w:pPr>
      <w:r>
        <w:rPr>
          <w:i/>
          <w:iCs/>
        </w:rPr>
        <w:t xml:space="preserve">Jessop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Fresno</w:t>
      </w:r>
      <w:r>
        <w:t xml:space="preserve"> </w:t>
      </w:r>
      <w:r>
        <w:t xml:space="preserve">936</w:t>
      </w:r>
      <w:r>
        <w:t xml:space="preserve"> </w:t>
      </w:r>
      <w:r>
        <w:t xml:space="preserve">F.3d</w:t>
      </w:r>
      <w:r>
        <w:t xml:space="preserve"> </w:t>
      </w:r>
      <w:r>
        <w:t xml:space="preserve">937</w:t>
      </w:r>
      <w:r>
        <w:t xml:space="preserve"> </w:t>
      </w:r>
      <w:r>
        <w:t xml:space="preserve">(9th</w:t>
      </w:r>
      <w:r>
        <w:t xml:space="preserve"> </w:t>
      </w:r>
      <w:r>
        <w:t xml:space="preserve">Cir.</w:t>
      </w:r>
      <w:r>
        <w:t xml:space="preserve"> </w:t>
      </w:r>
      <w:r>
        <w:t xml:space="preserve">2019)</w:t>
      </w:r>
      <w:r>
        <w:t xml:space="preserve">   </w:t>
      </w:r>
      <w:r>
        <w:tab/>
      </w:r>
      <w:r>
        <w:t xml:space="preserve">21</w:t>
      </w:r>
    </w:p>
    <w:p>
      <w:pPr>
        <w:keepLines/>
        <w:tabs>
          <w:tab w:val="right" w:leader="dot" w:pos="9360"/>
        </w:tabs>
        <w:spacing w:before="80" w:after="0" w:line="322" w:lineRule="exact"/>
        <w:ind w:left="576" w:right="1120" w:hanging="576"/>
      </w:pPr>
      <w:r>
        <w:rPr>
          <w:i/>
          <w:iCs/>
        </w:rPr>
        <w:t xml:space="preserve">Jones</w:t>
      </w:r>
      <w:r>
        <w:rPr>
          <w:i/>
          <w:iCs/>
        </w:rPr>
        <w:t xml:space="preserve"> </w:t>
      </w:r>
      <w:r>
        <w:rPr>
          <w:i/>
          <w:iCs/>
        </w:rPr>
        <w:t xml:space="preserve">v.</w:t>
      </w:r>
      <w:r>
        <w:rPr>
          <w:i/>
          <w:iCs/>
        </w:rPr>
        <w:t xml:space="preserve"> </w:t>
      </w:r>
      <w:r>
        <w:rPr>
          <w:i/>
          <w:iCs/>
        </w:rPr>
        <w:t xml:space="preserve">Commonwealth</w:t>
      </w:r>
      <w:r>
        <w:t xml:space="preserve"> </w:t>
      </w:r>
      <w:r>
        <w:t xml:space="preserve">40</w:t>
      </w:r>
      <w:r>
        <w:t xml:space="preserve"> </w:t>
      </w:r>
      <w:r>
        <w:t xml:space="preserve">Va.</w:t>
      </w:r>
      <w:r>
        <w:t xml:space="preserve"> </w:t>
      </w:r>
      <w:r>
        <w:t xml:space="preserve">748</w:t>
      </w:r>
      <w:r>
        <w:t xml:space="preserve"> </w:t>
      </w:r>
      <w:r>
        <w:t xml:space="preserve">(1842)</w:t>
      </w:r>
      <w:r>
        <w:t xml:space="preserve">   </w:t>
      </w:r>
      <w:r>
        <w:tab/>
      </w:r>
      <w:r>
        <w:t xml:space="preserve">20</w:t>
      </w:r>
    </w:p>
    <w:p>
      <w:pPr>
        <w:keepLines/>
        <w:tabs>
          <w:tab w:val="right" w:leader="dot" w:pos="9360"/>
        </w:tabs>
        <w:spacing w:before="80" w:after="0" w:line="322" w:lineRule="exact"/>
        <w:ind w:left="576" w:right="1120" w:hanging="576"/>
      </w:pPr>
      <w:r>
        <w:rPr>
          <w:i/>
          <w:iCs/>
        </w:rPr>
        <w:t xml:space="preserve">Jones</w:t>
      </w:r>
      <w:r>
        <w:rPr>
          <w:i/>
          <w:iCs/>
        </w:rPr>
        <w:t xml:space="preserve"> </w:t>
      </w:r>
      <w:r>
        <w:rPr>
          <w:i/>
          <w:iCs/>
        </w:rPr>
        <w:t xml:space="preserve">v.</w:t>
      </w:r>
      <w:r>
        <w:rPr>
          <w:i/>
          <w:iCs/>
        </w:rPr>
        <w:t xml:space="preserve"> </w:t>
      </w:r>
      <w:r>
        <w:rPr>
          <w:i/>
          <w:iCs/>
        </w:rPr>
        <w:t xml:space="preserve">Commonwealth</w:t>
      </w:r>
      <w:r>
        <w:t xml:space="preserve"> </w:t>
      </w:r>
      <w:r>
        <w:t xml:space="preserve">795</w:t>
      </w:r>
      <w:r>
        <w:t xml:space="preserve"> </w:t>
      </w:r>
      <w:r>
        <w:t xml:space="preserve">S.E.2d</w:t>
      </w:r>
      <w:r>
        <w:t xml:space="preserve"> </w:t>
      </w:r>
      <w:r>
        <w:t xml:space="preserve">705</w:t>
      </w:r>
      <w:r>
        <w:t xml:space="preserve"> </w:t>
      </w:r>
      <w:r>
        <w:t xml:space="preserve">(Va.</w:t>
      </w:r>
      <w:r>
        <w:t xml:space="preserve"> </w:t>
      </w:r>
      <w:r>
        <w:t xml:space="preserve">2017)</w:t>
      </w:r>
      <w:r>
        <w:t xml:space="preserve">   </w:t>
      </w:r>
      <w:r>
        <w:tab/>
      </w:r>
      <w:r>
        <w:t xml:space="preserve">9</w:t>
      </w:r>
    </w:p>
    <w:p>
      <w:pPr>
        <w:keepLines/>
        <w:tabs>
          <w:tab w:val="right" w:leader="dot" w:pos="9360"/>
        </w:tabs>
        <w:spacing w:before="80" w:after="0" w:line="322" w:lineRule="exact"/>
        <w:ind w:left="576" w:right="1120" w:hanging="576"/>
      </w:pPr>
      <w:r>
        <w:rPr>
          <w:i/>
          <w:iCs/>
        </w:rPr>
        <w:t xml:space="preserve">Jones</w:t>
      </w:r>
      <w:r>
        <w:rPr>
          <w:i/>
          <w:iCs/>
        </w:rPr>
        <w:t xml:space="preserve"> </w:t>
      </w:r>
      <w:r>
        <w:rPr>
          <w:i/>
          <w:iCs/>
        </w:rPr>
        <w:t xml:space="preserve">v.</w:t>
      </w:r>
      <w:r>
        <w:rPr>
          <w:i/>
          <w:iCs/>
        </w:rPr>
        <w:t xml:space="preserve"> </w:t>
      </w:r>
      <w:r>
        <w:rPr>
          <w:i/>
          <w:iCs/>
        </w:rPr>
        <w:t xml:space="preserve">Latexo</w:t>
      </w:r>
      <w:r>
        <w:rPr>
          <w:i/>
          <w:iCs/>
        </w:rPr>
        <w:t xml:space="preserve"> </w:t>
      </w:r>
      <w:r>
        <w:rPr>
          <w:i/>
          <w:iCs/>
        </w:rPr>
        <w:t xml:space="preserve">Indep.</w:t>
      </w:r>
      <w:r>
        <w:rPr>
          <w:i/>
          <w:iCs/>
        </w:rPr>
        <w:t xml:space="preserve"> </w:t>
      </w:r>
      <w:r>
        <w:rPr>
          <w:i/>
          <w:iCs/>
        </w:rPr>
        <w:t xml:space="preserve">Sch.</w:t>
      </w:r>
      <w:r>
        <w:rPr>
          <w:i/>
          <w:iCs/>
        </w:rPr>
        <w:t xml:space="preserve"> </w:t>
      </w:r>
      <w:r>
        <w:rPr>
          <w:i/>
          <w:iCs/>
        </w:rPr>
        <w:t xml:space="preserve">Dist.</w:t>
      </w:r>
      <w:r>
        <w:t xml:space="preserve"> </w:t>
      </w:r>
      <w:r>
        <w:t xml:space="preserve">499</w:t>
      </w:r>
      <w:r>
        <w:t xml:space="preserve"> </w:t>
      </w:r>
      <w:r>
        <w:t xml:space="preserve">F.</w:t>
      </w:r>
      <w:r>
        <w:t xml:space="preserve"> </w:t>
      </w:r>
      <w:r>
        <w:t xml:space="preserve">Supp.</w:t>
      </w:r>
      <w:r>
        <w:t xml:space="preserve"> </w:t>
      </w:r>
      <w:r>
        <w:t xml:space="preserve">223</w:t>
      </w:r>
      <w:r>
        <w:t xml:space="preserve"> </w:t>
      </w:r>
      <w:r>
        <w:t xml:space="preserve">(E.D.</w:t>
      </w:r>
      <w:r>
        <w:t xml:space="preserve"> </w:t>
      </w:r>
      <w:r>
        <w:t xml:space="preserve">Tex.</w:t>
      </w:r>
      <w:r>
        <w:t xml:space="preserve"> </w:t>
      </w:r>
      <w:r>
        <w:t xml:space="preserve">1980)</w:t>
      </w:r>
      <w:r>
        <w:t xml:space="preserve">   </w:t>
      </w:r>
      <w:r>
        <w:tab/>
      </w:r>
      <w:r>
        <w:t xml:space="preserve">8</w:t>
      </w:r>
    </w:p>
    <w:p>
      <w:pPr>
        <w:keepLines/>
        <w:tabs>
          <w:tab w:val="right" w:leader="dot" w:pos="9360"/>
        </w:tabs>
        <w:spacing w:before="80" w:after="0" w:line="322" w:lineRule="exact"/>
        <w:ind w:left="576" w:right="1120" w:hanging="576"/>
      </w:pPr>
      <w:r>
        <w:rPr>
          <w:i/>
          <w:iCs/>
        </w:rPr>
        <w:t xml:space="preserve">Leach-Lewis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 </w:t>
      </w:r>
      <w:r>
        <w:t xml:space="preserve">No.</w:t>
      </w:r>
      <w:r>
        <w:t xml:space="preserve"> </w:t>
      </w:r>
      <w:r>
        <w:t xml:space="preserve">0815-⁠22-⁠4,</w:t>
      </w:r>
      <w:r>
        <w:t xml:space="preserve"> </w:t>
      </w:r>
      <w:r>
        <w:t xml:space="preserve">2023</w:t>
      </w:r>
      <w:r>
        <w:t xml:space="preserve"> </w:t>
      </w:r>
      <w:r>
        <w:t xml:space="preserve">WL</w:t>
      </w:r>
      <w:r>
        <w:t xml:space="preserve"> </w:t>
      </w:r>
      <w:r>
        <w:t xml:space="preserve">3956770</w:t>
      </w:r>
      <w:r>
        <w:t xml:space="preserve"> </w:t>
      </w:r>
      <w:r>
        <w:t xml:space="preserve">(Va.</w:t>
      </w:r>
      <w:r>
        <w:t xml:space="preserve"> </w:t>
      </w:r>
      <w:r>
        <w:t xml:space="preserve">Ct.</w:t>
      </w:r>
      <w:r>
        <w:t xml:space="preserve"> </w:t>
      </w:r>
      <w:r>
        <w:t xml:space="preserve">App.</w:t>
      </w:r>
      <w:r>
        <w:t xml:space="preserve"> </w:t>
      </w:r>
      <w:r>
        <w:t xml:space="preserve">June</w:t>
      </w:r>
      <w:r>
        <w:t xml:space="preserve"> </w:t>
      </w:r>
      <w:r>
        <w:t xml:space="preserve">13,</w:t>
      </w:r>
      <w:r>
        <w:t xml:space="preserve"> </w:t>
      </w:r>
      <w:r>
        <w:t xml:space="preserve">2023)</w:t>
      </w:r>
      <w:r>
        <w:t xml:space="preserve">   </w:t>
      </w:r>
      <w:r>
        <w:tab/>
      </w:r>
      <w:r>
        <w:t xml:space="preserve">13, 16</w:t>
      </w:r>
    </w:p>
    <w:p>
      <w:pPr>
        <w:keepLines/>
        <w:tabs>
          <w:tab w:val="right" w:leader="dot" w:pos="9360"/>
        </w:tabs>
        <w:spacing w:before="80" w:after="0" w:line="322" w:lineRule="exact"/>
        <w:ind w:left="576" w:right="1120" w:hanging="576"/>
      </w:pPr>
      <w:r>
        <w:rPr>
          <w:i/>
          <w:iCs/>
        </w:rPr>
        <w:t xml:space="preserve">Little</w:t>
      </w:r>
      <w:r>
        <w:rPr>
          <w:i/>
          <w:iCs/>
        </w:rPr>
        <w:t xml:space="preserve"> </w:t>
      </w:r>
      <w:r>
        <w:rPr>
          <w:i/>
          <w:iCs/>
        </w:rPr>
        <w:t xml:space="preserve">v.</w:t>
      </w:r>
      <w:r>
        <w:rPr>
          <w:i/>
          <w:iCs/>
        </w:rPr>
        <w:t xml:space="preserve"> </w:t>
      </w:r>
      <w:r>
        <w:rPr>
          <w:i/>
          <w:iCs/>
        </w:rPr>
        <w:t xml:space="preserve">Bareme</w:t>
      </w:r>
      <w:r>
        <w:t xml:space="preserve"> </w:t>
      </w:r>
      <w:r>
        <w:t xml:space="preserve">6</w:t>
      </w:r>
      <w:r>
        <w:t xml:space="preserve"> </w:t>
      </w:r>
      <w:r>
        <w:t xml:space="preserve">U.S.</w:t>
      </w:r>
      <w:r>
        <w:t xml:space="preserve"> </w:t>
      </w:r>
      <w:r>
        <w:t xml:space="preserve">(2</w:t>
      </w:r>
      <w:r>
        <w:t xml:space="preserve"> </w:t>
      </w:r>
      <w:r>
        <w:t xml:space="preserve">Cranch)</w:t>
      </w:r>
      <w:r>
        <w:t xml:space="preserve"> </w:t>
      </w:r>
      <w:r>
        <w:t xml:space="preserve">170</w:t>
      </w:r>
      <w:r>
        <w:t xml:space="preserve"> </w:t>
      </w:r>
      <w:r>
        <w:t xml:space="preserve">(1804)</w:t>
      </w:r>
      <w:r>
        <w:t xml:space="preserve">   </w:t>
      </w:r>
      <w:r>
        <w:tab/>
      </w:r>
      <w:r>
        <w:t xml:space="preserve">20</w:t>
      </w:r>
    </w:p>
    <w:p>
      <w:pPr>
        <w:keepLines/>
        <w:tabs>
          <w:tab w:val="right" w:leader="dot" w:pos="9360"/>
        </w:tabs>
        <w:spacing w:before="80" w:after="0" w:line="322" w:lineRule="exact"/>
        <w:ind w:left="576" w:right="1120" w:hanging="576"/>
      </w:pPr>
      <w:r>
        <w:rPr>
          <w:i/>
          <w:iCs/>
        </w:rPr>
        <w:t xml:space="preserve">Lowe</w:t>
      </w:r>
      <w:r>
        <w:rPr>
          <w:i/>
          <w:iCs/>
        </w:rPr>
        <w:t xml:space="preserve"> </w:t>
      </w:r>
      <w:r>
        <w:rPr>
          <w:i/>
          <w:iCs/>
        </w:rPr>
        <w:t xml:space="preserve">v.</w:t>
      </w:r>
      <w:r>
        <w:rPr>
          <w:i/>
          <w:iCs/>
        </w:rPr>
        <w:t xml:space="preserve"> </w:t>
      </w:r>
      <w:r>
        <w:rPr>
          <w:i/>
          <w:iCs/>
        </w:rPr>
        <w:t xml:space="preserve">Commonwealth</w:t>
      </w:r>
      <w:r>
        <w:t xml:space="preserve"> </w:t>
      </w:r>
      <w:r>
        <w:t xml:space="preserve">337</w:t>
      </w:r>
      <w:r>
        <w:t xml:space="preserve"> </w:t>
      </w:r>
      <w:r>
        <w:t xml:space="preserve">S.E.2d</w:t>
      </w:r>
      <w:r>
        <w:t xml:space="preserve"> </w:t>
      </w:r>
      <w:r>
        <w:t xml:space="preserve">273</w:t>
      </w:r>
      <w:r>
        <w:t xml:space="preserve"> </w:t>
      </w:r>
      <w:r>
        <w:t xml:space="preserve">(Va.</w:t>
      </w:r>
      <w:r>
        <w:t xml:space="preserve"> </w:t>
      </w:r>
      <w:r>
        <w:t xml:space="preserve">1985)</w:t>
      </w:r>
      <w:r>
        <w:t xml:space="preserve">   </w:t>
      </w:r>
      <w:r>
        <w:tab/>
      </w:r>
      <w:r>
        <w:t xml:space="preserve">22</w:t>
      </w:r>
    </w:p>
    <w:p>
      <w:pPr>
        <w:keepLines/>
        <w:tabs>
          <w:tab w:val="right" w:leader="dot" w:pos="9360"/>
        </w:tabs>
        <w:spacing w:before="80" w:after="0" w:line="322" w:lineRule="exact"/>
        <w:ind w:left="576" w:right="1120" w:hanging="576"/>
      </w:pPr>
      <w:r>
        <w:rPr>
          <w:i/>
          <w:iCs/>
        </w:rPr>
        <w:t xml:space="preserve">Mapp</w:t>
      </w:r>
      <w:r>
        <w:rPr>
          <w:i/>
          <w:iCs/>
        </w:rPr>
        <w:t xml:space="preserve"> </w:t>
      </w:r>
      <w:r>
        <w:rPr>
          <w:i/>
          <w:iCs/>
        </w:rPr>
        <w:t xml:space="preserve">v.</w:t>
      </w:r>
      <w:r>
        <w:rPr>
          <w:i/>
          <w:iCs/>
        </w:rPr>
        <w:t xml:space="preserve"> </w:t>
      </w:r>
      <w:r>
        <w:rPr>
          <w:i/>
          <w:iCs/>
        </w:rPr>
        <w:t xml:space="preserve">Ohio</w:t>
      </w:r>
      <w:r>
        <w:t xml:space="preserve"> </w:t>
      </w:r>
      <w:r>
        <w:t xml:space="preserve">367</w:t>
      </w:r>
      <w:r>
        <w:t xml:space="preserve"> </w:t>
      </w:r>
      <w:r>
        <w:t xml:space="preserve">U.S.</w:t>
      </w:r>
      <w:r>
        <w:t xml:space="preserve"> </w:t>
      </w:r>
      <w:r>
        <w:t xml:space="preserve">643</w:t>
      </w:r>
      <w:r>
        <w:t xml:space="preserve"> </w:t>
      </w:r>
      <w:r>
        <w:t xml:space="preserve">(1961)</w:t>
      </w:r>
      <w:r>
        <w:t xml:space="preserve">   </w:t>
      </w:r>
      <w:r>
        <w:tab/>
      </w:r>
      <w:r>
        <w:t xml:space="preserve">19</w:t>
      </w:r>
    </w:p>
    <w:p>
      <w:pPr>
        <w:keepLines/>
        <w:tabs>
          <w:tab w:val="right" w:leader="dot" w:pos="9360"/>
        </w:tabs>
        <w:spacing w:before="80" w:after="0" w:line="322" w:lineRule="exact"/>
        <w:ind w:left="576" w:right="1120" w:hanging="576"/>
      </w:pPr>
      <w:r>
        <w:rPr>
          <w:i/>
          <w:iCs/>
        </w:rPr>
        <w:t xml:space="preserve">McClannan</w:t>
      </w:r>
      <w:r>
        <w:rPr>
          <w:i/>
          <w:iCs/>
        </w:rPr>
        <w:t xml:space="preserve"> </w:t>
      </w:r>
      <w:r>
        <w:rPr>
          <w:i/>
          <w:iCs/>
        </w:rPr>
        <w:t xml:space="preserve">v.</w:t>
      </w:r>
      <w:r>
        <w:rPr>
          <w:i/>
          <w:iCs/>
        </w:rPr>
        <w:t xml:space="preserve"> </w:t>
      </w:r>
      <w:r>
        <w:rPr>
          <w:i/>
          <w:iCs/>
        </w:rPr>
        <w:t xml:space="preserve">Chaplain</w:t>
      </w:r>
      <w:r>
        <w:t xml:space="preserve"> </w:t>
      </w:r>
      <w:r>
        <w:t xml:space="preserve">116</w:t>
      </w:r>
      <w:r>
        <w:t xml:space="preserve"> </w:t>
      </w:r>
      <w:r>
        <w:t xml:space="preserve">S.E.</w:t>
      </w:r>
      <w:r>
        <w:t xml:space="preserve"> </w:t>
      </w:r>
      <w:r>
        <w:t xml:space="preserve">495</w:t>
      </w:r>
      <w:r>
        <w:t xml:space="preserve"> </w:t>
      </w:r>
      <w:r>
        <w:t xml:space="preserve">(Va.</w:t>
      </w:r>
      <w:r>
        <w:t xml:space="preserve"> </w:t>
      </w:r>
      <w:r>
        <w:t xml:space="preserve">1923)</w:t>
      </w:r>
      <w:r>
        <w:t xml:space="preserve">   </w:t>
      </w:r>
      <w:r>
        <w:tab/>
      </w:r>
      <w:r>
        <w:t xml:space="preserve">25</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Grice</w:t>
      </w:r>
      <w:r>
        <w:t xml:space="preserve"> </w:t>
      </w:r>
      <w:r>
        <w:t xml:space="preserve">31</w:t>
      </w:r>
      <w:r>
        <w:t xml:space="preserve"> </w:t>
      </w:r>
      <w:r>
        <w:t xml:space="preserve">S.C.L.</w:t>
      </w:r>
      <w:r>
        <w:t xml:space="preserve"> </w:t>
      </w:r>
      <w:r>
        <w:t xml:space="preserve">(2</w:t>
      </w:r>
      <w:r>
        <w:t xml:space="preserve"> </w:t>
      </w:r>
      <w:r>
        <w:t xml:space="preserve">Rich.)</w:t>
      </w:r>
      <w:r>
        <w:t xml:space="preserve"> </w:t>
      </w:r>
      <w:r>
        <w:t xml:space="preserve">27</w:t>
      </w:r>
      <w:r>
        <w:t xml:space="preserve"> </w:t>
      </w:r>
      <w:r>
        <w:t xml:space="preserve">(S.C.</w:t>
      </w:r>
      <w:r>
        <w:t xml:space="preserve"> </w:t>
      </w:r>
      <w:r>
        <w:t xml:space="preserve">1845)</w:t>
      </w:r>
      <w:r>
        <w:t xml:space="preserve">   </w:t>
      </w:r>
      <w:r>
        <w:tab/>
      </w:r>
      <w:r>
        <w:t xml:space="preserve">19</w:t>
      </w:r>
    </w:p>
    <w:p>
      <w:pPr>
        <w:keepLines/>
        <w:tabs>
          <w:tab w:val="right" w:leader="dot" w:pos="9360"/>
        </w:tabs>
        <w:spacing w:before="80" w:after="0" w:line="322" w:lineRule="exact"/>
        <w:ind w:left="576" w:right="1120" w:hanging="576"/>
      </w:pPr>
      <w:r>
        <w:rPr>
          <w:i/>
          <w:iCs/>
        </w:rPr>
        <w:t xml:space="preserve">Miranda</w:t>
      </w:r>
      <w:r>
        <w:rPr>
          <w:i/>
          <w:iCs/>
        </w:rPr>
        <w:t xml:space="preserve"> </w:t>
      </w:r>
      <w:r>
        <w:rPr>
          <w:i/>
          <w:iCs/>
        </w:rPr>
        <w:t xml:space="preserve">v.</w:t>
      </w:r>
      <w:r>
        <w:rPr>
          <w:i/>
          <w:iCs/>
        </w:rPr>
        <w:t xml:space="preserve"> </w:t>
      </w:r>
      <w:r>
        <w:rPr>
          <w:i/>
          <w:iCs/>
        </w:rPr>
        <w:t xml:space="preserve">Arizona</w:t>
      </w:r>
      <w:r>
        <w:t xml:space="preserve"> </w:t>
      </w:r>
      <w:r>
        <w:t xml:space="preserve">384</w:t>
      </w:r>
      <w:r>
        <w:t xml:space="preserve"> </w:t>
      </w:r>
      <w:r>
        <w:t xml:space="preserve">U.S.</w:t>
      </w:r>
      <w:r>
        <w:t xml:space="preserve"> </w:t>
      </w:r>
      <w:r>
        <w:t xml:space="preserve">436</w:t>
      </w:r>
      <w:r>
        <w:t xml:space="preserve"> </w:t>
      </w:r>
      <w:r>
        <w:t xml:space="preserve">(1966)</w:t>
      </w:r>
      <w:r>
        <w:t xml:space="preserve">   </w:t>
      </w:r>
      <w:r>
        <w:tab/>
      </w:r>
      <w:r>
        <w:t xml:space="preserve">8</w:t>
      </w:r>
    </w:p>
    <w:p>
      <w:pPr>
        <w:keepLines/>
        <w:tabs>
          <w:tab w:val="right" w:leader="dot" w:pos="9360"/>
        </w:tabs>
        <w:spacing w:before="80" w:after="0" w:line="322" w:lineRule="exact"/>
        <w:ind w:left="576" w:right="1120" w:hanging="576"/>
      </w:pPr>
      <w:r>
        <w:rPr>
          <w:i/>
          <w:iCs/>
        </w:rPr>
        <w:t xml:space="preserve">Olson</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t xml:space="preserve"> </w:t>
      </w:r>
      <w:r>
        <w:t xml:space="preserve">371</w:t>
      </w:r>
      <w:r>
        <w:t xml:space="preserve"> </w:t>
      </w:r>
      <w:r>
        <w:t xml:space="preserve">N.W.2d</w:t>
      </w:r>
      <w:r>
        <w:t xml:space="preserve"> </w:t>
      </w:r>
      <w:r>
        <w:t xml:space="preserve">552</w:t>
      </w:r>
      <w:r>
        <w:t xml:space="preserve"> </w:t>
      </w:r>
      <w:r>
        <w:t xml:space="preserve">(Minn.</w:t>
      </w:r>
      <w:r>
        <w:t xml:space="preserve"> </w:t>
      </w:r>
      <w:r>
        <w:t xml:space="preserve">1985)</w:t>
      </w:r>
      <w:r>
        <w:t xml:space="preserve">   </w:t>
      </w:r>
      <w:r>
        <w:tab/>
      </w:r>
      <w:r>
        <w:t xml:space="preserve">7</w:t>
      </w:r>
    </w:p>
    <w:p>
      <w:pPr>
        <w:keepLines/>
        <w:tabs>
          <w:tab w:val="right" w:leader="dot" w:pos="9360"/>
        </w:tabs>
        <w:spacing w:before="80" w:after="0" w:line="322" w:lineRule="exact"/>
        <w:ind w:left="576" w:right="1120" w:hanging="576"/>
      </w:pPr>
      <w:r>
        <w:rPr>
          <w:i/>
          <w:iCs/>
        </w:rPr>
        <w:t xml:space="preserve">One</w:t>
      </w:r>
      <w:r>
        <w:rPr>
          <w:i/>
          <w:iCs/>
        </w:rPr>
        <w:t xml:space="preserve"> </w:t>
      </w:r>
      <w:r>
        <w:rPr>
          <w:i/>
          <w:iCs/>
        </w:rPr>
        <w:t xml:space="preserve">1958</w:t>
      </w:r>
      <w:r>
        <w:rPr>
          <w:i/>
          <w:iCs/>
        </w:rPr>
        <w:t xml:space="preserve"> </w:t>
      </w:r>
      <w:r>
        <w:rPr>
          <w:i/>
          <w:iCs/>
        </w:rPr>
        <w:t xml:space="preserve">Plymouth</w:t>
      </w:r>
      <w:r>
        <w:rPr>
          <w:i/>
          <w:iCs/>
        </w:rPr>
        <w:t xml:space="preserve"> </w:t>
      </w:r>
      <w:r>
        <w:rPr>
          <w:i/>
          <w:iCs/>
        </w:rPr>
        <w:t xml:space="preserve">Sedan</w:t>
      </w:r>
      <w:r>
        <w:rPr>
          <w:i/>
          <w:iCs/>
        </w:rPr>
        <w:t xml:space="preserve"> </w:t>
      </w:r>
      <w:r>
        <w:rPr>
          <w:i/>
          <w:iCs/>
        </w:rPr>
        <w:t xml:space="preserve">v.</w:t>
      </w:r>
      <w:r>
        <w:rPr>
          <w:i/>
          <w:iCs/>
        </w:rPr>
        <w:t xml:space="preserve"> </w:t>
      </w:r>
      <w:r>
        <w:rPr>
          <w:i/>
          <w:iCs/>
        </w:rPr>
        <w:t xml:space="preserve">Pennsylvania</w:t>
      </w:r>
      <w:r>
        <w:t xml:space="preserve"> </w:t>
      </w:r>
      <w:r>
        <w:t xml:space="preserve">380</w:t>
      </w:r>
      <w:r>
        <w:t xml:space="preserve"> </w:t>
      </w:r>
      <w:r>
        <w:t xml:space="preserve">U.S.</w:t>
      </w:r>
      <w:r>
        <w:t xml:space="preserve"> </w:t>
      </w:r>
      <w:r>
        <w:t xml:space="preserve">693</w:t>
      </w:r>
      <w:r>
        <w:t xml:space="preserve"> </w:t>
      </w:r>
      <w:r>
        <w:t xml:space="preserve">(1965)</w:t>
      </w:r>
      <w:r>
        <w:t xml:space="preserve">   </w:t>
      </w:r>
      <w:r>
        <w:tab/>
      </w:r>
      <w:r>
        <w:t xml:space="preserve">7</w:t>
      </w:r>
    </w:p>
    <w:p>
      <w:pPr>
        <w:keepLines/>
        <w:tabs>
          <w:tab w:val="right" w:leader="dot" w:pos="9360"/>
        </w:tabs>
        <w:spacing w:before="80" w:after="0" w:line="322" w:lineRule="exact"/>
        <w:ind w:left="576" w:right="1120" w:hanging="576"/>
      </w:pPr>
      <w:r>
        <w:rPr>
          <w:i/>
          <w:iCs/>
        </w:rPr>
        <w:t xml:space="preserve">Pa.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Prob.</w:t>
      </w:r>
      <w:r>
        <w:rPr>
          <w:i/>
          <w:iCs/>
        </w:rPr>
        <w:t xml:space="preserve"> </w:t>
      </w:r>
      <w:r>
        <w:rPr>
          <w:i/>
          <w:iCs/>
        </w:rPr>
        <w:t xml:space="preserve">&amp;</w:t>
      </w:r>
      <w:r>
        <w:rPr>
          <w:i/>
          <w:iCs/>
        </w:rPr>
        <w:t xml:space="preserve"> </w:t>
      </w:r>
      <w:r>
        <w:rPr>
          <w:i/>
          <w:iCs/>
        </w:rPr>
        <w:t xml:space="preserve">Parole</w:t>
      </w:r>
      <w:r>
        <w:rPr>
          <w:i/>
          <w:iCs/>
        </w:rPr>
        <w:t xml:space="preserve"> </w:t>
      </w:r>
      <w:r>
        <w:rPr>
          <w:i/>
          <w:iCs/>
        </w:rPr>
        <w:t xml:space="preserve">v.</w:t>
      </w:r>
      <w:r>
        <w:rPr>
          <w:i/>
          <w:iCs/>
        </w:rPr>
        <w:t xml:space="preserve"> </w:t>
      </w:r>
      <w:r>
        <w:rPr>
          <w:i/>
          <w:iCs/>
        </w:rPr>
        <w:t xml:space="preserve">Scott</w:t>
      </w:r>
      <w:r>
        <w:t xml:space="preserve"> </w:t>
      </w:r>
      <w:r>
        <w:t xml:space="preserve">524</w:t>
      </w:r>
      <w:r>
        <w:t xml:space="preserve"> </w:t>
      </w:r>
      <w:r>
        <w:t xml:space="preserve">U.S.</w:t>
      </w:r>
      <w:r>
        <w:t xml:space="preserve"> </w:t>
      </w:r>
      <w:r>
        <w:t xml:space="preserve">357</w:t>
      </w:r>
      <w:r>
        <w:t xml:space="preserve"> </w:t>
      </w:r>
      <w:r>
        <w:t xml:space="preserve">(1998)</w:t>
      </w:r>
      <w:r>
        <w:t xml:space="preserve">   </w:t>
      </w:r>
      <w:r>
        <w:tab/>
      </w:r>
      <w:r>
        <w:t xml:space="preserve">17</w:t>
      </w:r>
    </w:p>
    <w:p>
      <w:pPr>
        <w:keepLines/>
        <w:tabs>
          <w:tab w:val="right" w:leader="dot" w:pos="9360"/>
        </w:tabs>
        <w:spacing w:before="80" w:after="0" w:line="322" w:lineRule="exact"/>
        <w:ind w:left="576" w:right="1120" w:hanging="576"/>
      </w:pPr>
      <w:r>
        <w:rPr>
          <w:i/>
          <w:iCs/>
        </w:rPr>
        <w:t xml:space="preserve">Perrin</w:t>
      </w:r>
      <w:r>
        <w:rPr>
          <w:i/>
          <w:iCs/>
        </w:rPr>
        <w:t xml:space="preserve"> </w:t>
      </w:r>
      <w:r>
        <w:rPr>
          <w:i/>
          <w:iCs/>
        </w:rPr>
        <w:t xml:space="preserve">v.</w:t>
      </w:r>
      <w:r>
        <w:rPr>
          <w:i/>
          <w:iCs/>
        </w:rPr>
        <w:t xml:space="preserve"> </w:t>
      </w:r>
      <w:r>
        <w:rPr>
          <w:i/>
          <w:iCs/>
        </w:rPr>
        <w:t xml:space="preserve">Calhoun</w:t>
      </w:r>
      <w:r>
        <w:t xml:space="preserve"> </w:t>
      </w:r>
      <w:r>
        <w:t xml:space="preserve">4</w:t>
      </w:r>
      <w:r>
        <w:t xml:space="preserve"> </w:t>
      </w:r>
      <w:r>
        <w:t xml:space="preserve">S.C.L.</w:t>
      </w:r>
      <w:r>
        <w:t xml:space="preserve"> </w:t>
      </w:r>
      <w:r>
        <w:t xml:space="preserve">(2</w:t>
      </w:r>
      <w:r>
        <w:t xml:space="preserve"> </w:t>
      </w:r>
      <w:r>
        <w:t xml:space="preserve">Brev.)</w:t>
      </w:r>
      <w:r>
        <w:t xml:space="preserve"> </w:t>
      </w:r>
      <w:r>
        <w:t xml:space="preserve">248</w:t>
      </w:r>
      <w:r>
        <w:t xml:space="preserve"> </w:t>
      </w:r>
      <w:r>
        <w:t xml:space="preserve">(S.C.</w:t>
      </w:r>
      <w:r>
        <w:t xml:space="preserve"> </w:t>
      </w:r>
      <w:r>
        <w:t xml:space="preserve">1808)</w:t>
      </w:r>
      <w:r>
        <w:t xml:space="preserve">   </w:t>
      </w:r>
      <w:r>
        <w:tab/>
      </w:r>
      <w:r>
        <w:t xml:space="preserve">20</w:t>
      </w:r>
    </w:p>
    <w:p>
      <w:pPr>
        <w:keepLines/>
        <w:tabs>
          <w:tab w:val="right" w:leader="dot" w:pos="9360"/>
        </w:tabs>
        <w:spacing w:before="80" w:after="0" w:line="322" w:lineRule="exact"/>
        <w:ind w:left="576" w:right="1120" w:hanging="576"/>
      </w:pPr>
      <w:r>
        <w:rPr>
          <w:i/>
          <w:iCs/>
        </w:rPr>
        <w:t xml:space="preserve">Pike</w:t>
      </w:r>
      <w:r>
        <w:rPr>
          <w:i/>
          <w:iCs/>
        </w:rPr>
        <w:t xml:space="preserve"> </w:t>
      </w:r>
      <w:r>
        <w:rPr>
          <w:i/>
          <w:iCs/>
        </w:rPr>
        <w:t xml:space="preserve">v.</w:t>
      </w:r>
      <w:r>
        <w:rPr>
          <w:i/>
          <w:iCs/>
        </w:rPr>
        <w:t xml:space="preserve"> </w:t>
      </w:r>
      <w:r>
        <w:rPr>
          <w:i/>
          <w:iCs/>
        </w:rPr>
        <w:t xml:space="preserve">Gallagher</w:t>
      </w:r>
      <w:r>
        <w:t xml:space="preserve"> </w:t>
      </w:r>
      <w:r>
        <w:t xml:space="preserve">829</w:t>
      </w:r>
      <w:r>
        <w:t xml:space="preserve"> </w:t>
      </w:r>
      <w:r>
        <w:t xml:space="preserve">F.</w:t>
      </w:r>
      <w:r>
        <w:t xml:space="preserve"> </w:t>
      </w:r>
      <w:r>
        <w:t xml:space="preserve">Supp</w:t>
      </w:r>
      <w:r>
        <w:t xml:space="preserve"> </w:t>
      </w:r>
      <w:r>
        <w:t xml:space="preserve">1254</w:t>
      </w:r>
      <w:r>
        <w:t xml:space="preserve"> </w:t>
      </w:r>
      <w:r>
        <w:t xml:space="preserve">(D.N.M.</w:t>
      </w:r>
      <w:r>
        <w:t xml:space="preserve"> </w:t>
      </w:r>
      <w:r>
        <w:t xml:space="preserve">1993)</w:t>
      </w:r>
      <w:r>
        <w:t xml:space="preserve">   </w:t>
      </w:r>
      <w:r>
        <w:tab/>
      </w:r>
      <w:r>
        <w:t xml:space="preserve">8</w:t>
      </w:r>
    </w:p>
    <w:p>
      <w:pPr>
        <w:keepLines/>
        <w:tabs>
          <w:tab w:val="right" w:leader="dot" w:pos="9360"/>
        </w:tabs>
        <w:spacing w:before="80" w:after="0" w:line="322" w:lineRule="exact"/>
        <w:ind w:left="576" w:right="1120" w:hanging="576"/>
      </w:pPr>
      <w:r>
        <w:rPr>
          <w:i/>
          <w:iCs/>
        </w:rPr>
        <w:t xml:space="preserve">Pizzarello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408</w:t>
      </w:r>
      <w:r>
        <w:t xml:space="preserve"> </w:t>
      </w:r>
      <w:r>
        <w:t xml:space="preserve">F.2d</w:t>
      </w:r>
      <w:r>
        <w:t xml:space="preserve"> </w:t>
      </w:r>
      <w:r>
        <w:t xml:space="preserve">579</w:t>
      </w:r>
      <w:r>
        <w:t xml:space="preserve"> </w:t>
      </w:r>
      <w:r>
        <w:t xml:space="preserve">(2d</w:t>
      </w:r>
      <w:r>
        <w:t xml:space="preserve"> </w:t>
      </w:r>
      <w:r>
        <w:t xml:space="preserve">Cir.</w:t>
      </w:r>
      <w:r>
        <w:t xml:space="preserve"> </w:t>
      </w:r>
      <w:r>
        <w:t xml:space="preserve">1969)</w:t>
      </w:r>
      <w:r>
        <w:t xml:space="preserve">   </w:t>
      </w:r>
      <w:r>
        <w:tab/>
      </w:r>
      <w:r>
        <w:t xml:space="preserve">8</w:t>
      </w:r>
    </w:p>
    <w:p>
      <w:pPr>
        <w:keepLines/>
        <w:tabs>
          <w:tab w:val="right" w:leader="dot" w:pos="9360"/>
        </w:tabs>
        <w:spacing w:before="80" w:after="0" w:line="322" w:lineRule="exact"/>
        <w:ind w:left="576" w:right="1120" w:hanging="576"/>
      </w:pPr>
      <w:r>
        <w:rPr>
          <w:i/>
          <w:iCs/>
        </w:rPr>
        <w:t xml:space="preserve">Rickards</w:t>
      </w:r>
      <w:r>
        <w:rPr>
          <w:i/>
          <w:iCs/>
        </w:rPr>
        <w:t xml:space="preserve"> </w:t>
      </w:r>
      <w:r>
        <w:rPr>
          <w:i/>
          <w:iCs/>
        </w:rPr>
        <w:t xml:space="preserve">v.</w:t>
      </w:r>
      <w:r>
        <w:rPr>
          <w:i/>
          <w:iCs/>
        </w:rPr>
        <w:t xml:space="preserve"> </w:t>
      </w:r>
      <w:r>
        <w:rPr>
          <w:i/>
          <w:iCs/>
        </w:rPr>
        <w:t xml:space="preserve">State</w:t>
      </w:r>
      <w:r>
        <w:t xml:space="preserve"> </w:t>
      </w:r>
      <w:r>
        <w:t xml:space="preserve">77</w:t>
      </w:r>
      <w:r>
        <w:t xml:space="preserve"> </w:t>
      </w:r>
      <w:r>
        <w:t xml:space="preserve">A.2d</w:t>
      </w:r>
      <w:r>
        <w:t xml:space="preserve"> </w:t>
      </w:r>
      <w:r>
        <w:t xml:space="preserve">199</w:t>
      </w:r>
      <w:r>
        <w:t xml:space="preserve"> </w:t>
      </w:r>
      <w:r>
        <w:t xml:space="preserve">(Del.</w:t>
      </w:r>
      <w:r>
        <w:t xml:space="preserve"> </w:t>
      </w:r>
      <w:r>
        <w:t xml:space="preserve">1950)</w:t>
      </w:r>
      <w:r>
        <w:t xml:space="preserve">   </w:t>
      </w:r>
      <w:r>
        <w:tab/>
      </w:r>
      <w:r>
        <w:t xml:space="preserve">28</w:t>
      </w:r>
    </w:p>
    <w:p>
      <w:pPr>
        <w:keepLines/>
        <w:tabs>
          <w:tab w:val="right" w:leader="dot" w:pos="9360"/>
        </w:tabs>
        <w:spacing w:before="80" w:after="0" w:line="322" w:lineRule="exact"/>
        <w:ind w:left="576" w:right="1120" w:hanging="576"/>
      </w:pPr>
      <w:r>
        <w:rPr>
          <w:i/>
          <w:iCs/>
        </w:rPr>
        <w:t xml:space="preserve">Safford</w:t>
      </w:r>
      <w:r>
        <w:rPr>
          <w:i/>
          <w:iCs/>
        </w:rPr>
        <w:t xml:space="preserve"> </w:t>
      </w:r>
      <w:r>
        <w:rPr>
          <w:i/>
          <w:iCs/>
        </w:rPr>
        <w:t xml:space="preserve">Unified</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w:t>
      </w:r>
      <w:r>
        <w:rPr>
          <w:i/>
          <w:iCs/>
        </w:rPr>
        <w:t xml:space="preserve"> </w:t>
      </w:r>
      <w:r>
        <w:rPr>
          <w:i/>
          <w:iCs/>
        </w:rPr>
        <w:t xml:space="preserve">v.</w:t>
      </w:r>
      <w:r>
        <w:rPr>
          <w:i/>
          <w:iCs/>
        </w:rPr>
        <w:t xml:space="preserve"> </w:t>
      </w:r>
      <w:r>
        <w:rPr>
          <w:i/>
          <w:iCs/>
        </w:rPr>
        <w:t xml:space="preserve">Redding</w:t>
      </w:r>
      <w:r>
        <w:t xml:space="preserve"> </w:t>
      </w:r>
      <w:r>
        <w:t xml:space="preserve">557</w:t>
      </w:r>
      <w:r>
        <w:t xml:space="preserve"> </w:t>
      </w:r>
      <w:r>
        <w:t xml:space="preserve">U.S.</w:t>
      </w:r>
      <w:r>
        <w:t xml:space="preserve"> </w:t>
      </w:r>
      <w:r>
        <w:t xml:space="preserve">364</w:t>
      </w:r>
      <w:r>
        <w:t xml:space="preserve"> </w:t>
      </w:r>
      <w:r>
        <w:t xml:space="preserve">(2009)</w:t>
      </w:r>
      <w:r>
        <w:t xml:space="preserve">   </w:t>
      </w:r>
      <w:r>
        <w:tab/>
      </w:r>
      <w:r>
        <w:t xml:space="preserve">5</w:t>
      </w:r>
    </w:p>
    <w:p>
      <w:pPr>
        <w:keepLines/>
        <w:tabs>
          <w:tab w:val="right" w:leader="dot" w:pos="9360"/>
        </w:tabs>
        <w:spacing w:before="80" w:after="0" w:line="322" w:lineRule="exact"/>
        <w:ind w:left="576" w:right="1120" w:hanging="576"/>
      </w:pPr>
      <w:r>
        <w:rPr>
          <w:i/>
          <w:iCs/>
        </w:rPr>
        <w:t xml:space="preserve">Samson</w:t>
      </w:r>
      <w:r>
        <w:rPr>
          <w:i/>
          <w:iCs/>
        </w:rPr>
        <w:t xml:space="preserve"> </w:t>
      </w:r>
      <w:r>
        <w:rPr>
          <w:i/>
          <w:iCs/>
        </w:rPr>
        <w:t xml:space="preserve">v.</w:t>
      </w:r>
      <w:r>
        <w:rPr>
          <w:i/>
          <w:iCs/>
        </w:rPr>
        <w:t xml:space="preserve"> </w:t>
      </w:r>
      <w:r>
        <w:rPr>
          <w:i/>
          <w:iCs/>
        </w:rPr>
        <w:t xml:space="preserve">California</w:t>
      </w:r>
      <w:r>
        <w:t xml:space="preserve"> </w:t>
      </w:r>
      <w:r>
        <w:t xml:space="preserve">547</w:t>
      </w:r>
      <w:r>
        <w:t xml:space="preserve"> </w:t>
      </w:r>
      <w:r>
        <w:t xml:space="preserve">U.S.</w:t>
      </w:r>
      <w:r>
        <w:t xml:space="preserve"> </w:t>
      </w:r>
      <w:r>
        <w:t xml:space="preserve">843</w:t>
      </w:r>
      <w:r>
        <w:t xml:space="preserve"> </w:t>
      </w:r>
      <w:r>
        <w:t xml:space="preserve">(2006)</w:t>
      </w:r>
      <w:r>
        <w:t xml:space="preserve">   </w:t>
      </w:r>
      <w:r>
        <w:tab/>
      </w:r>
      <w:r>
        <w:t xml:space="preserve">18</w:t>
      </w:r>
    </w:p>
    <w:p>
      <w:pPr>
        <w:keepLines/>
        <w:tabs>
          <w:tab w:val="right" w:leader="dot" w:pos="9360"/>
        </w:tabs>
        <w:spacing w:before="80" w:after="0" w:line="322" w:lineRule="exact"/>
        <w:ind w:left="576" w:right="1120" w:hanging="576"/>
      </w:pPr>
      <w:r>
        <w:rPr>
          <w:i/>
          <w:iCs/>
        </w:rPr>
        <w:t xml:space="preserve">Sarafin</w:t>
      </w:r>
      <w:r>
        <w:rPr>
          <w:i/>
          <w:iCs/>
        </w:rPr>
        <w:t xml:space="preserve"> </w:t>
      </w:r>
      <w:r>
        <w:rPr>
          <w:i/>
          <w:iCs/>
        </w:rPr>
        <w:t xml:space="preserve">v.</w:t>
      </w:r>
      <w:r>
        <w:rPr>
          <w:i/>
          <w:iCs/>
        </w:rPr>
        <w:t xml:space="preserve"> </w:t>
      </w:r>
      <w:r>
        <w:rPr>
          <w:i/>
          <w:iCs/>
        </w:rPr>
        <w:t xml:space="preserve">Commonwealth</w:t>
      </w:r>
      <w:r>
        <w:t xml:space="preserve"> </w:t>
      </w:r>
      <w:r>
        <w:t xml:space="preserve">764</w:t>
      </w:r>
      <w:r>
        <w:t xml:space="preserve"> </w:t>
      </w:r>
      <w:r>
        <w:t xml:space="preserve">S.E.2d</w:t>
      </w:r>
      <w:r>
        <w:t xml:space="preserve"> </w:t>
      </w:r>
      <w:r>
        <w:t xml:space="preserve">71</w:t>
      </w:r>
      <w:r>
        <w:t xml:space="preserve"> </w:t>
      </w:r>
      <w:r>
        <w:t xml:space="preserve">(Va.</w:t>
      </w:r>
      <w:r>
        <w:t xml:space="preserve"> </w:t>
      </w:r>
      <w:r>
        <w:t xml:space="preserve">2014)</w:t>
      </w:r>
      <w:r>
        <w:t xml:space="preserve">   </w:t>
      </w:r>
      <w:r>
        <w:tab/>
      </w:r>
      <w:r>
        <w:t xml:space="preserve">9</w:t>
      </w:r>
    </w:p>
    <w:p>
      <w:pPr>
        <w:keepLines/>
        <w:tabs>
          <w:tab w:val="right" w:leader="dot" w:pos="9360"/>
        </w:tabs>
        <w:spacing w:before="80" w:after="0" w:line="322" w:lineRule="exact"/>
        <w:ind w:left="576" w:right="1120" w:hanging="576"/>
      </w:pPr>
      <w:r>
        <w:rPr>
          <w:i/>
          <w:iCs/>
        </w:rPr>
        <w:t xml:space="preserve">Savina</w:t>
      </w:r>
      <w:r>
        <w:rPr>
          <w:i/>
          <w:iCs/>
        </w:rPr>
        <w:t xml:space="preserve"> </w:t>
      </w:r>
      <w:r>
        <w:rPr>
          <w:i/>
          <w:iCs/>
        </w:rPr>
        <w:t xml:space="preserve">Home</w:t>
      </w:r>
      <w:r>
        <w:rPr>
          <w:i/>
          <w:iCs/>
        </w:rPr>
        <w:t xml:space="preserve"> </w:t>
      </w:r>
      <w:r>
        <w:rPr>
          <w:i/>
          <w:iCs/>
        </w:rPr>
        <w:t xml:space="preserve">Indus.</w:t>
      </w:r>
      <w:r>
        <w:rPr>
          <w:i/>
          <w:iCs/>
        </w:rPr>
        <w:t xml:space="preserve"> </w:t>
      </w:r>
      <w:r>
        <w:rPr>
          <w:i/>
          <w:iCs/>
        </w:rPr>
        <w:t xml:space="preserve">v.</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Lab.</w:t>
      </w:r>
      <w:r>
        <w:t xml:space="preserve"> </w:t>
      </w:r>
      <w:r>
        <w:t xml:space="preserve">594</w:t>
      </w:r>
      <w:r>
        <w:t xml:space="preserve"> </w:t>
      </w:r>
      <w:r>
        <w:t xml:space="preserve">F.2d</w:t>
      </w:r>
      <w:r>
        <w:t xml:space="preserve"> </w:t>
      </w:r>
      <w:r>
        <w:t xml:space="preserve">1358</w:t>
      </w:r>
      <w:r>
        <w:t xml:space="preserve"> </w:t>
      </w:r>
      <w:r>
        <w:t xml:space="preserve">(10th</w:t>
      </w:r>
      <w:r>
        <w:t xml:space="preserve"> </w:t>
      </w:r>
      <w:r>
        <w:t xml:space="preserve">Cir.</w:t>
      </w:r>
      <w:r>
        <w:t xml:space="preserve"> </w:t>
      </w:r>
      <w:r>
        <w:t xml:space="preserve">1979)</w:t>
      </w:r>
      <w:r>
        <w:t xml:space="preserve">   </w:t>
      </w:r>
      <w:r>
        <w:tab/>
      </w:r>
      <w:r>
        <w:t xml:space="preserve">8</w:t>
      </w:r>
    </w:p>
    <w:p>
      <w:pPr>
        <w:keepLines/>
        <w:tabs>
          <w:tab w:val="right" w:leader="dot" w:pos="9360"/>
        </w:tabs>
        <w:spacing w:before="80" w:after="0" w:line="322" w:lineRule="exact"/>
        <w:ind w:left="576" w:right="1120" w:hanging="576"/>
      </w:pPr>
      <w:r>
        <w:rPr>
          <w:i/>
          <w:iCs/>
        </w:rPr>
        <w:t xml:space="preserve">Sims</w:t>
      </w:r>
      <w:r>
        <w:rPr>
          <w:i/>
          <w:iCs/>
        </w:rPr>
        <w:t xml:space="preserve"> </w:t>
      </w:r>
      <w:r>
        <w:rPr>
          <w:i/>
          <w:iCs/>
        </w:rPr>
        <w:t xml:space="preserve">v.</w:t>
      </w:r>
      <w:r>
        <w:rPr>
          <w:i/>
          <w:iCs/>
        </w:rPr>
        <w:t xml:space="preserve"> </w:t>
      </w:r>
      <w:r>
        <w:rPr>
          <w:i/>
          <w:iCs/>
        </w:rPr>
        <w:t xml:space="preserve">Collection</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Utah</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 </w:t>
      </w:r>
      <w:r>
        <w:t xml:space="preserve">841</w:t>
      </w:r>
      <w:r>
        <w:t xml:space="preserve"> </w:t>
      </w:r>
      <w:r>
        <w:t xml:space="preserve">P.2d</w:t>
      </w:r>
      <w:r>
        <w:t xml:space="preserve"> </w:t>
      </w:r>
      <w:r>
        <w:t xml:space="preserve">6</w:t>
      </w:r>
      <w:r>
        <w:t xml:space="preserve"> </w:t>
      </w:r>
      <w:r>
        <w:t xml:space="preserve">(Utah</w:t>
      </w:r>
      <w:r>
        <w:t xml:space="preserve"> </w:t>
      </w:r>
      <w:r>
        <w:t xml:space="preserve">1992)</w:t>
      </w:r>
      <w:r>
        <w:t xml:space="preserve">   </w:t>
      </w:r>
      <w:r>
        <w:tab/>
      </w:r>
      <w:r>
        <w:t xml:space="preserve">29</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Brown</w:t>
      </w:r>
      <w:r>
        <w:t xml:space="preserve"> </w:t>
      </w:r>
      <w:r>
        <w:t xml:space="preserve">792</w:t>
      </w:r>
      <w:r>
        <w:t xml:space="preserve"> </w:t>
      </w:r>
      <w:r>
        <w:t xml:space="preserve">N.E.2d</w:t>
      </w:r>
      <w:r>
        <w:t xml:space="preserve"> </w:t>
      </w:r>
      <w:r>
        <w:t xml:space="preserve">175</w:t>
      </w:r>
      <w:r>
        <w:t xml:space="preserve"> </w:t>
      </w:r>
      <w:r>
        <w:t xml:space="preserve">(Ohio</w:t>
      </w:r>
      <w:r>
        <w:t xml:space="preserve"> </w:t>
      </w:r>
      <w:r>
        <w:t xml:space="preserve">2003)</w:t>
      </w:r>
      <w:r>
        <w:t xml:space="preserve">   </w:t>
      </w:r>
      <w:r>
        <w:tab/>
      </w:r>
      <w:r>
        <w:t xml:space="preserve">28</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Cline</w:t>
      </w:r>
      <w:r>
        <w:t xml:space="preserve"> </w:t>
      </w:r>
      <w:r>
        <w:t xml:space="preserve">617</w:t>
      </w:r>
      <w:r>
        <w:t xml:space="preserve"> </w:t>
      </w:r>
      <w:r>
        <w:t xml:space="preserve">N.W.2d</w:t>
      </w:r>
      <w:r>
        <w:t xml:space="preserve"> </w:t>
      </w:r>
      <w:r>
        <w:t xml:space="preserve">277</w:t>
      </w:r>
      <w:r>
        <w:t xml:space="preserve"> </w:t>
      </w:r>
      <w:r>
        <w:t xml:space="preserve">(Iowa</w:t>
      </w:r>
      <w:r>
        <w:t xml:space="preserve"> </w:t>
      </w:r>
      <w:r>
        <w:t xml:space="preserve">2000)</w:t>
      </w:r>
      <w:r>
        <w:t xml:space="preserve">   </w:t>
      </w:r>
      <w:r>
        <w:tab/>
      </w:r>
      <w:r>
        <w:t xml:space="preserve">30</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Leonard</w:t>
      </w:r>
      <w:r>
        <w:t xml:space="preserve"> </w:t>
      </w:r>
      <w:r>
        <w:t xml:space="preserve">943</w:t>
      </w:r>
      <w:r>
        <w:t xml:space="preserve"> </w:t>
      </w:r>
      <w:r>
        <w:t xml:space="preserve">N.W.2d</w:t>
      </w:r>
      <w:r>
        <w:t xml:space="preserve"> </w:t>
      </w:r>
      <w:r>
        <w:t xml:space="preserve">149</w:t>
      </w:r>
      <w:r>
        <w:t xml:space="preserve"> </w:t>
      </w:r>
      <w:r>
        <w:t xml:space="preserve">(Minn.</w:t>
      </w:r>
      <w:r>
        <w:t xml:space="preserve"> </w:t>
      </w:r>
      <w:r>
        <w:t xml:space="preserve">2020)</w:t>
      </w:r>
      <w:r>
        <w:t xml:space="preserve">   </w:t>
      </w:r>
      <w:r>
        <w:tab/>
      </w:r>
      <w:r>
        <w:t xml:space="preserve">23</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Lussier</w:t>
      </w:r>
      <w:r>
        <w:t xml:space="preserve"> </w:t>
      </w:r>
      <w:r>
        <w:t xml:space="preserve">757</w:t>
      </w:r>
      <w:r>
        <w:t xml:space="preserve"> </w:t>
      </w:r>
      <w:r>
        <w:t xml:space="preserve">A.2d</w:t>
      </w:r>
      <w:r>
        <w:t xml:space="preserve"> </w:t>
      </w:r>
      <w:r>
        <w:t xml:space="preserve">1017</w:t>
      </w:r>
      <w:r>
        <w:t xml:space="preserve"> </w:t>
      </w:r>
      <w:r>
        <w:t xml:space="preserve">(Vt.</w:t>
      </w:r>
      <w:r>
        <w:t xml:space="preserve"> </w:t>
      </w:r>
      <w:r>
        <w:t xml:space="preserve">2000)</w:t>
      </w:r>
      <w:r>
        <w:t xml:space="preserve">   </w:t>
      </w:r>
      <w:r>
        <w:tab/>
      </w:r>
      <w:r>
        <w:t xml:space="preserve">29, 30</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Reynolds</w:t>
      </w:r>
      <w:r>
        <w:t xml:space="preserve"> </w:t>
      </w:r>
      <w:r>
        <w:t xml:space="preserve">504</w:t>
      </w:r>
      <w:r>
        <w:t xml:space="preserve"> </w:t>
      </w:r>
      <w:r>
        <w:t xml:space="preserve">S.W.3d</w:t>
      </w:r>
      <w:r>
        <w:t xml:space="preserve"> </w:t>
      </w:r>
      <w:r>
        <w:t xml:space="preserve">283</w:t>
      </w:r>
      <w:r>
        <w:t xml:space="preserve"> </w:t>
      </w:r>
      <w:r>
        <w:t xml:space="preserve">(Tenn.</w:t>
      </w:r>
      <w:r>
        <w:t xml:space="preserve"> </w:t>
      </w:r>
      <w:r>
        <w:t xml:space="preserve">2016)</w:t>
      </w:r>
      <w:r>
        <w:t xml:space="preserve">   </w:t>
      </w:r>
      <w:r>
        <w:tab/>
      </w:r>
      <w:r>
        <w:t xml:space="preserve">28</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Wright</w:t>
      </w:r>
      <w:r>
        <w:t xml:space="preserve"> </w:t>
      </w:r>
      <w:r>
        <w:t xml:space="preserve">961</w:t>
      </w:r>
      <w:r>
        <w:t xml:space="preserve"> </w:t>
      </w:r>
      <w:r>
        <w:t xml:space="preserve">N.W.2d</w:t>
      </w:r>
      <w:r>
        <w:t xml:space="preserve"> </w:t>
      </w:r>
      <w:r>
        <w:t xml:space="preserve">396</w:t>
      </w:r>
      <w:r>
        <w:t xml:space="preserve"> </w:t>
      </w:r>
      <w:r>
        <w:t xml:space="preserve">(Iowa</w:t>
      </w:r>
      <w:r>
        <w:t xml:space="preserve"> </w:t>
      </w:r>
      <w:r>
        <w:t xml:space="preserve">2021)</w:t>
      </w:r>
      <w:r>
        <w:t xml:space="preserve">   </w:t>
      </w:r>
      <w:r>
        <w:tab/>
      </w:r>
      <w:r>
        <w:t xml:space="preserve">23</w:t>
      </w:r>
    </w:p>
    <w:p>
      <w:pPr>
        <w:keepLines/>
        <w:tabs>
          <w:tab w:val="right" w:leader="dot" w:pos="9360"/>
        </w:tabs>
        <w:spacing w:before="80" w:after="0" w:line="322" w:lineRule="exact"/>
        <w:ind w:left="576" w:right="1120" w:hanging="576"/>
      </w:pPr>
      <w:r>
        <w:rPr>
          <w:i/>
          <w:iCs/>
        </w:rPr>
        <w:t xml:space="preserve">Tanzin</w:t>
      </w:r>
      <w:r>
        <w:rPr>
          <w:i/>
          <w:iCs/>
        </w:rPr>
        <w:t xml:space="preserve"> </w:t>
      </w:r>
      <w:r>
        <w:rPr>
          <w:i/>
          <w:iCs/>
        </w:rPr>
        <w:t xml:space="preserve">v.</w:t>
      </w:r>
      <w:r>
        <w:rPr>
          <w:i/>
          <w:iCs/>
        </w:rPr>
        <w:t xml:space="preserve"> </w:t>
      </w:r>
      <w:r>
        <w:rPr>
          <w:i/>
          <w:iCs/>
        </w:rPr>
        <w:t xml:space="preserve">Tanvir</w:t>
      </w:r>
      <w:r>
        <w:t xml:space="preserve"> </w:t>
      </w:r>
      <w:r>
        <w:t xml:space="preserve">592</w:t>
      </w:r>
      <w:r>
        <w:t xml:space="preserve"> </w:t>
      </w:r>
      <w:r>
        <w:t xml:space="preserve">U.S.</w:t>
      </w:r>
      <w:r>
        <w:t xml:space="preserve"> </w:t>
      </w:r>
      <w:r>
        <w:t xml:space="preserve">43</w:t>
      </w:r>
      <w:r>
        <w:t xml:space="preserve"> </w:t>
      </w:r>
      <w:r>
        <w:t xml:space="preserve">(2020)</w:t>
      </w:r>
      <w:r>
        <w:t xml:space="preserve">   </w:t>
      </w:r>
      <w:r>
        <w:tab/>
      </w:r>
      <w:r>
        <w:t xml:space="preserve">20</w:t>
      </w:r>
    </w:p>
    <w:p>
      <w:pPr>
        <w:keepLines/>
        <w:tabs>
          <w:tab w:val="right" w:leader="dot" w:pos="9360"/>
        </w:tabs>
        <w:spacing w:before="80" w:after="0" w:line="322" w:lineRule="exact"/>
        <w:ind w:left="576" w:right="1120" w:hanging="576"/>
      </w:pPr>
      <w:r>
        <w:rPr>
          <w:i/>
          <w:iCs/>
        </w:rPr>
        <w:t xml:space="preserve">Tirado</w:t>
      </w:r>
      <w:r>
        <w:rPr>
          <w:i/>
          <w:iCs/>
        </w:rPr>
        <w:t xml:space="preserve"> </w:t>
      </w:r>
      <w:r>
        <w:rPr>
          <w:i/>
          <w:iCs/>
        </w:rPr>
        <w:t xml:space="preserve">v.</w:t>
      </w:r>
      <w:r>
        <w:rPr>
          <w:i/>
          <w:iCs/>
        </w:rPr>
        <w:t xml:space="preserve"> </w:t>
      </w:r>
      <w:r>
        <w:rPr>
          <w:i/>
          <w:iCs/>
        </w:rPr>
        <w:t xml:space="preserve">Comm’r</w:t>
      </w:r>
      <w:r>
        <w:t xml:space="preserve"> </w:t>
      </w:r>
      <w:r>
        <w:t xml:space="preserve">689</w:t>
      </w:r>
      <w:r>
        <w:t xml:space="preserve"> </w:t>
      </w:r>
      <w:r>
        <w:t xml:space="preserve">F.2d</w:t>
      </w:r>
      <w:r>
        <w:t xml:space="preserve"> </w:t>
      </w:r>
      <w:r>
        <w:t xml:space="preserve">307</w:t>
      </w:r>
      <w:r>
        <w:t xml:space="preserve"> </w:t>
      </w:r>
      <w:r>
        <w:t xml:space="preserve">(2d</w:t>
      </w:r>
      <w:r>
        <w:t xml:space="preserve"> </w:t>
      </w:r>
      <w:r>
        <w:t xml:space="preserve">Cir.</w:t>
      </w:r>
      <w:r>
        <w:t xml:space="preserve"> </w:t>
      </w:r>
      <w:r>
        <w:t xml:space="preserve">1982)</w:t>
      </w:r>
      <w:r>
        <w:t xml:space="preserve">   </w:t>
      </w:r>
      <w:r>
        <w:tab/>
      </w:r>
      <w:r>
        <w:t xml:space="preserve">6</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Lawton</w:t>
      </w:r>
      <w:r>
        <w:t xml:space="preserve"> </w:t>
      </w:r>
      <w:r>
        <w:t xml:space="preserve">733</w:t>
      </w:r>
      <w:r>
        <w:t xml:space="preserve"> </w:t>
      </w:r>
      <w:r>
        <w:t xml:space="preserve">P.2d</w:t>
      </w:r>
      <w:r>
        <w:t xml:space="preserve"> </w:t>
      </w:r>
      <w:r>
        <w:t xml:space="preserve">375</w:t>
      </w:r>
      <w:r>
        <w:t xml:space="preserve"> </w:t>
      </w:r>
      <w:r>
        <w:t xml:space="preserve">(Okla.</w:t>
      </w:r>
      <w:r>
        <w:t xml:space="preserve"> </w:t>
      </w:r>
      <w:r>
        <w:t xml:space="preserve">1986)</w:t>
      </w:r>
      <w:r>
        <w:t xml:space="preserve">   </w:t>
      </w:r>
      <w:r>
        <w:tab/>
      </w:r>
      <w:r>
        <w:t xml:space="preserve">29</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Calandra</w:t>
      </w:r>
      <w:r>
        <w:t xml:space="preserve"> </w:t>
      </w:r>
      <w:r>
        <w:t xml:space="preserve">414</w:t>
      </w:r>
      <w:r>
        <w:t xml:space="preserve"> </w:t>
      </w:r>
      <w:r>
        <w:t xml:space="preserve">U.S.</w:t>
      </w:r>
      <w:r>
        <w:t xml:space="preserve"> </w:t>
      </w:r>
      <w:r>
        <w:t xml:space="preserve">338</w:t>
      </w:r>
      <w:r>
        <w:t xml:space="preserve"> </w:t>
      </w:r>
      <w:r>
        <w:t xml:space="preserve">(1974)</w:t>
      </w:r>
      <w:r>
        <w:t xml:space="preserve">   </w:t>
      </w:r>
      <w:r>
        <w:tab/>
      </w:r>
      <w:r>
        <w:t xml:space="preserve">11, 17</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James</w:t>
      </w:r>
      <w:r>
        <w:rPr>
          <w:i/>
          <w:iCs/>
        </w:rPr>
        <w:t xml:space="preserve"> </w:t>
      </w:r>
      <w:r>
        <w:rPr>
          <w:i/>
          <w:iCs/>
        </w:rPr>
        <w:t xml:space="preserve">Daniel</w:t>
      </w:r>
      <w:r>
        <w:rPr>
          <w:i/>
          <w:iCs/>
        </w:rPr>
        <w:t xml:space="preserve"> </w:t>
      </w:r>
      <w:r>
        <w:rPr>
          <w:i/>
          <w:iCs/>
        </w:rPr>
        <w:t xml:space="preserve">Good</w:t>
      </w:r>
      <w:r>
        <w:rPr>
          <w:i/>
          <w:iCs/>
        </w:rPr>
        <w:t xml:space="preserve"> </w:t>
      </w:r>
      <w:r>
        <w:rPr>
          <w:i/>
          <w:iCs/>
        </w:rPr>
        <w:t xml:space="preserve">Real</w:t>
      </w:r>
      <w:r>
        <w:rPr>
          <w:i/>
          <w:iCs/>
        </w:rPr>
        <w:t xml:space="preserve"> </w:t>
      </w:r>
      <w:r>
        <w:rPr>
          <w:i/>
          <w:iCs/>
        </w:rPr>
        <w:t xml:space="preserve">Prop.</w:t>
      </w:r>
      <w:r>
        <w:t xml:space="preserve"> </w:t>
      </w:r>
      <w:r>
        <w:t xml:space="preserve">510</w:t>
      </w:r>
      <w:r>
        <w:t xml:space="preserve"> </w:t>
      </w:r>
      <w:r>
        <w:t xml:space="preserve">U.S.</w:t>
      </w:r>
      <w:r>
        <w:t xml:space="preserve"> </w:t>
      </w:r>
      <w:r>
        <w:t xml:space="preserve">43</w:t>
      </w:r>
      <w:r>
        <w:t xml:space="preserve"> </w:t>
      </w:r>
      <w:r>
        <w:t xml:space="preserve">(1993)</w:t>
      </w:r>
      <w:r>
        <w:t xml:space="preserve">   </w:t>
      </w:r>
      <w:r>
        <w:tab/>
      </w:r>
      <w:r>
        <w:t xml:space="preserve">7</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Janis</w:t>
      </w:r>
      <w:r>
        <w:t xml:space="preserve"> </w:t>
      </w:r>
      <w:r>
        <w:t xml:space="preserve">428</w:t>
      </w:r>
      <w:r>
        <w:t xml:space="preserve"> </w:t>
      </w:r>
      <w:r>
        <w:t xml:space="preserve">U.S.</w:t>
      </w:r>
      <w:r>
        <w:t xml:space="preserve"> </w:t>
      </w:r>
      <w:r>
        <w:t xml:space="preserve">433</w:t>
      </w:r>
      <w:r>
        <w:t xml:space="preserve"> </w:t>
      </w:r>
      <w:r>
        <w:t xml:space="preserve">(1976)</w:t>
      </w:r>
      <w:r>
        <w:t xml:space="preserve">   </w:t>
      </w:r>
      <w:r>
        <w:tab/>
      </w:r>
      <w:r>
        <w:t xml:space="preserve">4, 11</w:t>
      </w:r>
    </w:p>
    <w:p>
      <w:pPr>
        <w:keepLines/>
        <w:tabs>
          <w:tab w:val="right" w:leader="dot" w:pos="9360"/>
        </w:tabs>
        <w:spacing w:before="80" w:after="0" w:line="322" w:lineRule="exact"/>
        <w:ind w:left="576" w:right="140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Leon</w:t>
      </w:r>
      <w:r>
        <w:t xml:space="preserve"> </w:t>
      </w:r>
      <w:r>
        <w:t xml:space="preserve">468</w:t>
      </w:r>
      <w:r>
        <w:t xml:space="preserve"> </w:t>
      </w:r>
      <w:r>
        <w:t xml:space="preserve">U.S.</w:t>
      </w:r>
      <w:r>
        <w:t xml:space="preserve"> </w:t>
      </w:r>
      <w:r>
        <w:t xml:space="preserve">897</w:t>
      </w:r>
      <w:r>
        <w:t xml:space="preserve"> </w:t>
      </w:r>
      <w:r>
        <w:t xml:space="preserve">(1984)</w:t>
      </w:r>
      <w:r>
        <w:t xml:space="preserve">   </w:t>
      </w:r>
      <w:r>
        <w:tab/>
      </w:r>
      <w:r>
        <w:t xml:space="preserve">4, 12, 14, 30</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Lindsey</w:t>
      </w:r>
      <w:r>
        <w:t xml:space="preserve"> </w:t>
      </w:r>
      <w:r>
        <w:t xml:space="preserve">877</w:t>
      </w:r>
      <w:r>
        <w:t xml:space="preserve"> </w:t>
      </w:r>
      <w:r>
        <w:t xml:space="preserve">F.2d</w:t>
      </w:r>
      <w:r>
        <w:t xml:space="preserve"> </w:t>
      </w:r>
      <w:r>
        <w:t xml:space="preserve">777</w:t>
      </w:r>
      <w:r>
        <w:t xml:space="preserve"> </w:t>
      </w:r>
      <w:r>
        <w:t xml:space="preserve">(9th</w:t>
      </w:r>
      <w:r>
        <w:t xml:space="preserve"> </w:t>
      </w:r>
      <w:r>
        <w:t xml:space="preserve">Cir.</w:t>
      </w:r>
      <w:r>
        <w:t xml:space="preserve"> </w:t>
      </w:r>
      <w:r>
        <w:t xml:space="preserve">1989)</w:t>
      </w:r>
      <w:r>
        <w:t xml:space="preserve">   </w:t>
      </w:r>
      <w:r>
        <w:tab/>
      </w:r>
      <w:r>
        <w:t xml:space="preserve">15</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Ramsey</w:t>
      </w:r>
      <w:r>
        <w:t xml:space="preserve"> </w:t>
      </w:r>
      <w:r>
        <w:t xml:space="preserve">431</w:t>
      </w:r>
      <w:r>
        <w:t xml:space="preserve"> </w:t>
      </w:r>
      <w:r>
        <w:t xml:space="preserve">U.S.</w:t>
      </w:r>
      <w:r>
        <w:t xml:space="preserve"> </w:t>
      </w:r>
      <w:r>
        <w:t xml:space="preserve">606</w:t>
      </w:r>
      <w:r>
        <w:t xml:space="preserve"> </w:t>
      </w:r>
      <w:r>
        <w:t xml:space="preserve">(1977)</w:t>
      </w:r>
      <w:r>
        <w:t xml:space="preserve">   </w:t>
      </w:r>
      <w:r>
        <w:tab/>
      </w:r>
      <w:r>
        <w:t xml:space="preserve">18</w:t>
      </w:r>
    </w:p>
    <w:p>
      <w:pPr>
        <w:keepLines/>
        <w:tabs>
          <w:tab w:val="right" w:leader="dot" w:pos="9360"/>
        </w:tabs>
        <w:spacing w:before="80" w:after="0" w:line="322" w:lineRule="exact"/>
        <w:ind w:left="576" w:right="1120" w:hanging="576"/>
      </w:pPr>
      <w:r>
        <w:rPr>
          <w:i/>
          <w:iCs/>
        </w:rPr>
        <w:t xml:space="preserve">Vasquez</w:t>
      </w:r>
      <w:r>
        <w:rPr>
          <w:i/>
          <w:iCs/>
        </w:rPr>
        <w:t xml:space="preserve"> </w:t>
      </w:r>
      <w:r>
        <w:rPr>
          <w:i/>
          <w:iCs/>
        </w:rPr>
        <w:t xml:space="preserve">v.</w:t>
      </w:r>
      <w:r>
        <w:rPr>
          <w:i/>
          <w:iCs/>
        </w:rPr>
        <w:t xml:space="preserve"> </w:t>
      </w:r>
      <w:r>
        <w:rPr>
          <w:i/>
          <w:iCs/>
        </w:rPr>
        <w:t xml:space="preserve">Commonwealth</w:t>
      </w:r>
      <w:r>
        <w:t xml:space="preserve"> </w:t>
      </w:r>
      <w:r>
        <w:t xml:space="preserve">781</w:t>
      </w:r>
      <w:r>
        <w:t xml:space="preserve"> </w:t>
      </w:r>
      <w:r>
        <w:t xml:space="preserve">S.E.2d</w:t>
      </w:r>
      <w:r>
        <w:t xml:space="preserve"> </w:t>
      </w:r>
      <w:r>
        <w:t xml:space="preserve">920</w:t>
      </w:r>
      <w:r>
        <w:t xml:space="preserve"> </w:t>
      </w:r>
      <w:r>
        <w:t xml:space="preserve">(Va.</w:t>
      </w:r>
      <w:r>
        <w:t xml:space="preserve"> </w:t>
      </w:r>
      <w:r>
        <w:t xml:space="preserve">2016)</w:t>
      </w:r>
      <w:r>
        <w:t xml:space="preserve">   </w:t>
      </w:r>
      <w:r>
        <w:tab/>
      </w:r>
      <w:r>
        <w:t xml:space="preserve">9</w:t>
      </w:r>
    </w:p>
    <w:p>
      <w:pPr>
        <w:keepLines/>
        <w:tabs>
          <w:tab w:val="right" w:leader="dot" w:pos="9360"/>
        </w:tabs>
        <w:spacing w:before="80" w:after="0" w:line="322" w:lineRule="exact"/>
        <w:ind w:left="576" w:right="1120" w:hanging="576"/>
      </w:pPr>
      <w:r>
        <w:rPr>
          <w:i/>
          <w:iCs/>
        </w:rPr>
        <w:t xml:space="preserve">Vlaming</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Point</w:t>
      </w:r>
      <w:r>
        <w:rPr>
          <w:i/>
          <w:iCs/>
        </w:rPr>
        <w:t xml:space="preserve"> </w:t>
      </w:r>
      <w:r>
        <w:rPr>
          <w:i/>
          <w:iCs/>
        </w:rPr>
        <w:t xml:space="preserve">Sch.</w:t>
      </w:r>
      <w:r>
        <w:rPr>
          <w:i/>
          <w:iCs/>
        </w:rPr>
        <w:t xml:space="preserve"> </w:t>
      </w:r>
      <w:r>
        <w:rPr>
          <w:i/>
          <w:iCs/>
        </w:rPr>
        <w:t xml:space="preserve">Bd.</w:t>
      </w:r>
      <w:r>
        <w:t xml:space="preserve"> </w:t>
      </w:r>
      <w:r>
        <w:t xml:space="preserve">895</w:t>
      </w:r>
      <w:r>
        <w:t xml:space="preserve"> </w:t>
      </w:r>
      <w:r>
        <w:t xml:space="preserve">S.E.2d</w:t>
      </w:r>
      <w:r>
        <w:t xml:space="preserve"> </w:t>
      </w:r>
      <w:r>
        <w:t xml:space="preserve">705</w:t>
      </w:r>
      <w:r>
        <w:t xml:space="preserve"> </w:t>
      </w:r>
      <w:r>
        <w:t xml:space="preserve">(Va.</w:t>
      </w:r>
      <w:r>
        <w:t xml:space="preserve"> </w:t>
      </w:r>
      <w:r>
        <w:t xml:space="preserve">2023)</w:t>
      </w:r>
      <w:r>
        <w:t xml:space="preserve">   </w:t>
      </w:r>
      <w:r>
        <w:tab/>
      </w:r>
      <w:r>
        <w:t xml:space="preserve">22</w:t>
      </w:r>
    </w:p>
    <w:p>
      <w:pPr>
        <w:keepLines/>
        <w:tabs>
          <w:tab w:val="right" w:leader="dot" w:pos="9360"/>
        </w:tabs>
        <w:spacing w:before="80" w:after="0" w:line="322" w:lineRule="exact"/>
        <w:ind w:left="576" w:right="1120" w:hanging="576"/>
      </w:pPr>
      <w:r>
        <w:rPr>
          <w:i/>
          <w:iCs/>
        </w:rPr>
        <w:t xml:space="preserve">Weeks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232</w:t>
      </w:r>
      <w:r>
        <w:t xml:space="preserve"> </w:t>
      </w:r>
      <w:r>
        <w:t xml:space="preserve">U.S.</w:t>
      </w:r>
      <w:r>
        <w:t xml:space="preserve"> </w:t>
      </w:r>
      <w:r>
        <w:t xml:space="preserve">383</w:t>
      </w:r>
      <w:r>
        <w:t xml:space="preserve"> </w:t>
      </w:r>
      <w:r>
        <w:t xml:space="preserve">(1914)</w:t>
      </w:r>
      <w:r>
        <w:t xml:space="preserve">   </w:t>
      </w:r>
      <w:r>
        <w:tab/>
      </w:r>
      <w:r>
        <w:t xml:space="preserve">18</w:t>
      </w:r>
    </w:p>
    <w:p>
      <w:pPr>
        <w:keepLines/>
        <w:tabs>
          <w:tab w:val="right" w:leader="dot" w:pos="9360"/>
        </w:tabs>
        <w:spacing w:before="80" w:after="0" w:line="322" w:lineRule="exact"/>
        <w:ind w:left="576" w:right="1120" w:hanging="576"/>
      </w:pPr>
      <w:r>
        <w:rPr>
          <w:i/>
          <w:iCs/>
        </w:rPr>
        <w:t xml:space="preserve">Zadeh</w:t>
      </w:r>
      <w:r>
        <w:rPr>
          <w:i/>
          <w:iCs/>
        </w:rPr>
        <w:t xml:space="preserve"> </w:t>
      </w:r>
      <w:r>
        <w:rPr>
          <w:i/>
          <w:iCs/>
        </w:rPr>
        <w:t xml:space="preserve">v.</w:t>
      </w:r>
      <w:r>
        <w:rPr>
          <w:i/>
          <w:iCs/>
        </w:rPr>
        <w:t xml:space="preserve"> </w:t>
      </w:r>
      <w:r>
        <w:rPr>
          <w:i/>
          <w:iCs/>
        </w:rPr>
        <w:t xml:space="preserve">Robinson</w:t>
      </w:r>
      <w:r>
        <w:t xml:space="preserve"> </w:t>
      </w:r>
      <w:r>
        <w:t xml:space="preserve">928</w:t>
      </w:r>
      <w:r>
        <w:t xml:space="preserve"> </w:t>
      </w:r>
      <w:r>
        <w:t xml:space="preserve">F.3d</w:t>
      </w:r>
      <w:r>
        <w:t xml:space="preserve"> </w:t>
      </w:r>
      <w:r>
        <w:t xml:space="preserve">457</w:t>
      </w:r>
      <w:r>
        <w:t xml:space="preserve"> </w:t>
      </w:r>
      <w:r>
        <w:t xml:space="preserve">(5th</w:t>
      </w:r>
      <w:r>
        <w:t xml:space="preserve"> </w:t>
      </w:r>
      <w:r>
        <w:t xml:space="preserve">Cir.</w:t>
      </w:r>
      <w:r>
        <w:t xml:space="preserve"> </w:t>
      </w:r>
      <w:r>
        <w:t xml:space="preserve">2019)</w:t>
      </w:r>
      <w:r>
        <w:t xml:space="preserve">   </w:t>
      </w:r>
      <w:r>
        <w:tab/>
      </w:r>
      <w:r>
        <w:t xml:space="preserve">5</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42</w:t>
      </w:r>
      <w:r>
        <w:t xml:space="preserve"> </w:t>
      </w:r>
      <w:r>
        <w:t xml:space="preserve">U.S.C.</w:t>
      </w:r>
      <w:r>
        <w:t xml:space="preserve"> </w:t>
      </w:r>
      <w:r>
        <w:t xml:space="preserve">§</w:t>
      </w:r>
      <w:r>
        <w:t xml:space="preserve"> </w:t>
      </w:r>
      <w:r>
        <w:t xml:space="preserve">1983</w:t>
      </w:r>
      <w:r>
        <w:t xml:space="preserve">   </w:t>
      </w:r>
      <w:r>
        <w:tab/>
      </w:r>
      <w:r>
        <w:t xml:space="preserve">20</w:t>
      </w:r>
    </w:p>
    <w:p>
      <w:pPr>
        <w:keepLines/>
        <w:tabs>
          <w:tab w:val="right" w:leader="dot" w:pos="9360"/>
        </w:tabs>
        <w:spacing w:before="80" w:after="0" w:line="322" w:lineRule="exact"/>
        <w:ind w:left="576" w:right="1120" w:hanging="576"/>
      </w:pPr>
      <w:r>
        <w:t xml:space="preserve">Fairfax</w:t>
      </w:r>
      <w:r>
        <w:t xml:space="preserve"> </w:t>
      </w:r>
      <w:r>
        <w:t xml:space="preserve">County</w:t>
      </w:r>
      <w:r>
        <w:t xml:space="preserve"> </w:t>
      </w:r>
      <w:r>
        <w:t xml:space="preserve">Zoning</w:t>
      </w:r>
      <w:r>
        <w:t xml:space="preserve"> </w:t>
      </w:r>
      <w:r>
        <w:t xml:space="preserve">Ordinance</w:t>
      </w:r>
      <w:r>
        <w:t xml:space="preserve"> </w:t>
      </w:r>
      <w:r>
        <w:t xml:space="preserve">§</w:t>
      </w:r>
      <w:r>
        <w:t xml:space="preserve"> </w:t>
      </w:r>
      <w:r>
        <w:t xml:space="preserve">1108.1(G)⁠(3)</w:t>
      </w:r>
      <w:r>
        <w:t xml:space="preserve">   </w:t>
      </w:r>
      <w:r>
        <w:tab/>
      </w:r>
      <w:r>
        <w:t xml:space="preserve">15</w:t>
      </w:r>
    </w:p>
    <w:p>
      <w:pPr>
        <w:keepLines/>
        <w:tabs>
          <w:tab w:val="right" w:leader="dot" w:pos="9360"/>
        </w:tabs>
        <w:spacing w:before="80" w:after="0" w:line="322" w:lineRule="exact"/>
        <w:ind w:left="576" w:right="1120" w:hanging="576"/>
      </w:pPr>
      <w:r>
        <w:t xml:space="preserve">Fairfax</w:t>
      </w:r>
      <w:r>
        <w:t xml:space="preserve"> </w:t>
      </w:r>
      <w:r>
        <w:t xml:space="preserve">County</w:t>
      </w:r>
      <w:r>
        <w:t xml:space="preserve"> </w:t>
      </w:r>
      <w:r>
        <w:t xml:space="preserve">Zoning</w:t>
      </w:r>
      <w:r>
        <w:t xml:space="preserve"> </w:t>
      </w:r>
      <w:r>
        <w:t xml:space="preserve">Ordinance</w:t>
      </w:r>
      <w:r>
        <w:t xml:space="preserve"> </w:t>
      </w:r>
      <w:r>
        <w:t xml:space="preserve">§</w:t>
      </w:r>
      <w:r>
        <w:t xml:space="preserve"> </w:t>
      </w:r>
      <w:r>
        <w:t xml:space="preserve">1108.1(G)⁠(4)</w:t>
      </w:r>
      <w:r>
        <w:t xml:space="preserve">   </w:t>
      </w:r>
      <w:r>
        <w:tab/>
      </w:r>
      <w:r>
        <w:t xml:space="preserve">14, 15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10.1-⁠610(B)</w:t>
      </w:r>
      <w:r>
        <w:t xml:space="preserve">   </w:t>
      </w:r>
      <w:r>
        <w:tab/>
      </w:r>
      <w:r>
        <w:t xml:space="preserve">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15.2-⁠2286(A)⁠(16)</w:t>
      </w:r>
      <w:r>
        <w:t xml:space="preserve">   </w:t>
      </w:r>
      <w:r>
        <w:tab/>
      </w:r>
      <w:r>
        <w:t xml:space="preserve">5, 15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15.2-⁠2312</w:t>
      </w:r>
      <w:r>
        <w:t xml:space="preserve">   </w:t>
      </w:r>
      <w:r>
        <w:tab/>
      </w:r>
      <w:r>
        <w:t xml:space="preserve">16</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15.2-⁠2314</w:t>
      </w:r>
      <w:r>
        <w:t xml:space="preserve">   </w:t>
      </w:r>
      <w:r>
        <w:tab/>
      </w:r>
      <w:r>
        <w:t xml:space="preserve">16</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19.2-⁠59</w:t>
      </w:r>
      <w:r>
        <w:t xml:space="preserve">   </w:t>
      </w:r>
      <w:r>
        <w:tab/>
      </w:r>
      <w:r>
        <w:t xml:space="preserve">26</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22.1-⁠289.033</w:t>
      </w:r>
      <w:r>
        <w:t xml:space="preserve">   </w:t>
      </w:r>
      <w:r>
        <w:tab/>
      </w:r>
      <w:r>
        <w:t xml:space="preserve">5</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2</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9, 14</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A.E.</w:t>
      </w:r>
      <w:r>
        <w:t xml:space="preserve"> </w:t>
      </w:r>
      <w:r>
        <w:t xml:space="preserve">Dick</w:t>
      </w:r>
      <w:r>
        <w:t xml:space="preserve"> </w:t>
      </w:r>
      <w:r>
        <w:t xml:space="preserve">Howard,</w:t>
      </w:r>
      <w:r>
        <w:t xml:space="preserve"> </w:t>
      </w:r>
      <w:r>
        <w:t xml:space="preserve">Commentaries</w:t>
      </w:r>
      <w:r>
        <w:t xml:space="preserve"> </w:t>
      </w:r>
      <w:r>
        <w:t xml:space="preserve">on</w:t>
      </w:r>
      <w:r>
        <w:t xml:space="preserve"> </w:t>
      </w:r>
      <w:r>
        <w:t xml:space="preserve">the</w:t>
      </w:r>
      <w:r>
        <w:t xml:space="preserve"> </w:t>
      </w:r>
      <w:r>
        <w:t xml:space="preserve">Constitution</w:t>
      </w:r>
      <w:r>
        <w:t xml:space="preserve"> </w:t>
      </w:r>
      <w:r>
        <w:t xml:space="preserve">of</w:t>
      </w:r>
      <w:r>
        <w:t xml:space="preserve"> </w:t>
      </w:r>
      <w:r>
        <w:t xml:space="preserve">Virginia,</w:t>
      </w:r>
      <w:r>
        <w:t xml:space="preserve"> </w:t>
      </w:r>
      <w:r>
        <w:t xml:space="preserve">(1974)</w:t>
      </w:r>
      <w:r>
        <w:t xml:space="preserve">   </w:t>
      </w:r>
      <w:r>
        <w:tab/>
      </w:r>
      <w:r>
        <w:t xml:space="preserve">19, 24</w:t>
      </w:r>
    </w:p>
    <w:p>
      <w:pPr>
        <w:keepLines/>
        <w:tabs>
          <w:tab w:val="right" w:leader="dot" w:pos="9360"/>
        </w:tabs>
        <w:spacing w:before="80" w:after="0" w:line="322" w:lineRule="exact"/>
        <w:ind w:left="576" w:right="1120" w:hanging="576"/>
      </w:pPr>
      <w:r>
        <w:t xml:space="preserve">Joanna</w:t>
      </w:r>
      <w:r>
        <w:t xml:space="preserve"> </w:t>
      </w:r>
      <w:r>
        <w:t xml:space="preserve">C.</w:t>
      </w:r>
      <w:r>
        <w:t xml:space="preserve"> </w:t>
      </w:r>
      <w:r>
        <w:t xml:space="preserve">Schwartz,</w:t>
      </w:r>
      <w:r>
        <w:t xml:space="preserve"> </w:t>
      </w:r>
      <w:r>
        <w:t xml:space="preserve">The</w:t>
      </w:r>
      <w:r>
        <w:t xml:space="preserve"> </w:t>
      </w:r>
      <w:r>
        <w:t xml:space="preserve">Case</w:t>
      </w:r>
      <w:r>
        <w:t xml:space="preserve"> </w:t>
      </w:r>
      <w:r>
        <w:t xml:space="preserve">Against</w:t>
      </w:r>
      <w:r>
        <w:t xml:space="preserve"> </w:t>
      </w:r>
      <w:r>
        <w:t xml:space="preserve">Qualified</w:t>
      </w:r>
      <w:r>
        <w:t xml:space="preserve"> </w:t>
      </w:r>
      <w:r>
        <w:t xml:space="preserve">Immunity,</w:t>
      </w:r>
      <w:r>
        <w:t xml:space="preserve"> </w:t>
      </w:r>
      <w:r>
        <w:t xml:space="preserve">93</w:t>
      </w:r>
      <w:r>
        <w:t xml:space="preserve"> </w:t>
      </w:r>
      <w:r>
        <w:t xml:space="preserve">Notre</w:t>
      </w:r>
      <w:r>
        <w:t xml:space="preserve"> </w:t>
      </w:r>
      <w:r>
        <w:t xml:space="preserve">Dame</w:t>
      </w:r>
      <w:r>
        <w:t xml:space="preserve"> </w:t>
      </w:r>
      <w:r>
        <w:t xml:space="preserve">L.</w:t>
      </w:r>
      <w:r>
        <w:t xml:space="preserve"> </w:t>
      </w:r>
      <w:r>
        <w:t xml:space="preserve">Rev.</w:t>
      </w:r>
      <w:r>
        <w:t xml:space="preserve"> </w:t>
      </w:r>
      <w:r>
        <w:t xml:space="preserve">1797</w:t>
      </w:r>
      <w:r>
        <w:t xml:space="preserve"> </w:t>
      </w:r>
      <w:r>
        <w:t xml:space="preserve">(2018)</w:t>
      </w:r>
      <w:r>
        <w:t xml:space="preserve">   </w:t>
      </w:r>
      <w:r>
        <w:tab/>
      </w:r>
      <w:r>
        <w:t xml:space="preserve">21</w:t>
      </w:r>
    </w:p>
    <w:p>
      <w:pPr>
        <w:keepLines/>
        <w:tabs>
          <w:tab w:val="right" w:leader="dot" w:pos="9360"/>
        </w:tabs>
        <w:spacing w:before="80" w:after="0" w:line="322" w:lineRule="exact"/>
        <w:ind w:left="576" w:right="1120" w:hanging="576"/>
      </w:pPr>
      <w:r>
        <w:t xml:space="preserve">John</w:t>
      </w:r>
      <w:r>
        <w:t xml:space="preserve"> </w:t>
      </w:r>
      <w:r>
        <w:t xml:space="preserve">E.</w:t>
      </w:r>
      <w:r>
        <w:t xml:space="preserve"> </w:t>
      </w:r>
      <w:r>
        <w:t xml:space="preserve">Theuman,</w:t>
      </w:r>
      <w:r>
        <w:t xml:space="preserve"> </w:t>
      </w:r>
      <w:r>
        <w:t xml:space="preserve">Annotation,</w:t>
      </w:r>
      <w:r>
        <w:t xml:space="preserve"> </w:t>
      </w:r>
      <w:r>
        <w:t xml:space="preserve">State</w:t>
      </w:r>
      <w:r>
        <w:t xml:space="preserve"> </w:t>
      </w:r>
      <w:r>
        <w:t xml:space="preserve">Constitutional</w:t>
      </w:r>
      <w:r>
        <w:t xml:space="preserve"> </w:t>
      </w:r>
      <w:r>
        <w:t xml:space="preserve">Requirements</w:t>
      </w:r>
      <w:r>
        <w:t xml:space="preserve"> </w:t>
      </w:r>
      <w:r>
        <w:t xml:space="preserve">as</w:t>
      </w:r>
      <w:r>
        <w:t xml:space="preserve"> </w:t>
      </w:r>
      <w:r>
        <w:t xml:space="preserve">to</w:t>
      </w:r>
      <w:r>
        <w:t xml:space="preserve"> </w:t>
      </w:r>
      <w:r>
        <w:t xml:space="preserve">Exclusion</w:t>
      </w:r>
      <w:r>
        <w:t xml:space="preserve"> </w:t>
      </w:r>
      <w:r>
        <w:t xml:space="preserve">of</w:t>
      </w:r>
      <w:r>
        <w:t xml:space="preserve"> </w:t>
      </w:r>
      <w:r>
        <w:t xml:space="preserve">Evidence</w:t>
      </w:r>
      <w:r>
        <w:t xml:space="preserve"> </w:t>
      </w:r>
      <w:r>
        <w:t xml:space="preserve">Unlawfully</w:t>
      </w:r>
      <w:r>
        <w:t xml:space="preserve"> </w:t>
      </w:r>
      <w:r>
        <w:t xml:space="preserve">Seized—Post-Leon</w:t>
      </w:r>
      <w:r>
        <w:t xml:space="preserve"> </w:t>
      </w:r>
      <w:r>
        <w:t xml:space="preserve">Cases,</w:t>
      </w:r>
      <w:r>
        <w:t xml:space="preserve"> </w:t>
      </w:r>
      <w:r>
        <w:t xml:space="preserve">19</w:t>
      </w:r>
      <w:r>
        <w:t xml:space="preserve"> </w:t>
      </w:r>
      <w:r>
        <w:t xml:space="preserve">A.L.R.5th</w:t>
      </w:r>
      <w:r>
        <w:t xml:space="preserve"> </w:t>
      </w:r>
      <w:r>
        <w:t xml:space="preserve">470</w:t>
      </w:r>
      <w:r>
        <w:t xml:space="preserve"> </w:t>
      </w:r>
      <w:r>
        <w:t xml:space="preserve">(1994)</w:t>
      </w:r>
      <w:r>
        <w:t xml:space="preserve">   </w:t>
      </w:r>
      <w:r>
        <w:tab/>
      </w:r>
      <w:r>
        <w:t xml:space="preserve">27</w:t>
      </w:r>
    </w:p>
    <w:p>
      <w:pPr>
        <w:keepLines/>
        <w:tabs>
          <w:tab w:val="right" w:leader="dot" w:pos="9360"/>
        </w:tabs>
        <w:spacing w:before="80" w:after="0" w:line="322" w:lineRule="exact"/>
        <w:ind w:left="576" w:right="1120" w:hanging="576"/>
      </w:pPr>
      <w:r>
        <w:t xml:space="preserve">Joseph</w:t>
      </w:r>
      <w:r>
        <w:t xml:space="preserve"> </w:t>
      </w:r>
      <w:r>
        <w:t xml:space="preserve">Story,</w:t>
      </w:r>
      <w:r>
        <w:t xml:space="preserve"> </w:t>
      </w:r>
      <w:r>
        <w:t xml:space="preserve">Commentaries</w:t>
      </w:r>
      <w:r>
        <w:t xml:space="preserve"> </w:t>
      </w:r>
      <w:r>
        <w:t xml:space="preserve">on</w:t>
      </w:r>
      <w:r>
        <w:t xml:space="preserve"> </w:t>
      </w:r>
      <w:r>
        <w:t xml:space="preserve">the</w:t>
      </w:r>
      <w:r>
        <w:t xml:space="preserve"> </w:t>
      </w:r>
      <w:r>
        <w:t xml:space="preserve">Constitution,</w:t>
      </w:r>
      <w:r>
        <w:t xml:space="preserve"> </w:t>
      </w:r>
      <w:r>
        <w:t xml:space="preserve">(1833)</w:t>
      </w:r>
      <w:r>
        <w:t xml:space="preserve">   </w:t>
      </w:r>
      <w:r>
        <w:tab/>
      </w:r>
      <w:r>
        <w:t xml:space="preserve">20</w:t>
      </w:r>
    </w:p>
    <w:p>
      <w:pPr>
        <w:keepLines/>
        <w:tabs>
          <w:tab w:val="right" w:leader="dot" w:pos="9360"/>
        </w:tabs>
        <w:spacing w:before="80" w:after="0" w:line="322" w:lineRule="exact"/>
        <w:ind w:left="576" w:right="1120" w:hanging="576"/>
      </w:pPr>
      <w:r>
        <w:t xml:space="preserve">LaKeith</w:t>
      </w:r>
      <w:r>
        <w:t xml:space="preserve"> </w:t>
      </w:r>
      <w:r>
        <w:t xml:space="preserve">Faulkner</w:t>
      </w:r>
      <w:r>
        <w:t xml:space="preserve"> </w:t>
      </w:r>
      <w:r>
        <w:t xml:space="preserve">&amp;</w:t>
      </w:r>
      <w:r>
        <w:t xml:space="preserve"> </w:t>
      </w:r>
      <w:r>
        <w:t xml:space="preserve">Christopher</w:t>
      </w:r>
      <w:r>
        <w:t xml:space="preserve"> </w:t>
      </w:r>
      <w:r>
        <w:t xml:space="preserve">R.</w:t>
      </w:r>
      <w:r>
        <w:t xml:space="preserve"> </w:t>
      </w:r>
      <w:r>
        <w:t xml:space="preserve">Green,</w:t>
      </w:r>
      <w:r>
        <w:t xml:space="preserve"> </w:t>
      </w:r>
      <w:r>
        <w:t xml:space="preserve">State-Constitutional</w:t>
      </w:r>
      <w:r>
        <w:t xml:space="preserve"> </w:t>
      </w:r>
      <w:r>
        <w:t xml:space="preserve">Departures</w:t>
      </w:r>
      <w:r>
        <w:t xml:space="preserve"> </w:t>
      </w:r>
      <w:r>
        <w:t xml:space="preserve">from</w:t>
      </w:r>
      <w:r>
        <w:t xml:space="preserve"> </w:t>
      </w:r>
      <w:r>
        <w:t xml:space="preserve">the</w:t>
      </w:r>
      <w:r>
        <w:t xml:space="preserve"> </w:t>
      </w:r>
      <w:r>
        <w:t xml:space="preserve">Supreme</w:t>
      </w:r>
      <w:r>
        <w:t xml:space="preserve"> </w:t>
      </w:r>
      <w:r>
        <w:t xml:space="preserve">Court:</w:t>
      </w:r>
      <w:r>
        <w:t xml:space="preserve"> </w:t>
      </w:r>
      <w:r>
        <w:t xml:space="preserve">The</w:t>
      </w:r>
      <w:r>
        <w:t xml:space="preserve"> </w:t>
      </w:r>
      <w:r>
        <w:t xml:space="preserve">Fourth</w:t>
      </w:r>
      <w:r>
        <w:t xml:space="preserve"> </w:t>
      </w:r>
      <w:r>
        <w:t xml:space="preserve">Amendment,</w:t>
      </w:r>
      <w:r>
        <w:t xml:space="preserve"> </w:t>
      </w:r>
      <w:r>
        <w:t xml:space="preserve">89</w:t>
      </w:r>
      <w:r>
        <w:t xml:space="preserve"> </w:t>
      </w:r>
      <w:r>
        <w:t xml:space="preserve">Miss.</w:t>
      </w:r>
      <w:r>
        <w:t xml:space="preserve"> </w:t>
      </w:r>
      <w:r>
        <w:t xml:space="preserve">L.J.</w:t>
      </w:r>
      <w:r>
        <w:t xml:space="preserve"> </w:t>
      </w:r>
      <w:r>
        <w:t xml:space="preserve">197</w:t>
      </w:r>
      <w:r>
        <w:t xml:space="preserve"> </w:t>
      </w:r>
      <w:r>
        <w:t xml:space="preserve">(2020)</w:t>
      </w:r>
      <w:r>
        <w:t xml:space="preserve">   </w:t>
      </w:r>
      <w:r>
        <w:tab/>
      </w:r>
      <w:r>
        <w:t xml:space="preserve">30</w:t>
      </w:r>
    </w:p>
    <w:p>
      <w:pPr>
        <w:keepLines/>
        <w:tabs>
          <w:tab w:val="right" w:leader="dot" w:pos="9360"/>
        </w:tabs>
        <w:spacing w:before="80" w:after="0" w:line="322" w:lineRule="exact"/>
        <w:ind w:left="576" w:right="1120" w:hanging="576"/>
      </w:pPr>
      <w:r>
        <w:t xml:space="preserve">Marc</w:t>
      </w:r>
      <w:r>
        <w:t xml:space="preserve"> </w:t>
      </w:r>
      <w:r>
        <w:t xml:space="preserve">L.</w:t>
      </w:r>
      <w:r>
        <w:t xml:space="preserve"> </w:t>
      </w:r>
      <w:r>
        <w:t xml:space="preserve">Miller</w:t>
      </w:r>
      <w:r>
        <w:t xml:space="preserve"> </w:t>
      </w:r>
      <w:r>
        <w:t xml:space="preserve">&amp;</w:t>
      </w:r>
      <w:r>
        <w:t xml:space="preserve"> </w:t>
      </w:r>
      <w:r>
        <w:t xml:space="preserve">Ronald</w:t>
      </w:r>
      <w:r>
        <w:t xml:space="preserve"> </w:t>
      </w:r>
      <w:r>
        <w:t xml:space="preserve">F.</w:t>
      </w:r>
      <w:r>
        <w:t xml:space="preserve"> </w:t>
      </w:r>
      <w:r>
        <w:t xml:space="preserve">Wright,</w:t>
      </w:r>
      <w:r>
        <w:t xml:space="preserve"> </w:t>
      </w:r>
      <w:r>
        <w:t xml:space="preserve">Criminal</w:t>
      </w:r>
      <w:r>
        <w:t xml:space="preserve"> </w:t>
      </w:r>
      <w:r>
        <w:t xml:space="preserve">Procedures:</w:t>
      </w:r>
      <w:r>
        <w:t xml:space="preserve"> </w:t>
      </w:r>
      <w:r>
        <w:t xml:space="preserve">The</w:t>
      </w:r>
      <w:r>
        <w:t xml:space="preserve"> </w:t>
      </w:r>
      <w:r>
        <w:t xml:space="preserve">Police,</w:t>
      </w:r>
      <w:r>
        <w:t xml:space="preserve"> </w:t>
      </w:r>
      <w:r>
        <w:t xml:space="preserve">(3d</w:t>
      </w:r>
      <w:r>
        <w:t xml:space="preserve"> </w:t>
      </w:r>
      <w:r>
        <w:t xml:space="preserve">ed.</w:t>
      </w:r>
      <w:r>
        <w:t xml:space="preserve"> </w:t>
      </w:r>
      <w:r>
        <w:t xml:space="preserve">2007)</w:t>
      </w:r>
      <w:r>
        <w:t xml:space="preserve">   </w:t>
      </w:r>
      <w:r>
        <w:tab/>
      </w:r>
      <w:r>
        <w:t xml:space="preserve">27</w:t>
      </w:r>
    </w:p>
    <w:p>
      <w:pPr>
        <w:keepLines/>
        <w:tabs>
          <w:tab w:val="right" w:leader="dot" w:pos="9360"/>
        </w:tabs>
        <w:spacing w:before="80" w:after="0" w:line="322" w:lineRule="exact"/>
        <w:ind w:left="576" w:right="1120" w:hanging="576"/>
      </w:pPr>
      <w:r>
        <w:t xml:space="preserve">Roger</w:t>
      </w:r>
      <w:r>
        <w:t xml:space="preserve"> </w:t>
      </w:r>
      <w:r>
        <w:t xml:space="preserve">Roots,</w:t>
      </w:r>
      <w:r>
        <w:t xml:space="preserve"> </w:t>
      </w:r>
      <w:r>
        <w:t xml:space="preserve">The</w:t>
      </w:r>
      <w:r>
        <w:t xml:space="preserve"> </w:t>
      </w:r>
      <w:r>
        <w:t xml:space="preserve">Originalist</w:t>
      </w:r>
      <w:r>
        <w:t xml:space="preserve"> </w:t>
      </w:r>
      <w:r>
        <w:t xml:space="preserve">Case</w:t>
      </w:r>
      <w:r>
        <w:t xml:space="preserve"> </w:t>
      </w:r>
      <w:r>
        <w:t xml:space="preserve">for</w:t>
      </w:r>
      <w:r>
        <w:t xml:space="preserve"> </w:t>
      </w:r>
      <w:r>
        <w:t xml:space="preserve">the</w:t>
      </w:r>
      <w:r>
        <w:t xml:space="preserve"> </w:t>
      </w:r>
      <w:r>
        <w:t xml:space="preserve">Exclusionary</w:t>
      </w:r>
      <w:r>
        <w:t xml:space="preserve"> </w:t>
      </w:r>
      <w:r>
        <w:t xml:space="preserve">Rule,</w:t>
      </w:r>
      <w:r>
        <w:t xml:space="preserve"> </w:t>
      </w:r>
      <w:r>
        <w:t xml:space="preserve">45</w:t>
      </w:r>
      <w:r>
        <w:t xml:space="preserve"> </w:t>
      </w:r>
      <w:r>
        <w:t xml:space="preserve">Gonz.</w:t>
      </w:r>
      <w:r>
        <w:t xml:space="preserve"> </w:t>
      </w:r>
      <w:r>
        <w:t xml:space="preserve">L.</w:t>
      </w:r>
      <w:r>
        <w:t xml:space="preserve"> </w:t>
      </w:r>
      <w:r>
        <w:t xml:space="preserve">Rev.</w:t>
      </w:r>
      <w:r>
        <w:t xml:space="preserve"> </w:t>
      </w:r>
      <w:r>
        <w:t xml:space="preserve">1</w:t>
      </w:r>
      <w:r>
        <w:t xml:space="preserve"> </w:t>
      </w:r>
      <w:r>
        <w:t xml:space="preserve">(2010)</w:t>
      </w:r>
      <w:r>
        <w:t xml:space="preserve">   </w:t>
      </w:r>
      <w:r>
        <w:tab/>
      </w:r>
      <w:r>
        <w:t xml:space="preserve">19</w:t>
      </w:r>
    </w:p>
    <w:p>
      <w:pPr>
        <w:keepLines/>
        <w:tabs>
          <w:tab w:val="right" w:leader="dot" w:pos="9360"/>
        </w:tabs>
        <w:spacing w:before="80" w:after="0" w:line="322" w:lineRule="exact"/>
        <w:ind w:left="576" w:right="1120" w:hanging="576"/>
      </w:pPr>
      <w:r>
        <w:t xml:space="preserve">Wayne</w:t>
      </w:r>
      <w:r>
        <w:t xml:space="preserve"> </w:t>
      </w:r>
      <w:r>
        <w:t xml:space="preserve">R.</w:t>
      </w:r>
      <w:r>
        <w:t xml:space="preserve"> </w:t>
      </w:r>
      <w:r>
        <w:t xml:space="preserve">LaFave,</w:t>
      </w:r>
      <w:r>
        <w:t xml:space="preserve"> </w:t>
      </w:r>
      <w:r>
        <w:t xml:space="preserve">Search</w:t>
      </w:r>
      <w:r>
        <w:t xml:space="preserve"> </w:t>
      </w:r>
      <w:r>
        <w:t xml:space="preserve">&amp;</w:t>
      </w:r>
      <w:r>
        <w:t xml:space="preserve"> </w:t>
      </w:r>
      <w:r>
        <w:t xml:space="preserve">Seizure:</w:t>
      </w:r>
      <w:r>
        <w:t xml:space="preserve"> </w:t>
      </w:r>
      <w:r>
        <w:t xml:space="preserve">A</w:t>
      </w:r>
      <w:r>
        <w:t xml:space="preserve"> </w:t>
      </w:r>
      <w:r>
        <w:t xml:space="preserve">Treatise</w:t>
      </w:r>
      <w:r>
        <w:t xml:space="preserve"> </w:t>
      </w:r>
      <w:r>
        <w:t xml:space="preserve">on</w:t>
      </w:r>
      <w:r>
        <w:t xml:space="preserve"> </w:t>
      </w:r>
      <w:r>
        <w:t xml:space="preserve">the</w:t>
      </w:r>
      <w:r>
        <w:t xml:space="preserve"> </w:t>
      </w:r>
      <w:r>
        <w:t xml:space="preserve">Fourth</w:t>
      </w:r>
      <w:r>
        <w:t xml:space="preserve"> </w:t>
      </w:r>
      <w:r>
        <w:t xml:space="preserve">Amendment,</w:t>
      </w:r>
      <w:r>
        <w:t xml:space="preserve"> </w:t>
      </w:r>
      <w:r>
        <w:t xml:space="preserve">(6th</w:t>
      </w:r>
      <w:r>
        <w:t xml:space="preserve"> </w:t>
      </w:r>
      <w:r>
        <w:t xml:space="preserve">ed.</w:t>
      </w:r>
      <w:r>
        <w:t xml:space="preserve"> </w:t>
      </w:r>
      <w:r>
        <w:t xml:space="preserve">2022)</w:t>
      </w:r>
      <w:r>
        <w:t xml:space="preserve">   </w:t>
      </w:r>
      <w:r>
        <w:tab/>
      </w:r>
      <w:r>
        <w:t xml:space="preserve">8</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Ms. Leach-Lewis alleges that a Fairfax County zoning officer barged into her private home without consent or a warrant and rifled through the property searching for evidence. If this telling is correct—as amici assume—the officer’s actions are a grave violation of both the U.S. Constitution’s Fourth Amendment and Article I, § 10 of the Virginia Constitution. Excluding evidence derived from that unlawful search is warranted.</w:t>
      </w:r>
    </w:p>
    <w:p>
      <w:pPr>
        <w:pStyle w:val="BodyText"/>
      </w:pPr>
      <w:r>
        <w:t xml:space="preserve">Amici submit this brief to highlight the bedrock role the exclusionary rule plays in deterring such grave violations of our essential liberties. The exclusionary rule exists to “compel respect” for Fourth Amendment rights in the “only effectively available way—by removing the incentive to disregard it.”</w:t>
      </w:r>
      <w:r>
        <w:t xml:space="preserve"> </w:t>
      </w:r>
      <w:r>
        <w:rPr>
          <w:i/>
          <w:iCs/>
        </w:rPr>
        <w:t xml:space="preserve">Elkins</w:t>
      </w:r>
      <w:r>
        <w:rPr>
          <w:i/>
          <w:iCs/>
        </w:rPr>
        <w:t xml:space="preserve"> </w:t>
      </w:r>
      <w:r>
        <w:rPr>
          <w:i/>
          <w:iCs/>
        </w:rPr>
        <w:t xml:space="preserve">v. United States</w:t>
      </w:r>
      <w:r>
        <w:t xml:space="preserve">, 364 U.S. 206, 217 (1960). Yet Fairfax County sweepingly claims that the exclusionary rule is “inapplicable” in any case that happens to bear a “civil” label. County Br. 15. But the County provides no good reason for this novel, far-reaching proposal, which directly conflicts with the U.S. Supreme Court’s well-established standard for assessing whether to apply the exclusionary rule. That standard focuses not on the civil or criminal label placed on the proceeding, but on a “rigorous weighing of its costs and deterrence benefits.”</w:t>
      </w:r>
      <w:r>
        <w:t xml:space="preserve"> </w:t>
      </w:r>
      <w:r>
        <w:rPr>
          <w:i/>
          <w:iCs/>
        </w:rPr>
        <w:t xml:space="preserve">Davis</w:t>
      </w:r>
      <w:r>
        <w:rPr>
          <w:i/>
          <w:iCs/>
        </w:rPr>
        <w:t xml:space="preserve"> </w:t>
      </w:r>
      <w:r>
        <w:rPr>
          <w:i/>
          <w:iCs/>
        </w:rPr>
        <w:t xml:space="preserve">v. United States</w:t>
      </w:r>
      <w:r>
        <w:t xml:space="preserve">, 564 U.S. 229, 238 (2011). The County makes no effort to either apply that balancing test or supply a good reason for departing from it. (Part I.A.)</w:t>
      </w:r>
    </w:p>
    <w:p>
      <w:pPr>
        <w:pStyle w:val="BodyText"/>
      </w:pPr>
      <w:r>
        <w:t xml:space="preserve">Properly applying that standard shows that exclusion is warranted here. Suppressing the fruits of zoning officers’ warrantless snooping through private homes here would deter their warrantless snooping through private homes in the future. And none of the costs the U.S. Supreme Court says caution against applying the exclusionary rule exist here. (Part I.B.)</w:t>
      </w:r>
    </w:p>
    <w:p>
      <w:pPr>
        <w:pStyle w:val="BodyText"/>
      </w:pPr>
      <w:r>
        <w:t xml:space="preserve">In contrast, the County’s suggestion that the exclusionary rule is categorically inapplicable in civil cases would impose massive costs on the people’s right to be “secure in their persons, houses, papers, and effects[] against unreasonable searches and seizures.” U.S.</w:t>
      </w:r>
      <w:r>
        <w:t xml:space="preserve"> </w:t>
      </w:r>
      <w:r>
        <w:t xml:space="preserve">Const. amend. IV. Throughout history, citizens have enjoyed a wide array of measures to deter officials from encroaching on their rights. But today, deterring Fourth Amendment violations through means other than the exclusionary rule, like damages suits, is harder than ever. Indeed, the County effectively admits (</w:t>
      </w:r>
      <w:r>
        <w:rPr>
          <w:i/>
          <w:iCs/>
        </w:rPr>
        <w:t xml:space="preserve">see</w:t>
      </w:r>
      <w:r>
        <w:t xml:space="preserve"> </w:t>
      </w:r>
      <w:r>
        <w:t xml:space="preserve">County Br. 15 &amp; n.56) that it seeks a ruling allowing its officers to barge into private homes with impunity whenever they are looking for civil violations. This Court should not let government officials deliberately violate the Fourth Amendment without consequence. (Part I.C.)</w:t>
      </w:r>
    </w:p>
    <w:p>
      <w:pPr>
        <w:pStyle w:val="BodyText"/>
      </w:pPr>
      <w:r>
        <w:t xml:space="preserve">Even if this Court is not convinced that the exclusionary rule applies under the Fourth Amendment, it should hold that exclusion is the proper remedy to address the analogous violation of Article I, § 10 of the Virginia Constitution alleged here. The drafters of the Virginia Constitution sought to protect citizens’ liberty and privacy in their homes, and this Court should honor that by adopting an exclusionary rule for violations of the state Constitution. (Part II.)</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Amici adopt the Statement of the Case laid out by Ms. Leach-Lewis.</w:t>
      </w:r>
      <w:r>
        <w:t xml:space="preserve"> </w:t>
      </w:r>
      <w:r>
        <w:rPr>
          <w:i/>
          <w:iCs/>
        </w:rPr>
        <w:t xml:space="preserve">See</w:t>
      </w:r>
      <w:r>
        <w:t xml:space="preserve"> </w:t>
      </w:r>
      <w:r>
        <w:t xml:space="preserve">Leach-Lewis Br. 1–3.</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the Statement of Facts laid out by Ms. Leach-Lewis.</w:t>
      </w:r>
      <w:r>
        <w:t xml:space="preserve"> </w:t>
      </w:r>
      <w:r>
        <w:rPr>
          <w:i/>
          <w:iCs/>
        </w:rPr>
        <w:t xml:space="preserve">See</w:t>
      </w:r>
      <w:r>
        <w:t xml:space="preserve"> </w:t>
      </w:r>
      <w:r>
        <w:t xml:space="preserve">Leach-Lewis Br. 4–6.</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the exclusionary rule applies in a civil matter to address a search-and-seizure violation is a question of law that this Court reviews de novo.</w:t>
      </w:r>
      <w:r>
        <w:t xml:space="preserve"> </w:t>
      </w:r>
      <w:r>
        <w:rPr>
          <w:i/>
          <w:iCs/>
        </w:rPr>
        <w:t xml:space="preserve">Grafmuller</w:t>
      </w:r>
      <w:r>
        <w:rPr>
          <w:i/>
          <w:iCs/>
        </w:rPr>
        <w:t xml:space="preserve"> </w:t>
      </w:r>
      <w:r>
        <w:rPr>
          <w:i/>
          <w:iCs/>
        </w:rPr>
        <w:t xml:space="preserve">v. Commonwealth</w:t>
      </w:r>
      <w:r>
        <w:t xml:space="preserve">, 778 S.E.2d 114, 116 (Va. 2015).</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THE</w:t>
      </w:r>
      <w:r>
        <w:rPr>
          <w:b/>
          <w:bCs/>
        </w:rPr>
        <w:t xml:space="preserve"> </w:t>
      </w:r>
      <w:r>
        <w:rPr>
          <w:b/>
          <w:bCs/>
        </w:rPr>
        <w:t xml:space="preserve">FOURTH</w:t>
      </w:r>
      <w:r>
        <w:rPr>
          <w:b/>
          <w:bCs/>
        </w:rPr>
        <w:t xml:space="preserve"> </w:t>
      </w:r>
      <w:r>
        <w:rPr>
          <w:b/>
          <w:bCs/>
        </w:rPr>
        <w:t xml:space="preserve">AMENDMENT</w:t>
      </w:r>
      <w:r>
        <w:rPr>
          <w:b/>
          <w:bCs/>
        </w:rPr>
        <w:t xml:space="preserve"> </w:t>
      </w:r>
      <w:r>
        <w:rPr>
          <w:b/>
          <w:bCs/>
        </w:rPr>
        <w:t xml:space="preserve">EXCLUSIONARY</w:t>
      </w:r>
      <w:r>
        <w:rPr>
          <w:b/>
          <w:bCs/>
        </w:rPr>
        <w:t xml:space="preserve"> </w:t>
      </w:r>
      <w:r>
        <w:rPr>
          <w:b/>
          <w:bCs/>
        </w:rPr>
        <w:t xml:space="preserve">RULE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CIVIL</w:t>
      </w:r>
      <w:r>
        <w:rPr>
          <w:b/>
          <w:bCs/>
        </w:rPr>
        <w:t xml:space="preserve"> </w:t>
      </w:r>
      <w:r>
        <w:rPr>
          <w:b/>
          <w:bCs/>
        </w:rPr>
        <w:t xml:space="preserve">ZONING</w:t>
      </w:r>
      <w:r>
        <w:rPr>
          <w:b/>
          <w:bCs/>
        </w:rPr>
        <w:t xml:space="preserve"> </w:t>
      </w:r>
      <w:r>
        <w:rPr>
          <w:b/>
          <w:bCs/>
        </w:rPr>
        <w:t xml:space="preserve">ENFORCEMENT</w:t>
      </w:r>
      <w:r>
        <w:rPr>
          <w:b/>
          <w:bCs/>
        </w:rPr>
        <w:t xml:space="preserve"> </w:t>
      </w:r>
      <w:r>
        <w:rPr>
          <w:b/>
          <w:bCs/>
        </w:rPr>
        <w:t xml:space="preserve">ACTION.</w:t>
      </w:r>
    </w:p>
    <w:p>
      <w:pPr>
        <w:keepNext/>
        <w:keepLines/>
        <w:spacing w:before="308" w:after="168" w:line="322" w:lineRule="exact"/>
        <w:ind w:left="0" w:firstLine="0"/>
        <w:jc w:val="left"/>
      </w:pP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rule’s</w:t>
      </w:r>
      <w:r>
        <w:rPr>
          <w:b/>
          <w:bCs/>
          <w:i/>
          <w:iCs/>
        </w:rPr>
        <w:t xml:space="preserve"> </w:t>
      </w:r>
      <w:r>
        <w:rPr>
          <w:b/>
          <w:bCs/>
          <w:i/>
          <w:iCs/>
        </w:rPr>
        <w:t xml:space="preserve">applicability</w:t>
      </w:r>
      <w:r>
        <w:rPr>
          <w:b/>
          <w:bCs/>
          <w:i/>
          <w:iCs/>
        </w:rPr>
        <w:t xml:space="preserve"> </w:t>
      </w:r>
      <w:r>
        <w:rPr>
          <w:b/>
          <w:bCs/>
          <w:i/>
          <w:iCs/>
        </w:rPr>
        <w:t xml:space="preserve">turns</w:t>
      </w:r>
      <w:r>
        <w:rPr>
          <w:b/>
          <w:bCs/>
          <w:i/>
          <w:iCs/>
        </w:rPr>
        <w:t xml:space="preserve"> </w:t>
      </w:r>
      <w:r>
        <w:rPr>
          <w:b/>
          <w:bCs/>
          <w:i/>
          <w:iCs/>
        </w:rPr>
        <w:t xml:space="preserve">on</w:t>
      </w:r>
      <w:r>
        <w:rPr>
          <w:b/>
          <w:bCs/>
          <w:i/>
          <w:iCs/>
        </w:rPr>
        <w:t xml:space="preserve"> </w:t>
      </w:r>
      <w:r>
        <w:rPr>
          <w:b/>
          <w:bCs/>
          <w:i/>
          <w:iCs/>
        </w:rPr>
        <w:t xml:space="preserve">weighing</w:t>
      </w:r>
      <w:r>
        <w:rPr>
          <w:b/>
          <w:bCs/>
          <w:i/>
          <w:iCs/>
        </w:rPr>
        <w:t xml:space="preserve"> </w:t>
      </w:r>
      <w:r>
        <w:rPr>
          <w:b/>
          <w:bCs/>
          <w:i/>
          <w:iCs/>
        </w:rPr>
        <w:t xml:space="preserve">the</w:t>
      </w:r>
      <w:r>
        <w:rPr>
          <w:b/>
          <w:bCs/>
          <w:i/>
          <w:iCs/>
        </w:rPr>
        <w:t xml:space="preserve"> </w:t>
      </w:r>
      <w:r>
        <w:rPr>
          <w:b/>
          <w:bCs/>
          <w:i/>
          <w:iCs/>
        </w:rPr>
        <w:t xml:space="preserve">deterrence</w:t>
      </w:r>
      <w:r>
        <w:rPr>
          <w:b/>
          <w:bCs/>
          <w:i/>
          <w:iCs/>
        </w:rPr>
        <w:t xml:space="preserve"> </w:t>
      </w:r>
      <w:r>
        <w:rPr>
          <w:b/>
          <w:bCs/>
          <w:i/>
          <w:iCs/>
        </w:rPr>
        <w:t xml:space="preserve">benefits</w:t>
      </w:r>
      <w:r>
        <w:rPr>
          <w:b/>
          <w:bCs/>
          <w:i/>
          <w:iCs/>
        </w:rPr>
        <w:t xml:space="preserve"> </w:t>
      </w:r>
      <w:r>
        <w:rPr>
          <w:b/>
          <w:bCs/>
          <w:i/>
          <w:iCs/>
        </w:rPr>
        <w:t xml:space="preserve">of</w:t>
      </w:r>
      <w:r>
        <w:rPr>
          <w:b/>
          <w:bCs/>
          <w:i/>
          <w:iCs/>
        </w:rPr>
        <w:t xml:space="preserve"> </w:t>
      </w:r>
      <w:r>
        <w:rPr>
          <w:b/>
          <w:bCs/>
          <w:i/>
          <w:iCs/>
        </w:rPr>
        <w:t xml:space="preserve">suppression</w:t>
      </w:r>
      <w:r>
        <w:rPr>
          <w:b/>
          <w:bCs/>
          <w:i/>
          <w:iCs/>
        </w:rPr>
        <w:t xml:space="preserve"> </w:t>
      </w:r>
      <w:r>
        <w:rPr>
          <w:b/>
          <w:bCs/>
          <w:i/>
          <w:iCs/>
        </w:rPr>
        <w:t xml:space="preserve">against</w:t>
      </w:r>
      <w:r>
        <w:rPr>
          <w:b/>
          <w:bCs/>
          <w:i/>
          <w:iCs/>
        </w:rPr>
        <w:t xml:space="preserve"> </w:t>
      </w:r>
      <w:r>
        <w:rPr>
          <w:b/>
          <w:bCs/>
          <w:i/>
          <w:iCs/>
        </w:rPr>
        <w:t xml:space="preserve">its</w:t>
      </w:r>
      <w:r>
        <w:rPr>
          <w:b/>
          <w:bCs/>
          <w:i/>
          <w:iCs/>
        </w:rPr>
        <w:t xml:space="preserve"> </w:t>
      </w:r>
      <w:r>
        <w:rPr>
          <w:b/>
          <w:bCs/>
          <w:i/>
          <w:iCs/>
        </w:rPr>
        <w:t xml:space="preserve">costs,</w:t>
      </w:r>
      <w:r>
        <w:rPr>
          <w:b/>
          <w:bCs/>
          <w:i/>
          <w:iCs/>
        </w:rPr>
        <w:t xml:space="preserve"> </w:t>
      </w:r>
      <w:r>
        <w:rPr>
          <w:b/>
          <w:bCs/>
          <w:i/>
          <w:iCs/>
        </w:rPr>
        <w:t xml:space="preserve">not</w:t>
      </w:r>
      <w:r>
        <w:rPr>
          <w:b/>
          <w:bCs/>
          <w:i/>
          <w:iCs/>
        </w:rPr>
        <w:t xml:space="preserve"> </w:t>
      </w:r>
      <w:r>
        <w:rPr>
          <w:b/>
          <w:bCs/>
          <w:i/>
          <w:iCs/>
        </w:rPr>
        <w:t xml:space="preserve">the</w:t>
      </w:r>
      <w:r>
        <w:rPr>
          <w:b/>
          <w:bCs/>
          <w:i/>
          <w:iCs/>
        </w:rPr>
        <w:t xml:space="preserve"> </w:t>
      </w:r>
      <w:r>
        <w:rPr>
          <w:b/>
          <w:bCs/>
          <w:i/>
          <w:iCs/>
        </w:rPr>
        <w:t xml:space="preserve">label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government’s</w:t>
      </w:r>
      <w:r>
        <w:rPr>
          <w:b/>
          <w:bCs/>
          <w:i/>
          <w:iCs/>
        </w:rPr>
        <w:t xml:space="preserve"> </w:t>
      </w:r>
      <w:r>
        <w:rPr>
          <w:b/>
          <w:bCs/>
          <w:i/>
          <w:iCs/>
        </w:rPr>
        <w:t xml:space="preserve">enforcement</w:t>
      </w:r>
      <w:r>
        <w:rPr>
          <w:b/>
          <w:bCs/>
          <w:i/>
          <w:iCs/>
        </w:rPr>
        <w:t xml:space="preserve"> </w:t>
      </w:r>
      <w:r>
        <w:rPr>
          <w:b/>
          <w:bCs/>
          <w:i/>
          <w:iCs/>
        </w:rPr>
        <w:t xml:space="preserve">action.</w:t>
      </w:r>
    </w:p>
    <w:p>
      <w:pPr>
        <w:pStyle w:val="BodyText"/>
      </w:pPr>
      <w:r>
        <w:t xml:space="preserve">1. The County’s lead argument for reversal is that “[t]he exclusionary rule does not apply in civil cases.” County Br. 13. But that is plainly wrong: As the U.S. Supreme Court has repeatedly explained, the test for whether to apply the exclusionary rule has everything to do with deterrence and nothing to do with the County’s criminal vs. civil standard.</w:t>
      </w:r>
    </w:p>
    <w:p>
      <w:pPr>
        <w:pStyle w:val="BodyText"/>
      </w:pPr>
      <w:r>
        <w:t xml:space="preserve">Indeed, rather than zeroing in on the label placed on the ultimate enforcement proceeding, the U.S. Supreme Court has determined whether the exclusionary rule applies by “focus[ing] on the efficacy of the rule in deterring Fourth Amendment violations in the future.”</w:t>
      </w:r>
      <w:r>
        <w:t xml:space="preserve"> </w:t>
      </w:r>
      <w:r>
        <w:rPr>
          <w:i/>
          <w:iCs/>
        </w:rPr>
        <w:t xml:space="preserve">Herring</w:t>
      </w:r>
      <w:r>
        <w:rPr>
          <w:i/>
          <w:iCs/>
        </w:rPr>
        <w:t xml:space="preserve"> </w:t>
      </w:r>
      <w:r>
        <w:rPr>
          <w:i/>
          <w:iCs/>
        </w:rPr>
        <w:t xml:space="preserve">v. United States</w:t>
      </w:r>
      <w:r>
        <w:t xml:space="preserve">, 555 U.S. 135, 141 (2009). Under well-established law that the County ignores, the exclusionary rule applies to address Fourth Amendment violations when “the benefits of deterrence [] outweigh the costs.”</w:t>
      </w:r>
      <w:r>
        <w:t xml:space="preserve"> </w:t>
      </w:r>
      <w:r>
        <w:rPr>
          <w:i/>
          <w:iCs/>
        </w:rPr>
        <w:t xml:space="preserve">Id.</w:t>
      </w:r>
      <w:r>
        <w:t xml:space="preserve">;</w:t>
      </w:r>
      <w:r>
        <w:t xml:space="preserve"> </w:t>
      </w:r>
      <w:r>
        <w:rPr>
          <w:i/>
          <w:iCs/>
        </w:rPr>
        <w:t xml:space="preserve">see also</w:t>
      </w:r>
      <w:r>
        <w:t xml:space="preserve"> </w:t>
      </w:r>
      <w:r>
        <w:rPr>
          <w:i/>
          <w:iCs/>
        </w:rPr>
        <w:t xml:space="preserve">United</w:t>
      </w:r>
      <w:r>
        <w:rPr>
          <w:i/>
          <w:iCs/>
        </w:rPr>
        <w:t xml:space="preserve"> </w:t>
      </w:r>
      <w:r>
        <w:rPr>
          <w:i/>
          <w:iCs/>
        </w:rPr>
        <w:t xml:space="preserve">States v. Janis</w:t>
      </w:r>
      <w:r>
        <w:t xml:space="preserve">, 428 U.S. 433, 454 &amp; n.27 (1976) (focusing on the “likelihood of deterring the conduct … that [] outweighs the societal costs imposed by the exclusion”);</w:t>
      </w:r>
      <w:r>
        <w:t xml:space="preserve"> </w:t>
      </w:r>
      <w:r>
        <w:rPr>
          <w:i/>
          <w:iCs/>
        </w:rPr>
        <w:t xml:space="preserve">United</w:t>
      </w:r>
      <w:r>
        <w:rPr>
          <w:i/>
          <w:iCs/>
        </w:rPr>
        <w:t xml:space="preserve"> </w:t>
      </w:r>
      <w:r>
        <w:rPr>
          <w:i/>
          <w:iCs/>
        </w:rPr>
        <w:t xml:space="preserve">States v. Leon</w:t>
      </w:r>
      <w:r>
        <w:t xml:space="preserve">, 468 U.S. 897, 906–07 (1984) (explaining that whether exclusionary rule applies “must be resolved by weighing the costs and benefits”);</w:t>
      </w:r>
      <w:r>
        <w:t xml:space="preserve"> </w:t>
      </w:r>
      <w:r>
        <w:rPr>
          <w:i/>
          <w:iCs/>
        </w:rPr>
        <w:t xml:space="preserve">Davis</w:t>
      </w:r>
      <w:r>
        <w:rPr>
          <w:i/>
          <w:iCs/>
        </w:rPr>
        <w:t xml:space="preserve"> </w:t>
      </w:r>
      <w:r>
        <w:rPr>
          <w:i/>
          <w:iCs/>
        </w:rPr>
        <w:t xml:space="preserve">v. United States</w:t>
      </w:r>
      <w:r>
        <w:t xml:space="preserve">, 564 U.S. 229, 238 (2011) (detailing requirement for a “rigorous weighing of [rule’s] costs and deterrence benefits”). Consistent with the U.S. Supreme Court’s repeated holdings, courts ignore the civil or criminal label of the enforcement proceeding in which the government wants to use ill-gotten evidence. Instead, they ask whether suppressing that unconstitutionally obtained evidence will deter the searching officer going forward.</w:t>
      </w:r>
    </w:p>
    <w:p>
      <w:pPr>
        <w:pStyle w:val="BodyText"/>
      </w:pPr>
      <w:r>
        <w:t xml:space="preserve">Anything else would make little sense. The Fourth Amendment constrains more than criminal-law investigators pursuing criminal-law investigations.</w:t>
      </w:r>
      <w:r>
        <w:t xml:space="preserve"> </w:t>
      </w:r>
      <w:r>
        <w:rPr>
          <w:i/>
          <w:iCs/>
        </w:rPr>
        <w:t xml:space="preserve">Camara</w:t>
      </w:r>
      <w:r>
        <w:rPr>
          <w:i/>
          <w:iCs/>
        </w:rPr>
        <w:t xml:space="preserve"> </w:t>
      </w:r>
      <w:r>
        <w:rPr>
          <w:i/>
          <w:iCs/>
        </w:rPr>
        <w:t xml:space="preserve">v. Municipal Ct.</w:t>
      </w:r>
      <w:r>
        <w:t xml:space="preserve">, 387 U.S. 523, 530 (1967) (“It is surely anomalous to say that the individual and his private property are fully protected by the Fourth Amendment only when the individual is suspected of criminal behavior.”). As Ms. Leach-Lewis’s experience shows, flagrantly unconstitutional searches occur in a broad range of settings.</w:t>
      </w:r>
      <w:r>
        <w:t xml:space="preserve"> </w:t>
      </w:r>
      <w:r>
        <w:rPr>
          <w:i/>
          <w:iCs/>
        </w:rPr>
        <w:t xml:space="preserve">See, e.g.</w:t>
      </w:r>
      <w:r>
        <w:t xml:space="preserve">, Va.</w:t>
      </w:r>
      <w:r>
        <w:t xml:space="preserve"> </w:t>
      </w:r>
      <w:r>
        <w:t xml:space="preserve">Code Ann. §§ 15.2-⁠2286(A)⁠(16) (establishing procedures for zoning officers to obtain warrants), 22.1-⁠289.033</w:t>
      </w:r>
      <w:r>
        <w:t xml:space="preserve"> </w:t>
      </w:r>
      <w:r>
        <w:t xml:space="preserve">(same for child-care regulators), 10.1-⁠610(B)</w:t>
      </w:r>
      <w:r>
        <w:t xml:space="preserve"> </w:t>
      </w:r>
      <w:r>
        <w:t xml:space="preserve">(same for dam-safety regulators);</w:t>
      </w:r>
      <w:r>
        <w:t xml:space="preserve"> </w:t>
      </w:r>
      <w:r>
        <w:rPr>
          <w:i/>
          <w:iCs/>
        </w:rPr>
        <w:t xml:space="preserve">see also, e.g.</w:t>
      </w:r>
      <w:r>
        <w:t xml:space="preserve">,</w:t>
      </w:r>
      <w:r>
        <w:t xml:space="preserve"> </w:t>
      </w:r>
      <w:r>
        <w:rPr>
          <w:i/>
          <w:iCs/>
        </w:rPr>
        <w:t xml:space="preserve">Safford</w:t>
      </w:r>
      <w:r>
        <w:rPr>
          <w:i/>
          <w:iCs/>
        </w:rPr>
        <w:t xml:space="preserve"> </w:t>
      </w:r>
      <w:r>
        <w:rPr>
          <w:i/>
          <w:iCs/>
        </w:rPr>
        <w:t xml:space="preserve">Unified Sch. Dist. No. 1 v. Redding</w:t>
      </w:r>
      <w:r>
        <w:t xml:space="preserve">, 557 U.S. 364, 374–77 (2009) (holding “embarrassing, frightening, and humiliating” strip search of student by middle school administrators violated Fourth Amendment);</w:t>
      </w:r>
      <w:r>
        <w:t xml:space="preserve"> </w:t>
      </w:r>
      <w:r>
        <w:rPr>
          <w:i/>
          <w:iCs/>
        </w:rPr>
        <w:t xml:space="preserve">Zadeh</w:t>
      </w:r>
      <w:r>
        <w:rPr>
          <w:i/>
          <w:iCs/>
        </w:rPr>
        <w:t xml:space="preserve"> </w:t>
      </w:r>
      <w:r>
        <w:rPr>
          <w:i/>
          <w:iCs/>
        </w:rPr>
        <w:t xml:space="preserve">v. Robinson</w:t>
      </w:r>
      <w:r>
        <w:t xml:space="preserve">, 928 F.3d 457, 474 (5th Cir. 2019) (Willett, J., concurring) (recounting medical-board investigators who, “without notice and without a warrant, entered a doctor’s office and demanded to rifle through the medial records of 16 patients”). All Fourth Amendment violations, especially egregious ones, can be—and should be—deterred. By ignoring the rule’s deterrence-based rationale, the County’s argument contravenes decades of U.S. Supreme Court precedent.</w:t>
      </w:r>
    </w:p>
    <w:p>
      <w:pPr>
        <w:pStyle w:val="BodyText"/>
      </w:pPr>
      <w:r>
        <w:t xml:space="preserve">2. Adopting the County’s argument would also make this Court an outlier among courts around the country that have applied the exclusionary rule to deter Fourth Amendment misdeeds outside of criminal proceedings.</w:t>
      </w:r>
    </w:p>
    <w:p>
      <w:pPr>
        <w:pStyle w:val="BodyText"/>
      </w:pPr>
      <w:r>
        <w:t xml:space="preserve">To start, both state and federal appellate courts have directly rejected the civil vs. criminal distinction for applying the Fourth Amendment exclusionary rule that the county urges here.</w:t>
      </w:r>
      <w:r>
        <w:t xml:space="preserve"> </w:t>
      </w:r>
      <w:r>
        <w:rPr>
          <w:i/>
          <w:iCs/>
        </w:rPr>
        <w:t xml:space="preserve">In</w:t>
      </w:r>
      <w:r>
        <w:rPr>
          <w:i/>
          <w:iCs/>
        </w:rPr>
        <w:t xml:space="preserve"> </w:t>
      </w:r>
      <w:r>
        <w:rPr>
          <w:i/>
          <w:iCs/>
        </w:rPr>
        <w:t xml:space="preserve">re Burch</w:t>
      </w:r>
      <w:r>
        <w:t xml:space="preserve">, 294 P.3d 1155, 1162 (Kan. 2013) (“The goal of the exclusionary rule is deterrence; therefore, whether the exclusionary rule should be applied cannot turn solely on whether the proceeding is civil or criminal.”);</w:t>
      </w:r>
      <w:r>
        <w:t xml:space="preserve"> </w:t>
      </w:r>
      <w:r>
        <w:rPr>
          <w:i/>
          <w:iCs/>
        </w:rPr>
        <w:t xml:space="preserve">Grimes</w:t>
      </w:r>
      <w:r>
        <w:rPr>
          <w:i/>
          <w:iCs/>
        </w:rPr>
        <w:t xml:space="preserve"> </w:t>
      </w:r>
      <w:r>
        <w:rPr>
          <w:i/>
          <w:iCs/>
        </w:rPr>
        <w:t xml:space="preserve">v. Comm’r</w:t>
      </w:r>
      <w:r>
        <w:t xml:space="preserve">, 82 F.3d 286, 290 (9th Cir. 1996) (focusing on a “common sense deterrence inquiry” and criticizing “undue reliance on [the] civil/​criminal distinction”);</w:t>
      </w:r>
      <w:r>
        <w:t xml:space="preserve"> </w:t>
      </w:r>
      <w:r>
        <w:rPr>
          <w:i/>
          <w:iCs/>
        </w:rPr>
        <w:t xml:space="preserve">Tirado</w:t>
      </w:r>
      <w:r>
        <w:rPr>
          <w:i/>
          <w:iCs/>
        </w:rPr>
        <w:t xml:space="preserve"> </w:t>
      </w:r>
      <w:r>
        <w:rPr>
          <w:i/>
          <w:iCs/>
        </w:rPr>
        <w:t xml:space="preserve">v. Comm’r</w:t>
      </w:r>
      <w:r>
        <w:t xml:space="preserve">, 689 F.2d 307, 312 (2d Cir. 1982) (explaining that the “proper way to assess the likelihood of marginal deterrence” does not depend on whether the “proceeding is civil”);</w:t>
      </w:r>
      <w:r>
        <w:t xml:space="preserve"> </w:t>
      </w:r>
      <w:r>
        <w:rPr>
          <w:i/>
          <w:iCs/>
        </w:rPr>
        <w:t xml:space="preserve">see also</w:t>
      </w:r>
      <w:r>
        <w:t xml:space="preserve"> </w:t>
      </w:r>
      <w:r>
        <w:rPr>
          <w:i/>
          <w:iCs/>
        </w:rPr>
        <w:t xml:space="preserve">Ahart</w:t>
      </w:r>
      <w:r>
        <w:rPr>
          <w:i/>
          <w:iCs/>
        </w:rPr>
        <w:t xml:space="preserve"> </w:t>
      </w:r>
      <w:r>
        <w:rPr>
          <w:i/>
          <w:iCs/>
        </w:rPr>
        <w:t xml:space="preserve">v. Colo. Dep’t of Corr.</w:t>
      </w:r>
      <w:r>
        <w:t xml:space="preserve">, 964 P.2d 517, 523 (Colo. 1998) (“In civil proceedings, courts must decide whether the exclusionary rule applies on a case by case basis.”).</w:t>
      </w:r>
    </w:p>
    <w:p>
      <w:pPr>
        <w:pStyle w:val="BodyText"/>
      </w:pPr>
      <w:r>
        <w:t xml:space="preserve">Many other cases have applied the exclusionary rule in civil proceedings with ease. For example, the U.S. Supreme Court has applied the rule to civil forfeiture proceedings for over half a century.</w:t>
      </w:r>
      <w:r>
        <w:t xml:space="preserve"> </w:t>
      </w:r>
      <w:r>
        <w:rPr>
          <w:i/>
          <w:iCs/>
        </w:rPr>
        <w:t xml:space="preserve">One</w:t>
      </w:r>
      <w:r>
        <w:rPr>
          <w:i/>
          <w:iCs/>
        </w:rPr>
        <w:t xml:space="preserve"> </w:t>
      </w:r>
      <w:r>
        <w:rPr>
          <w:i/>
          <w:iCs/>
        </w:rPr>
        <w:t xml:space="preserve">1958 Plymouth Sedan v. Pennsylvania</w:t>
      </w:r>
      <w:r>
        <w:t xml:space="preserve">, 380 U.S. 693, 700 &amp; n.7 (1965);</w:t>
      </w:r>
      <w:r>
        <w:t xml:space="preserve"> </w:t>
      </w:r>
      <w:r>
        <w:rPr>
          <w:i/>
          <w:iCs/>
        </w:rPr>
        <w:t xml:space="preserve">see also</w:t>
      </w:r>
      <w:r>
        <w:t xml:space="preserve"> </w:t>
      </w:r>
      <w:r>
        <w:rPr>
          <w:i/>
          <w:iCs/>
        </w:rPr>
        <w:t xml:space="preserve">United</w:t>
      </w:r>
      <w:r>
        <w:rPr>
          <w:i/>
          <w:iCs/>
        </w:rPr>
        <w:t xml:space="preserve"> </w:t>
      </w:r>
      <w:r>
        <w:rPr>
          <w:i/>
          <w:iCs/>
        </w:rPr>
        <w:t xml:space="preserve">States v. James Daniel Good Real Prop.</w:t>
      </w:r>
      <w:r>
        <w:t xml:space="preserve">, 510 U.S. 43, 49 (1993) (“the exclusionary rule applies to civil forfeiture”).</w:t>
      </w:r>
    </w:p>
    <w:p>
      <w:pPr>
        <w:pStyle w:val="BodyTextNote"/>
      </w:pPr>
      <w:r>
        <w:t xml:space="preserve">Other state and federal courts have followed suit. Indeed, this Court has acknowledged “several lower courts” to conclude the Fourth Amendment exclusionary rule applies to civil cases.</w:t>
      </w:r>
      <w:r>
        <w:t xml:space="preserve"> </w:t>
      </w:r>
      <w:r>
        <w:rPr>
          <w:i/>
          <w:iCs/>
        </w:rPr>
        <w:t xml:space="preserve">Commonwealth</w:t>
      </w:r>
      <w:r>
        <w:rPr>
          <w:i/>
          <w:iCs/>
        </w:rPr>
        <w:t xml:space="preserve"> </w:t>
      </w:r>
      <w:r>
        <w:rPr>
          <w:i/>
          <w:iCs/>
        </w:rPr>
        <w:t xml:space="preserve">v. E.A. Clore Sons, Inc.</w:t>
      </w:r>
      <w:r>
        <w:t xml:space="preserve">, 281 S.E.2d 901, 904 n.4 (Va. 1981). That acknowledgment was well-founded: Several state supreme courts have done so.</w:t>
      </w:r>
      <w:r>
        <w:rPr>
          <w:rStyle w:val="FootnoteReference"/>
        </w:rPr>
        <w:footnoteReference w:id="9"/>
      </w:r>
      <w:r>
        <w:t xml:space="preserve"> </w:t>
      </w:r>
      <w:r>
        <w:t xml:space="preserve">So have federal circuit courts.</w:t>
      </w:r>
      <w:r>
        <w:rPr>
          <w:rStyle w:val="FootnoteReference"/>
        </w:rPr>
        <w:footnoteReference w:id="10"/>
      </w:r>
      <w:r>
        <w:t xml:space="preserve"> </w:t>
      </w:r>
      <w:r>
        <w:t xml:space="preserve">And federal district courts too.</w:t>
      </w:r>
      <w:r>
        <w:rPr>
          <w:rStyle w:val="FootnoteReference"/>
        </w:rPr>
        <w:footnoteReference w:id="11"/>
      </w:r>
      <w:r>
        <w:t xml:space="preserve"> </w:t>
      </w:r>
      <w:r>
        <w:t xml:space="preserve">As a leading treatise summarizes, nothing in the caselaw “casts serious doubt upon the applicability of both the Fourth Amendment and its exclusionary rule to the[] investigative activities” of “nonpolice” civil investigators like “building inspectors” and “OSHA inspectors.” Wayne</w:t>
      </w:r>
      <w:r>
        <w:t xml:space="preserve"> </w:t>
      </w:r>
      <w:r>
        <w:t xml:space="preserve">R. LaFave,</w:t>
      </w:r>
      <w:r>
        <w:t xml:space="preserve"> </w:t>
      </w:r>
      <w:r>
        <w:rPr>
          <w:i/>
          <w:iCs/>
        </w:rPr>
        <w:t xml:space="preserve">Search &amp; Seizure: A Treatise on the Fourth Amendment</w:t>
      </w:r>
      <w:r>
        <w:t xml:space="preserve"> </w:t>
      </w:r>
      <w:r>
        <w:t xml:space="preserve">§ 1.8(e) (6th ed. 2022). The County cannot be right unless each of these authorities is wrong.</w:t>
      </w:r>
    </w:p>
    <w:p>
      <w:pPr>
        <w:pStyle w:val="BodyText"/>
      </w:pPr>
      <w:r>
        <w:t xml:space="preserve">3. The County’s sole authority for limiting the exclusionary rule to criminal proceedings is</w:t>
      </w:r>
      <w:r>
        <w:t xml:space="preserve"> </w:t>
      </w:r>
      <w:r>
        <w:rPr>
          <w:i/>
          <w:iCs/>
        </w:rPr>
        <w:t xml:space="preserve">County of Henrico v. Ehlers</w:t>
      </w:r>
      <w:r>
        <w:t xml:space="preserve">. County Br. 13–15 &amp; nn.50, 53 (citing 379</w:t>
      </w:r>
      <w:r>
        <w:t xml:space="preserve"> </w:t>
      </w:r>
      <w:r>
        <w:t xml:space="preserve">S.E.2d 457, 462 (Va. 1989)). But</w:t>
      </w:r>
      <w:r>
        <w:t xml:space="preserve"> </w:t>
      </w:r>
      <w:r>
        <w:rPr>
          <w:i/>
          <w:iCs/>
        </w:rPr>
        <w:t xml:space="preserve">Ehlers</w:t>
      </w:r>
      <w:r>
        <w:t xml:space="preserve"> </w:t>
      </w:r>
      <w:r>
        <w:t xml:space="preserve">self-consciously “has nothing whatever to do with the Fourth Amendment.” 379</w:t>
      </w:r>
      <w:r>
        <w:t xml:space="preserve"> </w:t>
      </w:r>
      <w:r>
        <w:t xml:space="preserve">S.E.2d at 460. The individual in that civil case alleged that officers violated his Fifth Amendment right against self-incrimination under</w:t>
      </w:r>
      <w:r>
        <w:t xml:space="preserve"> </w:t>
      </w:r>
      <w:r>
        <w:rPr>
          <w:i/>
          <w:iCs/>
        </w:rPr>
        <w:t xml:space="preserve">Miranda</w:t>
      </w:r>
      <w:r>
        <w:rPr>
          <w:i/>
          <w:iCs/>
        </w:rPr>
        <w:t xml:space="preserve"> </w:t>
      </w:r>
      <w:r>
        <w:rPr>
          <w:i/>
          <w:iCs/>
        </w:rPr>
        <w:t xml:space="preserve">v. Arizona</w:t>
      </w:r>
      <w:r>
        <w:t xml:space="preserve">, 384 U.S. 436 (1966), not that they had conducted an illegal search under the Fourth Amendment.</w:t>
      </w:r>
      <w:r>
        <w:t xml:space="preserve"> </w:t>
      </w:r>
      <w:r>
        <w:rPr>
          <w:i/>
          <w:iCs/>
        </w:rPr>
        <w:t xml:space="preserve">Ehlers</w:t>
      </w:r>
      <w:r>
        <w:t xml:space="preserve">, 379 S.E.2d at 460.</w:t>
      </w:r>
    </w:p>
    <w:p>
      <w:pPr>
        <w:pStyle w:val="BodyText"/>
      </w:pPr>
      <w:r>
        <w:t xml:space="preserve">The distinction is significant. While the Fifth Amendment’s self-incrimination clause requires courts to exclude evidence obtained through unconstitutionally coerced confessions,</w:t>
      </w:r>
      <w:r>
        <w:t xml:space="preserve"> </w:t>
      </w:r>
      <w:r>
        <w:rPr>
          <w:i/>
          <w:iCs/>
        </w:rPr>
        <w:t xml:space="preserve">Dickerson</w:t>
      </w:r>
      <w:r>
        <w:rPr>
          <w:i/>
          <w:iCs/>
        </w:rPr>
        <w:t xml:space="preserve"> </w:t>
      </w:r>
      <w:r>
        <w:rPr>
          <w:i/>
          <w:iCs/>
        </w:rPr>
        <w:t xml:space="preserve">v. United States</w:t>
      </w:r>
      <w:r>
        <w:t xml:space="preserve">, 530 U.S. 428, 434–35 (2000), its guarantee expressly applies only in “criminal case[s],” U.S.</w:t>
      </w:r>
      <w:r>
        <w:t xml:space="preserve"> </w:t>
      </w:r>
      <w:r>
        <w:t xml:space="preserve">Const. amend. V. By contrast, the Fourth Amendment’s safeguard against unreasonable searches and seizures applies across the board.</w:t>
      </w:r>
      <w:r>
        <w:t xml:space="preserve"> </w:t>
      </w:r>
      <w:r>
        <w:rPr>
          <w:i/>
          <w:iCs/>
        </w:rPr>
        <w:t xml:space="preserve">See</w:t>
      </w:r>
      <w:r>
        <w:t xml:space="preserve"> </w:t>
      </w:r>
      <w:r>
        <w:rPr>
          <w:i/>
          <w:iCs/>
        </w:rPr>
        <w:t xml:space="preserve">Camara</w:t>
      </w:r>
      <w:r>
        <w:t xml:space="preserve">, 387 U.S. at 530; pp. 6–7, above.</w:t>
      </w:r>
    </w:p>
    <w:p>
      <w:pPr>
        <w:pStyle w:val="BodyText"/>
      </w:pPr>
      <w:r>
        <w:t xml:space="preserve">Moreover,</w:t>
      </w:r>
      <w:r>
        <w:t xml:space="preserve"> </w:t>
      </w:r>
      <w:r>
        <w:rPr>
          <w:i/>
          <w:iCs/>
        </w:rPr>
        <w:t xml:space="preserve">Ehlers</w:t>
      </w:r>
      <w:r>
        <w:t xml:space="preserve"> </w:t>
      </w:r>
      <w:r>
        <w:t xml:space="preserve">held that “there was no Fifth Amendment violation,” so there was nothing to exclude under any portion of the U.S. Constitution, much less the Fourth Amendment. 379</w:t>
      </w:r>
      <w:r>
        <w:t xml:space="preserve"> </w:t>
      </w:r>
      <w:r>
        <w:t xml:space="preserve">S.E.2d at 461. Accordingly, the Court’s passing “opinion” that “the Fourth Amendment exclusionary rule should not be extended from criminal cases to civil cases,”</w:t>
      </w:r>
      <w:r>
        <w:t xml:space="preserve"> </w:t>
      </w:r>
      <w:r>
        <w:rPr>
          <w:i/>
          <w:iCs/>
        </w:rPr>
        <w:t xml:space="preserve">id.</w:t>
      </w:r>
      <w:r>
        <w:t xml:space="preserve"> </w:t>
      </w:r>
      <w:r>
        <w:t xml:space="preserve">at 462 (quoted in County Br. 15 n.53)—in a case having “nothing whatever to do with the Fourth Amendment,”</w:t>
      </w:r>
      <w:r>
        <w:t xml:space="preserve"> </w:t>
      </w:r>
      <w:r>
        <w:rPr>
          <w:i/>
          <w:iCs/>
        </w:rPr>
        <w:t xml:space="preserve">id.</w:t>
      </w:r>
      <w:r>
        <w:t xml:space="preserve"> </w:t>
      </w:r>
      <w:r>
        <w:t xml:space="preserve">at 460—is not “binding precedent.”</w:t>
      </w:r>
      <w:r>
        <w:t xml:space="preserve"> </w:t>
      </w:r>
      <w:r>
        <w:rPr>
          <w:i/>
          <w:iCs/>
        </w:rPr>
        <w:t xml:space="preserve">Jones</w:t>
      </w:r>
      <w:r>
        <w:rPr>
          <w:i/>
          <w:iCs/>
        </w:rPr>
        <w:t xml:space="preserve"> </w:t>
      </w:r>
      <w:r>
        <w:rPr>
          <w:i/>
          <w:iCs/>
        </w:rPr>
        <w:t xml:space="preserve">v. Commonwealth</w:t>
      </w:r>
      <w:r>
        <w:t xml:space="preserve">, 795 S.E.2d 705, 721 (Va. 2017);</w:t>
      </w:r>
      <w:r>
        <w:t xml:space="preserve"> </w:t>
      </w:r>
      <w:r>
        <w:rPr>
          <w:i/>
          <w:iCs/>
        </w:rPr>
        <w:t xml:space="preserve">see also</w:t>
      </w:r>
      <w:r>
        <w:t xml:space="preserve"> </w:t>
      </w:r>
      <w:r>
        <w:rPr>
          <w:i/>
          <w:iCs/>
        </w:rPr>
        <w:t xml:space="preserve">Sarafin</w:t>
      </w:r>
      <w:r>
        <w:rPr>
          <w:i/>
          <w:iCs/>
        </w:rPr>
        <w:t xml:space="preserve"> </w:t>
      </w:r>
      <w:r>
        <w:rPr>
          <w:i/>
          <w:iCs/>
        </w:rPr>
        <w:t xml:space="preserve">v. Commonwealth</w:t>
      </w:r>
      <w:r>
        <w:t xml:space="preserve">, 764 S.E.2d 71, 77 (Va. 2014);</w:t>
      </w:r>
      <w:r>
        <w:t xml:space="preserve"> </w:t>
      </w:r>
      <w:r>
        <w:rPr>
          <w:i/>
          <w:iCs/>
        </w:rPr>
        <w:t xml:space="preserve">Vasquez</w:t>
      </w:r>
      <w:r>
        <w:rPr>
          <w:i/>
          <w:iCs/>
        </w:rPr>
        <w:t xml:space="preserve"> </w:t>
      </w:r>
      <w:r>
        <w:rPr>
          <w:i/>
          <w:iCs/>
        </w:rPr>
        <w:t xml:space="preserve">v. Commonwealth</w:t>
      </w:r>
      <w:r>
        <w:t xml:space="preserve">, 781 S.E.2d 920, 926 (Va. 2016).</w:t>
      </w:r>
    </w:p>
    <w:p>
      <w:pPr>
        <w:pStyle w:val="BodyText"/>
      </w:pPr>
      <w:r>
        <w:t xml:space="preserve">The context of that passing statement, moreover, makes it unlikely the Court intended to do anything more than preclude painting a Fourth Amendment-style exclusionary rule onto Fifth Amendment cases. After all, the relevant section of the opinion begins by chiding the trial court for “apply[ing] Fourth Amendment principles by analogy to … a Fifth Amendment problem.”</w:t>
      </w:r>
      <w:r>
        <w:t xml:space="preserve"> </w:t>
      </w:r>
      <w:r>
        <w:rPr>
          <w:i/>
          <w:iCs/>
        </w:rPr>
        <w:t xml:space="preserve">Ehlers</w:t>
      </w:r>
      <w:r>
        <w:t xml:space="preserve">, 379 S.E.2d at 461. In fact, the Court lauded the exclusionary rule as the only “effective way to protect the rights preserved by the Fourth Amendment.”</w:t>
      </w:r>
      <w:r>
        <w:t xml:space="preserve"> </w:t>
      </w:r>
      <w:r>
        <w:rPr>
          <w:i/>
          <w:iCs/>
        </w:rPr>
        <w:t xml:space="preserve">Id.</w:t>
      </w:r>
      <w:r>
        <w:t xml:space="preserve"> </w:t>
      </w:r>
      <w:r>
        <w:t xml:space="preserve">at 462. The County’s reading—that the Court would so broadly foreclose the exclusionary rule while so loudly singing its praises—simply does not make sense.</w:t>
      </w:r>
    </w:p>
    <w:p>
      <w:pPr>
        <w:pStyle w:val="BodyText"/>
      </w:pPr>
      <w:r>
        <w:t xml:space="preserve">In sum, the U.S. Supreme Court has held again and again that whether the exclusionary rule should be applied in any given case turns on a “rigorous weighing of its costs and deterrence benefits.”</w:t>
      </w:r>
      <w:r>
        <w:t xml:space="preserve"> </w:t>
      </w:r>
      <w:r>
        <w:rPr>
          <w:i/>
          <w:iCs/>
        </w:rPr>
        <w:t xml:space="preserve">Davis</w:t>
      </w:r>
      <w:r>
        <w:t xml:space="preserve">, 564 U.S. at 238. Courts around the country have applied that standard and have consequently excluded unlawfully obtained evidence in a wide range of civil proceedings. To hold otherwise here—or to hold that</w:t>
      </w:r>
      <w:r>
        <w:t xml:space="preserve"> </w:t>
      </w:r>
      <w:r>
        <w:rPr>
          <w:i/>
          <w:iCs/>
        </w:rPr>
        <w:t xml:space="preserve">Ehlers</w:t>
      </w:r>
      <w:r>
        <w:t xml:space="preserve"> </w:t>
      </w:r>
      <w:r>
        <w:t xml:space="preserve">mandates that result—would require a significant break from precedent.</w:t>
      </w:r>
    </w:p>
    <w:p>
      <w:pPr>
        <w:keepNext/>
        <w:keepLines/>
        <w:spacing w:before="308" w:after="168" w:line="322" w:lineRule="exact"/>
        <w:ind w:left="0" w:firstLine="0"/>
        <w:jc w:val="left"/>
      </w:pPr>
      <w:r>
        <w:rPr>
          <w:b/>
          <w:bCs/>
          <w:i/>
          <w:iCs/>
        </w:rPr>
        <w:t xml:space="preserve">The</w:t>
      </w:r>
      <w:r>
        <w:rPr>
          <w:b/>
          <w:bCs/>
          <w:i/>
          <w:iCs/>
        </w:rPr>
        <w:t xml:space="preserve"> </w:t>
      </w:r>
      <w:r>
        <w:rPr>
          <w:b/>
          <w:bCs/>
          <w:i/>
          <w:iCs/>
        </w:rPr>
        <w:t xml:space="preserve">benefits</w:t>
      </w:r>
      <w:r>
        <w:rPr>
          <w:b/>
          <w:bCs/>
          <w:i/>
          <w:iCs/>
        </w:rPr>
        <w:t xml:space="preserve"> </w:t>
      </w:r>
      <w:r>
        <w:rPr>
          <w:b/>
          <w:bCs/>
          <w:i/>
          <w:iCs/>
        </w:rPr>
        <w:t xml:space="preserve">of</w:t>
      </w:r>
      <w:r>
        <w:rPr>
          <w:b/>
          <w:bCs/>
          <w:i/>
          <w:iCs/>
        </w:rPr>
        <w:t xml:space="preserve"> </w:t>
      </w:r>
      <w:r>
        <w:rPr>
          <w:b/>
          <w:bCs/>
          <w:i/>
          <w:iCs/>
        </w:rPr>
        <w:t xml:space="preserve">deterring</w:t>
      </w:r>
      <w:r>
        <w:rPr>
          <w:b/>
          <w:bCs/>
          <w:i/>
          <w:iCs/>
        </w:rPr>
        <w:t xml:space="preserve"> </w:t>
      </w:r>
      <w:r>
        <w:rPr>
          <w:b/>
          <w:bCs/>
          <w:i/>
          <w:iCs/>
        </w:rPr>
        <w:t xml:space="preserve">zoning</w:t>
      </w:r>
      <w:r>
        <w:rPr>
          <w:b/>
          <w:bCs/>
          <w:i/>
          <w:iCs/>
        </w:rPr>
        <w:t xml:space="preserve"> </w:t>
      </w:r>
      <w:r>
        <w:rPr>
          <w:b/>
          <w:bCs/>
          <w:i/>
          <w:iCs/>
        </w:rPr>
        <w:t xml:space="preserve">officers</w:t>
      </w:r>
      <w:r>
        <w:rPr>
          <w:b/>
          <w:bCs/>
          <w:i/>
          <w:iCs/>
        </w:rPr>
        <w:t xml:space="preserve"> </w:t>
      </w:r>
      <w:r>
        <w:rPr>
          <w:b/>
          <w:bCs/>
          <w:i/>
          <w:iCs/>
        </w:rPr>
        <w:t xml:space="preserve">from</w:t>
      </w:r>
      <w:r>
        <w:rPr>
          <w:b/>
          <w:bCs/>
          <w:i/>
          <w:iCs/>
        </w:rPr>
        <w:t xml:space="preserve"> </w:t>
      </w:r>
      <w:r>
        <w:rPr>
          <w:b/>
          <w:bCs/>
          <w:i/>
          <w:iCs/>
        </w:rPr>
        <w:t xml:space="preserve">rifling</w:t>
      </w:r>
      <w:r>
        <w:rPr>
          <w:b/>
          <w:bCs/>
          <w:i/>
          <w:iCs/>
        </w:rPr>
        <w:t xml:space="preserve"> </w:t>
      </w:r>
      <w:r>
        <w:rPr>
          <w:b/>
          <w:bCs/>
          <w:i/>
          <w:iCs/>
        </w:rPr>
        <w:t xml:space="preserve">through</w:t>
      </w:r>
      <w:r>
        <w:rPr>
          <w:b/>
          <w:bCs/>
          <w:i/>
          <w:iCs/>
        </w:rPr>
        <w:t xml:space="preserve"> </w:t>
      </w:r>
      <w:r>
        <w:rPr>
          <w:b/>
          <w:bCs/>
          <w:i/>
          <w:iCs/>
        </w:rPr>
        <w:t xml:space="preserve">private</w:t>
      </w:r>
      <w:r>
        <w:rPr>
          <w:b/>
          <w:bCs/>
          <w:i/>
          <w:iCs/>
        </w:rPr>
        <w:t xml:space="preserve"> </w:t>
      </w:r>
      <w:r>
        <w:rPr>
          <w:b/>
          <w:bCs/>
          <w:i/>
          <w:iCs/>
        </w:rPr>
        <w:t xml:space="preserve">homes</w:t>
      </w:r>
      <w:r>
        <w:rPr>
          <w:b/>
          <w:bCs/>
          <w:i/>
          <w:iCs/>
        </w:rPr>
        <w:t xml:space="preserve"> </w:t>
      </w:r>
      <w:r>
        <w:rPr>
          <w:b/>
          <w:bCs/>
          <w:i/>
          <w:iCs/>
        </w:rPr>
        <w:t xml:space="preserve">without</w:t>
      </w:r>
      <w:r>
        <w:rPr>
          <w:b/>
          <w:bCs/>
          <w:i/>
          <w:iCs/>
        </w:rPr>
        <w:t xml:space="preserve"> </w:t>
      </w:r>
      <w:r>
        <w:rPr>
          <w:b/>
          <w:bCs/>
          <w:i/>
          <w:iCs/>
        </w:rPr>
        <w:t xml:space="preserve">a</w:t>
      </w:r>
      <w:r>
        <w:rPr>
          <w:b/>
          <w:bCs/>
          <w:i/>
          <w:iCs/>
        </w:rPr>
        <w:t xml:space="preserve"> </w:t>
      </w:r>
      <w:r>
        <w:rPr>
          <w:b/>
          <w:bCs/>
          <w:i/>
          <w:iCs/>
        </w:rPr>
        <w:t xml:space="preserve">warrant</w:t>
      </w:r>
      <w:r>
        <w:rPr>
          <w:b/>
          <w:bCs/>
          <w:i/>
          <w:iCs/>
        </w:rPr>
        <w:t xml:space="preserve"> </w:t>
      </w:r>
      <w:r>
        <w:rPr>
          <w:b/>
          <w:bCs/>
          <w:i/>
          <w:iCs/>
        </w:rPr>
        <w:t xml:space="preserve">outweigh</w:t>
      </w:r>
      <w:r>
        <w:rPr>
          <w:b/>
          <w:bCs/>
          <w:i/>
          <w:iCs/>
        </w:rPr>
        <w:t xml:space="preserve"> </w:t>
      </w:r>
      <w:r>
        <w:rPr>
          <w:b/>
          <w:bCs/>
          <w:i/>
          <w:iCs/>
        </w:rPr>
        <w:t xml:space="preserve">the</w:t>
      </w:r>
      <w:r>
        <w:rPr>
          <w:b/>
          <w:bCs/>
          <w:i/>
          <w:iCs/>
        </w:rPr>
        <w:t xml:space="preserve"> </w:t>
      </w:r>
      <w:r>
        <w:rPr>
          <w:b/>
          <w:bCs/>
          <w:i/>
          <w:iCs/>
        </w:rPr>
        <w:t xml:space="preserve">minimal</w:t>
      </w:r>
      <w:r>
        <w:rPr>
          <w:b/>
          <w:bCs/>
          <w:i/>
          <w:iCs/>
        </w:rPr>
        <w:t xml:space="preserve"> </w:t>
      </w:r>
      <w:r>
        <w:rPr>
          <w:b/>
          <w:bCs/>
          <w:i/>
          <w:iCs/>
        </w:rPr>
        <w:t xml:space="preserve">cost</w:t>
      </w:r>
      <w:r>
        <w:rPr>
          <w:b/>
          <w:bCs/>
          <w:i/>
          <w:iCs/>
        </w:rPr>
        <w:t xml:space="preserve"> </w:t>
      </w:r>
      <w:r>
        <w:rPr>
          <w:b/>
          <w:bCs/>
          <w:i/>
          <w:iCs/>
        </w:rPr>
        <w:t xml:space="preserve">of</w:t>
      </w:r>
      <w:r>
        <w:rPr>
          <w:b/>
          <w:bCs/>
          <w:i/>
          <w:iCs/>
        </w:rPr>
        <w:t xml:space="preserve"> </w:t>
      </w:r>
      <w:r>
        <w:rPr>
          <w:b/>
          <w:bCs/>
          <w:i/>
          <w:iCs/>
        </w:rPr>
        <w:t xml:space="preserve">suppression</w:t>
      </w:r>
      <w:r>
        <w:rPr>
          <w:b/>
          <w:bCs/>
          <w:i/>
          <w:iCs/>
        </w:rPr>
        <w:t xml:space="preserve"> </w:t>
      </w:r>
      <w:r>
        <w:rPr>
          <w:b/>
          <w:bCs/>
          <w:i/>
          <w:iCs/>
        </w:rPr>
        <w:t xml:space="preserve">here.</w:t>
      </w:r>
    </w:p>
    <w:p>
      <w:pPr>
        <w:pStyle w:val="BodyText"/>
      </w:pPr>
      <w:r>
        <w:t xml:space="preserve">The U.S. Supreme Court has identified factors informing how to balance the exclusionary rule’s deterrence benefits against its costs. Through its cases, it has outlined circumstances in which the deterrence benefits of suppression would be too marginal, or the costs too high, to justify applying the rule. Applying that standard here, none of the circumstances cautioning against suppression are present.</w:t>
      </w:r>
    </w:p>
    <w:p>
      <w:pPr>
        <w:pStyle w:val="BodyText"/>
      </w:pPr>
      <w:r>
        <w:t xml:space="preserve">1. Deterrence. The very “purpose” of the exclusionary rule “is to deter—to compel respect for the constitutional guaranty in the only effectively available way—by removing the incentive to disregard it.”</w:t>
      </w:r>
      <w:r>
        <w:t xml:space="preserve"> </w:t>
      </w:r>
      <w:r>
        <w:rPr>
          <w:i/>
          <w:iCs/>
        </w:rPr>
        <w:t xml:space="preserve">United</w:t>
      </w:r>
      <w:r>
        <w:rPr>
          <w:i/>
          <w:iCs/>
        </w:rPr>
        <w:t xml:space="preserve"> </w:t>
      </w:r>
      <w:r>
        <w:rPr>
          <w:i/>
          <w:iCs/>
        </w:rPr>
        <w:t xml:space="preserve">States v. Calandra</w:t>
      </w:r>
      <w:r>
        <w:t xml:space="preserve">, 414 U.S. 338, 347 (1974) (citation omitted). Excluding the evidence Officer Enos gathered from his warrantless search of Ms. Leach-Lewis’s home would deter him and other zoning officers from similar unconstitutional conduct going forward.</w:t>
      </w:r>
    </w:p>
    <w:p>
      <w:pPr>
        <w:pStyle w:val="BodyText"/>
      </w:pPr>
      <w:r>
        <w:t xml:space="preserve">a. The U.S. Supreme Court has recognized that the exclusionary rule best serves its deterrence goal when the “punishment” of exclusion “is the removal of [] evidence” from a case within “the offending officer’s zone of primary interest.”</w:t>
      </w:r>
      <w:r>
        <w:t xml:space="preserve"> </w:t>
      </w:r>
      <w:r>
        <w:rPr>
          <w:i/>
          <w:iCs/>
        </w:rPr>
        <w:t xml:space="preserve">United</w:t>
      </w:r>
      <w:r>
        <w:rPr>
          <w:i/>
          <w:iCs/>
        </w:rPr>
        <w:t xml:space="preserve"> </w:t>
      </w:r>
      <w:r>
        <w:rPr>
          <w:i/>
          <w:iCs/>
        </w:rPr>
        <w:t xml:space="preserve">States v. Janis</w:t>
      </w:r>
      <w:r>
        <w:t xml:space="preserve">, 428 U.S. 433, 458 (1976). Where the exclusion would occur outside that zone of interest—that is, in a case that the searching officer would not have had in mind when he conducted the search—the rule’s application may not be justified.</w:t>
      </w:r>
    </w:p>
    <w:p>
      <w:pPr>
        <w:pStyle w:val="BodyTextNote"/>
      </w:pPr>
      <w:r>
        <w:t xml:space="preserve">In</w:t>
      </w:r>
      <w:r>
        <w:t xml:space="preserve"> </w:t>
      </w:r>
      <w:r>
        <w:rPr>
          <w:i/>
          <w:iCs/>
        </w:rPr>
        <w:t xml:space="preserve">Janis</w:t>
      </w:r>
      <w:r>
        <w:t xml:space="preserve">, for example, the searching state-level criminal-law investigator was already “punished” for his illegal search “by the exclusion of the evidence in [a] state criminal trial.”</w:t>
      </w:r>
      <w:r>
        <w:t xml:space="preserve"> </w:t>
      </w:r>
      <w:r>
        <w:rPr>
          <w:i/>
          <w:iCs/>
        </w:rPr>
        <w:t xml:space="preserve">Id.</w:t>
      </w:r>
      <w:r>
        <w:t xml:space="preserve"> </w:t>
      </w:r>
      <w:r>
        <w:t xml:space="preserve">at 448. So the Court held that exclusion of that same evidence from a subsequent federal tax proceeding, brought by a different agency and outside the officer’s “zone of primary interest,” was “unlikely to provide significant … additional deterrence.”</w:t>
      </w:r>
      <w:r>
        <w:t xml:space="preserve"> </w:t>
      </w:r>
      <w:r>
        <w:rPr>
          <w:i/>
          <w:iCs/>
        </w:rPr>
        <w:t xml:space="preserve">Id.</w:t>
      </w:r>
      <w:r>
        <w:t xml:space="preserve"> </w:t>
      </w:r>
      <w:r>
        <w:t xml:space="preserve">at 448, 458. Here, by contrast, the County zoning officer barged into a person’s home solely to obtain evidence for the County’s enforcement of its zoning code.</w:t>
      </w:r>
      <w:r>
        <w:rPr>
          <w:rStyle w:val="FootnoteReference"/>
        </w:rPr>
        <w:footnoteReference w:id="12"/>
      </w:r>
      <w:r>
        <w:t xml:space="preserve"> </w:t>
      </w:r>
      <w:r>
        <w:t xml:space="preserve">The exclusionary rule would self-evidently serve its deterrence purpose here.</w:t>
      </w:r>
    </w:p>
    <w:p>
      <w:pPr>
        <w:pStyle w:val="BodyText"/>
      </w:pPr>
      <w:r>
        <w:t xml:space="preserve">b. Some courts are also more reluctant to suppress evidence obtained in good-faith reliance on an outside source of authority. But that is not what happened here.</w:t>
      </w:r>
    </w:p>
    <w:p>
      <w:pPr>
        <w:pStyle w:val="BodyText"/>
      </w:pPr>
      <w:r>
        <w:t xml:space="preserve">In</w:t>
      </w:r>
      <w:r>
        <w:t xml:space="preserve"> </w:t>
      </w:r>
      <w:r>
        <w:rPr>
          <w:i/>
          <w:iCs/>
        </w:rPr>
        <w:t xml:space="preserve">United States v. Leon</w:t>
      </w:r>
      <w:r>
        <w:t xml:space="preserve">, for example, the U.S. Supreme Court held that suppressing evidence investigators had gathered “in objectively reasonable reliance” on a later-invalidated search warrant (because it was issued without probable cause) would not meaningfully deter future illegal searches by those same investigators. 468</w:t>
      </w:r>
      <w:r>
        <w:t xml:space="preserve"> </w:t>
      </w:r>
      <w:r>
        <w:t xml:space="preserve">U.S. 897, 922 (1984). The Court explained that it is a “magistrate’s responsibility to determine whether the officer’s allegations establish probable cause.”</w:t>
      </w:r>
      <w:r>
        <w:t xml:space="preserve"> </w:t>
      </w:r>
      <w:r>
        <w:rPr>
          <w:i/>
          <w:iCs/>
        </w:rPr>
        <w:t xml:space="preserve">Id.</w:t>
      </w:r>
      <w:r>
        <w:t xml:space="preserve"> </w:t>
      </w:r>
      <w:r>
        <w:t xml:space="preserve">at 921. An officer who otherwise followed proper procedures in applying for a warrant, the Court held, “cannot be expected to question” the magistrate’s conclusion, and it would not make sense to “[p]enaliz[e] the officer” by excluding evidence for “the magistrate’s error.”</w:t>
      </w:r>
      <w:r>
        <w:t xml:space="preserve"> </w:t>
      </w:r>
      <w:r>
        <w:rPr>
          <w:i/>
          <w:iCs/>
        </w:rPr>
        <w:t xml:space="preserve">Id.</w:t>
      </w:r>
    </w:p>
    <w:p>
      <w:pPr>
        <w:pStyle w:val="BodyTextNote"/>
      </w:pPr>
      <w:r>
        <w:t xml:space="preserve">Similarly, in</w:t>
      </w:r>
      <w:r>
        <w:t xml:space="preserve"> </w:t>
      </w:r>
      <w:r>
        <w:rPr>
          <w:i/>
          <w:iCs/>
        </w:rPr>
        <w:t xml:space="preserve">Herring v. United States</w:t>
      </w:r>
      <w:r>
        <w:t xml:space="preserve">, the U.S. Supreme Court held that exclusion would not deter an officer whose search of a defendant was unlawful only because the information in a police database he relied on, which showed an active arrest warrant for the defendant, turned out to be inaccurate. 555</w:t>
      </w:r>
      <w:r>
        <w:t xml:space="preserve"> </w:t>
      </w:r>
      <w:r>
        <w:t xml:space="preserve">U.S. 135, 137 (2009). The Court stated that “police conduct must be sufficiently deliberate that exclusion can meaningfully deter it,” and because the search’s illegality stemmed from the “isolated negligence” of a clerical employee, rather than the officer’s misdeeds, the Court concluded that the search at issue did not fit the bill.</w:t>
      </w:r>
      <w:r>
        <w:t xml:space="preserve"> </w:t>
      </w:r>
      <w:r>
        <w:rPr>
          <w:i/>
          <w:iCs/>
        </w:rPr>
        <w:t xml:space="preserve">Id.</w:t>
      </w:r>
      <w:r>
        <w:t xml:space="preserve"> </w:t>
      </w:r>
      <w:r>
        <w:t xml:space="preserve">at 137, 144.</w:t>
      </w:r>
      <w:r>
        <w:rPr>
          <w:rStyle w:val="FootnoteReference"/>
        </w:rPr>
        <w:footnoteReference w:id="13"/>
      </w:r>
    </w:p>
    <w:p>
      <w:pPr>
        <w:pStyle w:val="BodyText"/>
      </w:pPr>
      <w:r>
        <w:t xml:space="preserve">Unlike these examples, Officer Enos did not rely on a warrant that turned out to be invalid. He did not apply for a warrant at all. Nor is it plausible that he relied in good faith on the warrant the police had for an unrelated investigation. The police explicitly “clarified that the zoning department could ‘not go off their warrant.’”</w:t>
      </w:r>
      <w:r>
        <w:t xml:space="preserve"> </w:t>
      </w:r>
      <w:r>
        <w:rPr>
          <w:i/>
          <w:iCs/>
        </w:rPr>
        <w:t xml:space="preserve">Leach-Lewis</w:t>
      </w:r>
      <w:r>
        <w:rPr>
          <w:i/>
          <w:iCs/>
        </w:rPr>
        <w:t xml:space="preserve"> </w:t>
      </w:r>
      <w:r>
        <w:rPr>
          <w:i/>
          <w:iCs/>
        </w:rPr>
        <w:t xml:space="preserve">v. Bd. of Supervisors</w:t>
      </w:r>
      <w:r>
        <w:t xml:space="preserve">, No. 0815-⁠22-⁠4, 2023 WL 3956770, at *1 (Va. Ct. App. June 13, 2023). Zoning officers had no authority to be inside Ms. Leach-Lewis’s home, and any “objectively reasonable” officer should have known it.</w:t>
      </w:r>
      <w:r>
        <w:t xml:space="preserve"> </w:t>
      </w:r>
      <w:r>
        <w:rPr>
          <w:i/>
          <w:iCs/>
        </w:rPr>
        <w:t xml:space="preserve">Herring</w:t>
      </w:r>
      <w:r>
        <w:t xml:space="preserve">, 555 U.S. at 142 (citing</w:t>
      </w:r>
      <w:r>
        <w:t xml:space="preserve"> </w:t>
      </w:r>
      <w:r>
        <w:rPr>
          <w:i/>
          <w:iCs/>
        </w:rPr>
        <w:t xml:space="preserve">Leon</w:t>
      </w:r>
      <w:r>
        <w:t xml:space="preserve">, 468 U.S. at 922 n.23). Suppressing the fruits of that unreasonable entry will serve the exclusionary rule’s purpose of providing “pressure” on zoning officials to “adhere[]” to the Fourth Amendment’s requirements going forward.</w:t>
      </w:r>
      <w:r>
        <w:t xml:space="preserve"> </w:t>
      </w:r>
      <w:r>
        <w:rPr>
          <w:i/>
          <w:iCs/>
        </w:rPr>
        <w:t xml:space="preserve">Ehlers</w:t>
      </w:r>
      <w:r>
        <w:t xml:space="preserve">, 379 S.E.2d at 462.</w:t>
      </w:r>
    </w:p>
    <w:p>
      <w:pPr>
        <w:pStyle w:val="BodyText"/>
      </w:pPr>
      <w:r>
        <w:t xml:space="preserve">2. Costs. The costs of achieving the deterrence benefits of exclusion here would be minimal, further supporting application of the exclusionary rule.</w:t>
      </w:r>
    </w:p>
    <w:p>
      <w:pPr>
        <w:pStyle w:val="BodyText"/>
      </w:pPr>
      <w:r>
        <w:t xml:space="preserve">a. Unlike applying the exclusionary rule in criminal cases, which may result in “letting … dangerous defendants go free,”</w:t>
      </w:r>
      <w:r>
        <w:t xml:space="preserve"> </w:t>
      </w:r>
      <w:r>
        <w:rPr>
          <w:i/>
          <w:iCs/>
        </w:rPr>
        <w:t xml:space="preserve">Herring</w:t>
      </w:r>
      <w:r>
        <w:t xml:space="preserve">, 555 U.S. at 141, excluding evidence in zoning-code proceedings like those here—where Ms. Leach-Lewis is alleged to have used her home as a church office—risks nothing close to that level of societal harm.</w:t>
      </w:r>
    </w:p>
    <w:p>
      <w:pPr>
        <w:pStyle w:val="BodyText"/>
      </w:pPr>
      <w:r>
        <w:t xml:space="preserve">Other important differences between criminal law and zoning law illustrate those minimal costs. Unlike criminal law, the purpose of zoning enforcement is not to punish past transgressions, but—as Fairfax County’s zoning ordinance explains—to “ensure compliance with the provisions” of the zoning code. Fairfax</w:t>
      </w:r>
      <w:r>
        <w:t xml:space="preserve"> </w:t>
      </w:r>
      <w:r>
        <w:t xml:space="preserve">County Zoning Ordinance (FCZO) § 1108.1(G)⁠(4). Moreover, in criminal cases, where evidence from an illegal search is suppressed and results in acquittal, the Fifth Amendment’s Double Jeopardy Clause bars retrying a defendant for that same crime. But by its own terms, that protection does not apply to civil cases.</w:t>
      </w:r>
      <w:r>
        <w:t xml:space="preserve"> </w:t>
      </w:r>
      <w:r>
        <w:rPr>
          <w:i/>
          <w:iCs/>
        </w:rPr>
        <w:t xml:space="preserve">See</w:t>
      </w:r>
      <w:r>
        <w:t xml:space="preserve"> </w:t>
      </w:r>
      <w:r>
        <w:t xml:space="preserve">U.S.</w:t>
      </w:r>
      <w:r>
        <w:t xml:space="preserve"> </w:t>
      </w:r>
      <w:r>
        <w:t xml:space="preserve">Const. amend. V. Accordingly, in the zoning context, if the County has probable cause to believe a violation remains ongoing after evidence is suppressed, it can come back (with a warrant, this time) and investigate again. Va.</w:t>
      </w:r>
      <w:r>
        <w:t xml:space="preserve"> </w:t>
      </w:r>
      <w:r>
        <w:t xml:space="preserve">Code Ann. § 15.2-⁠228(A)⁠(16) (establishing procedures for zoning-inspection warrants). If the condition no longer exists, the County has gotten what it wanted: It has “ensure[d]” the property owner’s “compliance with the provisions” of the zoning code. FCZO</w:t>
      </w:r>
      <w:r>
        <w:t xml:space="preserve"> </w:t>
      </w:r>
      <w:r>
        <w:t xml:space="preserve">§ 1108.1(G)⁠(4). And if the condition persists, the County can “[b]ring legal action” anew to remedy the condition,</w:t>
      </w:r>
      <w:r>
        <w:t xml:space="preserve"> </w:t>
      </w:r>
      <w:r>
        <w:rPr>
          <w:i/>
          <w:iCs/>
        </w:rPr>
        <w:t xml:space="preserve">id.</w:t>
      </w:r>
      <w:r>
        <w:t xml:space="preserve"> </w:t>
      </w:r>
      <w:r>
        <w:t xml:space="preserve">§ 1108.1(G)⁠(3), (4)—this time presenting evidence it gathered in compliance with the constitution’s demands.</w:t>
      </w:r>
    </w:p>
    <w:p>
      <w:pPr>
        <w:pStyle w:val="BodyText"/>
      </w:pPr>
      <w:r>
        <w:t xml:space="preserve">Seeking to inflate the costs, the County suggests that</w:t>
      </w:r>
      <w:r>
        <w:t xml:space="preserve"> </w:t>
      </w:r>
      <w:r>
        <w:rPr>
          <w:i/>
          <w:iCs/>
        </w:rPr>
        <w:t xml:space="preserve">INS</w:t>
      </w:r>
      <w:r>
        <w:rPr>
          <w:i/>
          <w:iCs/>
        </w:rPr>
        <w:t xml:space="preserve"> </w:t>
      </w:r>
      <w:r>
        <w:rPr>
          <w:i/>
          <w:iCs/>
        </w:rPr>
        <w:t xml:space="preserve">v. Lopez-Mendoza</w:t>
      </w:r>
      <w:r>
        <w:t xml:space="preserve">, 468 U.S. 1032, 1046 (1984), holds that the exclusionary rule does not “require the courts to close their eyes to ongoing violations of the law.” County Br. 15 n.53. But</w:t>
      </w:r>
      <w:r>
        <w:t xml:space="preserve"> </w:t>
      </w:r>
      <w:r>
        <w:rPr>
          <w:i/>
          <w:iCs/>
        </w:rPr>
        <w:t xml:space="preserve">Lopez-Mendoza</w:t>
      </w:r>
      <w:r>
        <w:t xml:space="preserve"> </w:t>
      </w:r>
      <w:r>
        <w:t xml:space="preserve">gives examples of the kinds of costly ongoing harms the Court was referring to: The exclusionary rule should not bar “ordering corrective action at a leaking hazardous waste dump” or require the return of “explosives.” 468</w:t>
      </w:r>
      <w:r>
        <w:t xml:space="preserve"> </w:t>
      </w:r>
      <w:r>
        <w:t xml:space="preserve">U.S. at 1046. The societal costs of aesthetic zoning violations contained within a private home rise nowhere near that level. Indeed, if a zoning case were to involve environmentally toxic chemicals or other genuinely dangerous conditions, that is precisely why the “exigent circumstances” exception to the warrant requirement exists.</w:t>
      </w:r>
      <w:r>
        <w:t xml:space="preserve"> </w:t>
      </w:r>
      <w:r>
        <w:rPr>
          <w:i/>
          <w:iCs/>
        </w:rPr>
        <w:t xml:space="preserve">E.g.</w:t>
      </w:r>
      <w:r>
        <w:t xml:space="preserve">,</w:t>
      </w:r>
      <w:r>
        <w:t xml:space="preserve"> </w:t>
      </w:r>
      <w:r>
        <w:rPr>
          <w:i/>
          <w:iCs/>
        </w:rPr>
        <w:t xml:space="preserve">United</w:t>
      </w:r>
      <w:r>
        <w:rPr>
          <w:i/>
          <w:iCs/>
        </w:rPr>
        <w:t xml:space="preserve"> </w:t>
      </w:r>
      <w:r>
        <w:rPr>
          <w:i/>
          <w:iCs/>
        </w:rPr>
        <w:t xml:space="preserve">States v. Lindsey</w:t>
      </w:r>
      <w:r>
        <w:t xml:space="preserve">, 877 F.2d 777, 781 (9th Cir. 1989) (“Exigent circumstances are frequently found when dangerous explosives are involved.”). The County has not argued for that exception here.</w:t>
      </w:r>
    </w:p>
    <w:p>
      <w:pPr>
        <w:pStyle w:val="BodyText"/>
      </w:pPr>
      <w:r>
        <w:t xml:space="preserve">b. Application of the exclusionary rule in zoning proceedings would also be easily administrable under the current enforcement process, further confirming that the costs of the rule are exceedingly low here.</w:t>
      </w:r>
    </w:p>
    <w:p>
      <w:pPr>
        <w:pStyle w:val="BodyText"/>
      </w:pPr>
      <w:r>
        <w:t xml:space="preserve">The first stop in Virginia zoning litigation is a hearing before the Board of Zoning Appeals, and the Board is competent to take in the facts necessary to decide a suppression motion. The General Assembly has equipped the Board with the power to compel witnesses to attend hearings and testify under oath. Va.</w:t>
      </w:r>
      <w:r>
        <w:t xml:space="preserve"> </w:t>
      </w:r>
      <w:r>
        <w:t xml:space="preserve">Code Ann. § 15.2-⁠2312. In addition, whatever the Board’s ability to render constitutional legal conclusions on exclusion of evidence, the circuit courts—which hear felony criminal cases every day—are no doubt accustomed to doing so. And property owners have an as-of-right appeal from the Board’s zoning proceeding to the circuit court, where they may introduce evidence anew under normal rules of evidence and have “any arguments on questions of law” heard de novo. Va.</w:t>
      </w:r>
      <w:r>
        <w:t xml:space="preserve"> </w:t>
      </w:r>
      <w:r>
        <w:t xml:space="preserve">Code Ann. § 15.2-⁠2314.</w:t>
      </w:r>
      <w:r>
        <w:t xml:space="preserve"> </w:t>
      </w:r>
      <w:r>
        <w:rPr>
          <w:i/>
          <w:iCs/>
        </w:rPr>
        <w:t xml:space="preserve">Cf.</w:t>
      </w:r>
      <w:r>
        <w:t xml:space="preserve"> </w:t>
      </w:r>
      <w:r>
        <w:rPr>
          <w:i/>
          <w:iCs/>
        </w:rPr>
        <w:t xml:space="preserve">Leach-Lewis</w:t>
      </w:r>
      <w:r>
        <w:t xml:space="preserve">, 2023 WL 3956770, at *2 (describing the Circuit Court proceedings as a “trial”).</w:t>
      </w:r>
    </w:p>
    <w:p>
      <w:pPr>
        <w:pStyle w:val="BodyText"/>
      </w:pPr>
      <w:r>
        <w:t xml:space="preserve">The zoning-enforcement process thus does not resemble proceedings that have raised workability concerns for the exclusionary rule in other contexts. The U.S. Supreme Court, for example, declined to apply the exclusionary rule to parole-revocation proceedings because those hearings are typically not “entirely adversarial” or governed by “traditional rules of evidence,” and the people who would rule on Fourth Amendment issues may not even be “judicial officers or lawyers.”</w:t>
      </w:r>
      <w:r>
        <w:t xml:space="preserve"> </w:t>
      </w:r>
      <w:r>
        <w:rPr>
          <w:i/>
          <w:iCs/>
        </w:rPr>
        <w:t xml:space="preserve">Pa.</w:t>
      </w:r>
      <w:r>
        <w:rPr>
          <w:i/>
          <w:iCs/>
        </w:rPr>
        <w:t xml:space="preserve"> </w:t>
      </w:r>
      <w:r>
        <w:rPr>
          <w:i/>
          <w:iCs/>
        </w:rPr>
        <w:t xml:space="preserve">Bd. of Prob. &amp; Parole v. Scott</w:t>
      </w:r>
      <w:r>
        <w:t xml:space="preserve">, 524 U.S. 357, 363–66 (1998). Similar concerns animated the Court’s refusal to apply the exclusionary rule to immigration-removal proceedings.</w:t>
      </w:r>
      <w:r>
        <w:t xml:space="preserve"> </w:t>
      </w:r>
      <w:r>
        <w:rPr>
          <w:i/>
          <w:iCs/>
        </w:rPr>
        <w:t xml:space="preserve">Id.</w:t>
      </w:r>
      <w:r>
        <w:t xml:space="preserve"> </w:t>
      </w:r>
      <w:r>
        <w:t xml:space="preserve">(citing</w:t>
      </w:r>
      <w:r>
        <w:t xml:space="preserve"> </w:t>
      </w:r>
      <w:r>
        <w:rPr>
          <w:i/>
          <w:iCs/>
        </w:rPr>
        <w:t xml:space="preserve">Lopez-Mendoza</w:t>
      </w:r>
      <w:r>
        <w:t xml:space="preserve">, 468 U.S. at 1050). It likewise rejected the exclusionary rule for grand-jury proceedings because they are “secret” and “unrestrained by [] technical procedural and evidentiary rules.”</w:t>
      </w:r>
      <w:r>
        <w:t xml:space="preserve"> </w:t>
      </w:r>
      <w:r>
        <w:rPr>
          <w:i/>
          <w:iCs/>
        </w:rPr>
        <w:t xml:space="preserve">United</w:t>
      </w:r>
      <w:r>
        <w:rPr>
          <w:i/>
          <w:iCs/>
        </w:rPr>
        <w:t xml:space="preserve"> </w:t>
      </w:r>
      <w:r>
        <w:rPr>
          <w:i/>
          <w:iCs/>
        </w:rPr>
        <w:t xml:space="preserve">States v. Calandra</w:t>
      </w:r>
      <w:r>
        <w:t xml:space="preserve">, 414 U.S. 338, 343 (1974). In contrast, as discussed above, the Board and circuit court could easily apply the exclusionary rule in their existing proceedings.</w:t>
      </w:r>
    </w:p>
    <w:p>
      <w:pPr>
        <w:pStyle w:val="BodyTextNote"/>
      </w:pPr>
      <w:r>
        <w:t xml:space="preserve">In any event, the workability of holding suppression hearings was not dispositive; in those three cases, special factors not present here further limited the basis for the exclusionary rule. In both the grand-jury and parole-revocation context, for instance, it is likely that there will be a subsequent criminal trial, and deterrence can be achieved by excluding ill-gotten evidence in those subsequent proceedings.</w:t>
      </w:r>
      <w:r>
        <w:t xml:space="preserve"> </w:t>
      </w:r>
      <w:r>
        <w:rPr>
          <w:i/>
          <w:iCs/>
        </w:rPr>
        <w:t xml:space="preserve">Scott</w:t>
      </w:r>
      <w:r>
        <w:t xml:space="preserve">, 524 U.S. at 366–67;</w:t>
      </w:r>
      <w:r>
        <w:t xml:space="preserve"> </w:t>
      </w:r>
      <w:r>
        <w:rPr>
          <w:i/>
          <w:iCs/>
        </w:rPr>
        <w:t xml:space="preserve">Calandra</w:t>
      </w:r>
      <w:r>
        <w:t xml:space="preserve">, 414 U.S. at 351. As the County admits, though, criminal prosecutions stemming from zoning violations are “unlikely.” County Br. 25. Deterrence will be achieved by suppressing the unlawfully obtained evidence here or it will not be achieved at all. Further, both immigration-removal and parole-revocation cases arise from contexts where Fourth Amendment protections are already relaxed—so, in the Court’s view, there was simply less to deter.</w:t>
      </w:r>
      <w:r>
        <w:rPr>
          <w:rStyle w:val="FootnoteReference"/>
        </w:rPr>
        <w:footnoteReference w:id="14"/>
      </w:r>
      <w:r>
        <w:t xml:space="preserve"> </w:t>
      </w:r>
      <w:r>
        <w:t xml:space="preserve">Whatever the merits of the Court’s holdings in those contexts, the zoning officers here searched Ms. Leach-Lewis’s private home. And for Fourth Amendment purposes, the home is treated as “first among equals.”</w:t>
      </w:r>
      <w:r>
        <w:t xml:space="preserve"> </w:t>
      </w:r>
      <w:r>
        <w:rPr>
          <w:i/>
          <w:iCs/>
        </w:rPr>
        <w:t xml:space="preserve">Florida</w:t>
      </w:r>
      <w:r>
        <w:rPr>
          <w:i/>
          <w:iCs/>
        </w:rPr>
        <w:t xml:space="preserve"> </w:t>
      </w:r>
      <w:r>
        <w:rPr>
          <w:i/>
          <w:iCs/>
        </w:rPr>
        <w:t xml:space="preserve">v. Jardines</w:t>
      </w:r>
      <w:r>
        <w:t xml:space="preserve">, 569 U.S. 1, 6 (2013).</w:t>
      </w:r>
    </w:p>
    <w:p>
      <w:pPr>
        <w:pStyle w:val="BodyText"/>
      </w:pPr>
      <w:r>
        <w:t xml:space="preserve">In sum, the exclusionary rule would provide maximum deterrence benefits here with minimal costs.</w:t>
      </w:r>
      <w:r>
        <w:t xml:space="preserve"> </w:t>
      </w:r>
      <w:r>
        <w:rPr>
          <w:i/>
          <w:iCs/>
        </w:rPr>
        <w:t xml:space="preserve">See</w:t>
      </w:r>
      <w:r>
        <w:t xml:space="preserve"> </w:t>
      </w:r>
      <w:r>
        <w:rPr>
          <w:i/>
          <w:iCs/>
        </w:rPr>
        <w:t xml:space="preserve">Davis</w:t>
      </w:r>
      <w:r>
        <w:t xml:space="preserve">, 564 U.S. at 238 (requiring a “rigorous weighing of its costs and deterrence benefits”). Accordingly, under established precedent, the rule should be applied here.</w:t>
      </w:r>
    </w:p>
    <w:p>
      <w:pPr>
        <w:keepNext/>
        <w:keepLines/>
        <w:spacing w:before="308" w:after="168" w:line="322" w:lineRule="exact"/>
        <w:ind w:left="0" w:firstLine="0"/>
        <w:jc w:val="left"/>
      </w:pPr>
      <w:r>
        <w:rPr>
          <w:b/>
          <w:bCs/>
          <w:i/>
          <w:iCs/>
        </w:rPr>
        <w:t xml:space="preserve">Historical</w:t>
      </w:r>
      <w:r>
        <w:rPr>
          <w:b/>
          <w:bCs/>
          <w:i/>
          <w:iCs/>
        </w:rPr>
        <w:t xml:space="preserve"> </w:t>
      </w:r>
      <w:r>
        <w:rPr>
          <w:b/>
          <w:bCs/>
          <w:i/>
          <w:iCs/>
        </w:rPr>
        <w:t xml:space="preserve">and</w:t>
      </w:r>
      <w:r>
        <w:rPr>
          <w:b/>
          <w:bCs/>
          <w:i/>
          <w:iCs/>
        </w:rPr>
        <w:t xml:space="preserve"> </w:t>
      </w:r>
      <w:r>
        <w:rPr>
          <w:b/>
          <w:bCs/>
          <w:i/>
          <w:iCs/>
        </w:rPr>
        <w:t xml:space="preserve">modern</w:t>
      </w:r>
      <w:r>
        <w:rPr>
          <w:b/>
          <w:bCs/>
          <w:i/>
          <w:iCs/>
        </w:rPr>
        <w:t xml:space="preserve"> </w:t>
      </w:r>
      <w:r>
        <w:rPr>
          <w:b/>
          <w:bCs/>
          <w:i/>
          <w:iCs/>
        </w:rPr>
        <w:t xml:space="preserve">context</w:t>
      </w:r>
      <w:r>
        <w:rPr>
          <w:b/>
          <w:bCs/>
          <w:i/>
          <w:iCs/>
        </w:rPr>
        <w:t xml:space="preserve"> </w:t>
      </w:r>
      <w:r>
        <w:rPr>
          <w:b/>
          <w:bCs/>
          <w:i/>
          <w:iCs/>
        </w:rPr>
        <w:t xml:space="preserve">spotlights</w:t>
      </w:r>
      <w:r>
        <w:rPr>
          <w:b/>
          <w:bCs/>
          <w:i/>
          <w:iCs/>
        </w:rPr>
        <w:t xml:space="preserve"> </w:t>
      </w: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rule’s</w:t>
      </w:r>
      <w:r>
        <w:rPr>
          <w:b/>
          <w:bCs/>
          <w:i/>
          <w:iCs/>
        </w:rPr>
        <w:t xml:space="preserve"> </w:t>
      </w:r>
      <w:r>
        <w:rPr>
          <w:b/>
          <w:bCs/>
          <w:i/>
          <w:iCs/>
        </w:rPr>
        <w:t xml:space="preserve">essential</w:t>
      </w:r>
      <w:r>
        <w:rPr>
          <w:b/>
          <w:bCs/>
          <w:i/>
          <w:iCs/>
        </w:rPr>
        <w:t xml:space="preserve"> </w:t>
      </w:r>
      <w:r>
        <w:rPr>
          <w:b/>
          <w:bCs/>
          <w:i/>
          <w:iCs/>
        </w:rPr>
        <w:t xml:space="preserve">role</w:t>
      </w:r>
      <w:r>
        <w:rPr>
          <w:b/>
          <w:bCs/>
          <w:i/>
          <w:iCs/>
        </w:rPr>
        <w:t xml:space="preserve"> </w:t>
      </w:r>
      <w:r>
        <w:rPr>
          <w:b/>
          <w:bCs/>
          <w:i/>
          <w:iCs/>
        </w:rPr>
        <w:t xml:space="preserve">in</w:t>
      </w:r>
      <w:r>
        <w:rPr>
          <w:b/>
          <w:bCs/>
          <w:i/>
          <w:iCs/>
        </w:rPr>
        <w:t xml:space="preserve"> </w:t>
      </w:r>
      <w:r>
        <w:rPr>
          <w:b/>
          <w:bCs/>
          <w:i/>
          <w:iCs/>
        </w:rPr>
        <w:t xml:space="preserve">securing</w:t>
      </w:r>
      <w:r>
        <w:rPr>
          <w:b/>
          <w:bCs/>
          <w:i/>
          <w:iCs/>
        </w:rPr>
        <w:t xml:space="preserve"> </w:t>
      </w:r>
      <w:r>
        <w:rPr>
          <w:b/>
          <w:bCs/>
          <w:i/>
          <w:iCs/>
        </w:rPr>
        <w:t xml:space="preserve">Fourth</w:t>
      </w:r>
      <w:r>
        <w:rPr>
          <w:b/>
          <w:bCs/>
          <w:i/>
          <w:iCs/>
        </w:rPr>
        <w:t xml:space="preserve"> </w:t>
      </w:r>
      <w:r>
        <w:rPr>
          <w:b/>
          <w:bCs/>
          <w:i/>
          <w:iCs/>
        </w:rPr>
        <w:t xml:space="preserve">Amendment</w:t>
      </w:r>
      <w:r>
        <w:rPr>
          <w:b/>
          <w:bCs/>
          <w:i/>
          <w:iCs/>
        </w:rPr>
        <w:t xml:space="preserve"> </w:t>
      </w:r>
      <w:r>
        <w:rPr>
          <w:b/>
          <w:bCs/>
          <w:i/>
          <w:iCs/>
        </w:rPr>
        <w:t xml:space="preserve">rights.</w:t>
      </w:r>
    </w:p>
    <w:p>
      <w:pPr>
        <w:pStyle w:val="BodyText"/>
      </w:pPr>
      <w:r>
        <w:t xml:space="preserve">Historical and modern context shows that adopting the County’s proposal to gut the exclusionary rule in all civil cases would open the door to “manifest neglect, if not [] open defiance” of our right to be free from unreasonable searches and seizures.</w:t>
      </w:r>
      <w:r>
        <w:t xml:space="preserve"> </w:t>
      </w:r>
      <w:r>
        <w:rPr>
          <w:i/>
          <w:iCs/>
        </w:rPr>
        <w:t xml:space="preserve">Weeks</w:t>
      </w:r>
      <w:r>
        <w:rPr>
          <w:i/>
          <w:iCs/>
        </w:rPr>
        <w:t xml:space="preserve"> </w:t>
      </w:r>
      <w:r>
        <w:rPr>
          <w:i/>
          <w:iCs/>
        </w:rPr>
        <w:t xml:space="preserve">v. United States</w:t>
      </w:r>
      <w:r>
        <w:t xml:space="preserve">, 232 U.S. 383, 394 (1914).</w:t>
      </w:r>
    </w:p>
    <w:p>
      <w:pPr>
        <w:pStyle w:val="BodyText"/>
      </w:pPr>
      <w:r>
        <w:t xml:space="preserve">Start with history. Since before the Founding, the right to be secure against unreasonable searches and seizures has occupied a cardinal place in our system of ordered liberty. “[T]he patriot James Otis’s 1761 speech condemning writs of assistance was ‘the first act of opposition to the arbitrary claims of Great Britain’ and helped spark the Revolution itself.”</w:t>
      </w:r>
      <w:r>
        <w:t xml:space="preserve"> </w:t>
      </w:r>
      <w:r>
        <w:rPr>
          <w:i/>
          <w:iCs/>
        </w:rPr>
        <w:t xml:space="preserve">Carpenter</w:t>
      </w:r>
      <w:r>
        <w:rPr>
          <w:i/>
          <w:iCs/>
        </w:rPr>
        <w:t xml:space="preserve"> </w:t>
      </w:r>
      <w:r>
        <w:rPr>
          <w:i/>
          <w:iCs/>
        </w:rPr>
        <w:t xml:space="preserve">v. United States</w:t>
      </w:r>
      <w:r>
        <w:t xml:space="preserve">, 138 S. Ct. 2206, 2213 (2018);</w:t>
      </w:r>
      <w:r>
        <w:t xml:space="preserve"> </w:t>
      </w:r>
      <w:r>
        <w:rPr>
          <w:i/>
          <w:iCs/>
        </w:rPr>
        <w:t xml:space="preserve">see also</w:t>
      </w:r>
      <w:r>
        <w:t xml:space="preserve"> </w:t>
      </w:r>
      <w:r>
        <w:t xml:space="preserve">1</w:t>
      </w:r>
      <w:r>
        <w:t xml:space="preserve"> </w:t>
      </w:r>
      <w:r>
        <w:t xml:space="preserve">A.E. Dick Howard,</w:t>
      </w:r>
      <w:r>
        <w:t xml:space="preserve"> </w:t>
      </w:r>
      <w:r>
        <w:rPr>
          <w:i/>
          <w:iCs/>
        </w:rPr>
        <w:t xml:space="preserve">Commentaries on the Constitution of Virginia</w:t>
      </w:r>
      <w:r>
        <w:t xml:space="preserve"> </w:t>
      </w:r>
      <w:r>
        <w:t xml:space="preserve">176–77 (1974) (noting that Otis’s arguments had a “profound” impact on “colonial thinkers” which bore “fruit in the constitutions that they drafted”).</w:t>
      </w:r>
    </w:p>
    <w:p>
      <w:pPr>
        <w:pStyle w:val="BodyText"/>
      </w:pPr>
      <w:r>
        <w:t xml:space="preserve">But if no remedial mechanism deters officials from disregarding the right to be free from unreasonable searches, the right becomes “valueless.”</w:t>
      </w:r>
      <w:r>
        <w:t xml:space="preserve"> </w:t>
      </w:r>
      <w:r>
        <w:rPr>
          <w:i/>
          <w:iCs/>
        </w:rPr>
        <w:t xml:space="preserve">Mapp</w:t>
      </w:r>
      <w:r>
        <w:rPr>
          <w:i/>
          <w:iCs/>
        </w:rPr>
        <w:t xml:space="preserve"> </w:t>
      </w:r>
      <w:r>
        <w:rPr>
          <w:i/>
          <w:iCs/>
        </w:rPr>
        <w:t xml:space="preserve">v. Ohio</w:t>
      </w:r>
      <w:r>
        <w:t xml:space="preserve">, 367 U.S. 643, 655 (1961). This principle influenced the Founders’ views of how the Fourth Amendment would be enforced. Roger</w:t>
      </w:r>
      <w:r>
        <w:t xml:space="preserve"> </w:t>
      </w:r>
      <w:r>
        <w:t xml:space="preserve">Roots,</w:t>
      </w:r>
      <w:r>
        <w:t xml:space="preserve"> </w:t>
      </w:r>
      <w:r>
        <w:rPr>
          <w:i/>
          <w:iCs/>
        </w:rPr>
        <w:t xml:space="preserve">The Originalist Case for the Exclusionary Rule</w:t>
      </w:r>
      <w:r>
        <w:t xml:space="preserve">, 45 Gonz. L. Rev. 1, 38 (2010). And it is reflected in the decisions of early American courts, which refused to consider evidence gathered (or refused to try defendants arrested) in violation of search-and-seizure protections.</w:t>
      </w:r>
      <w:r>
        <w:t xml:space="preserve"> </w:t>
      </w:r>
      <w:r>
        <w:rPr>
          <w:i/>
          <w:iCs/>
        </w:rPr>
        <w:t xml:space="preserve">See, e.g.</w:t>
      </w:r>
      <w:r>
        <w:t xml:space="preserve">,</w:t>
      </w:r>
      <w:r>
        <w:t xml:space="preserve"> </w:t>
      </w:r>
      <w:r>
        <w:rPr>
          <w:i/>
          <w:iCs/>
        </w:rPr>
        <w:t xml:space="preserve">Frisbie</w:t>
      </w:r>
      <w:r>
        <w:rPr>
          <w:i/>
          <w:iCs/>
        </w:rPr>
        <w:t xml:space="preserve"> </w:t>
      </w:r>
      <w:r>
        <w:rPr>
          <w:i/>
          <w:iCs/>
        </w:rPr>
        <w:t xml:space="preserve">v. Butler</w:t>
      </w:r>
      <w:r>
        <w:t xml:space="preserve">, 1 Kirby 213, 213–15 (Conn. Super. Ct. 1787);</w:t>
      </w:r>
      <w:r>
        <w:t xml:space="preserve"> </w:t>
      </w:r>
      <w:r>
        <w:rPr>
          <w:i/>
          <w:iCs/>
        </w:rPr>
        <w:t xml:space="preserve">Grumon</w:t>
      </w:r>
      <w:r>
        <w:rPr>
          <w:i/>
          <w:iCs/>
        </w:rPr>
        <w:t xml:space="preserve"> </w:t>
      </w:r>
      <w:r>
        <w:rPr>
          <w:i/>
          <w:iCs/>
        </w:rPr>
        <w:t xml:space="preserve">v. Raymond</w:t>
      </w:r>
      <w:r>
        <w:t xml:space="preserve">, 1 Conn. 40, 40–41 (1814);</w:t>
      </w:r>
      <w:r>
        <w:t xml:space="preserve"> </w:t>
      </w:r>
      <w:r>
        <w:rPr>
          <w:i/>
          <w:iCs/>
        </w:rPr>
        <w:t xml:space="preserve">Miller</w:t>
      </w:r>
      <w:r>
        <w:rPr>
          <w:i/>
          <w:iCs/>
        </w:rPr>
        <w:t xml:space="preserve"> </w:t>
      </w:r>
      <w:r>
        <w:rPr>
          <w:i/>
          <w:iCs/>
        </w:rPr>
        <w:t xml:space="preserve">v. Grice</w:t>
      </w:r>
      <w:r>
        <w:t xml:space="preserve">, 31 S.C.L. (2 Rich.) 27, 27–28 (S.C. 1845). Indeed, Virginia’s courts were no exception.</w:t>
      </w:r>
      <w:r>
        <w:t xml:space="preserve"> </w:t>
      </w:r>
      <w:r>
        <w:rPr>
          <w:i/>
          <w:iCs/>
        </w:rPr>
        <w:t xml:space="preserve">See</w:t>
      </w:r>
      <w:r>
        <w:t xml:space="preserve"> </w:t>
      </w:r>
      <w:r>
        <w:rPr>
          <w:i/>
          <w:iCs/>
        </w:rPr>
        <w:t xml:space="preserve">Jones</w:t>
      </w:r>
      <w:r>
        <w:rPr>
          <w:i/>
          <w:iCs/>
        </w:rPr>
        <w:t xml:space="preserve"> </w:t>
      </w:r>
      <w:r>
        <w:rPr>
          <w:i/>
          <w:iCs/>
        </w:rPr>
        <w:t xml:space="preserve">v. Commonwealth</w:t>
      </w:r>
      <w:r>
        <w:t xml:space="preserve">, 40 Va. 748, 750 (1842) (ordering end to criminal perjury prosecution because the defendant’s arrest was unlawful).</w:t>
      </w:r>
    </w:p>
    <w:p>
      <w:pPr>
        <w:pStyle w:val="BodyText"/>
      </w:pPr>
      <w:r>
        <w:t xml:space="preserve">And exclusionary remedies were not the only mechanism propping up search-and-seizure rights in early America. The threat of civil damages, payable by officials who violated those rights, also stood as a bulwark. “[T]hrough the 19th century and into the 20th,” individuals could “test the legality of government conduct by filing suit against government officials for money damages payable by the officer.”</w:t>
      </w:r>
      <w:r>
        <w:t xml:space="preserve"> </w:t>
      </w:r>
      <w:r>
        <w:rPr>
          <w:i/>
          <w:iCs/>
        </w:rPr>
        <w:t xml:space="preserve">Tanzin</w:t>
      </w:r>
      <w:r>
        <w:rPr>
          <w:i/>
          <w:iCs/>
        </w:rPr>
        <w:t xml:space="preserve"> </w:t>
      </w:r>
      <w:r>
        <w:rPr>
          <w:i/>
          <w:iCs/>
        </w:rPr>
        <w:t xml:space="preserve">v. Tanvir</w:t>
      </w:r>
      <w:r>
        <w:t xml:space="preserve">, 592 U.S. 43, 49 (2020) (cleaned up);</w:t>
      </w:r>
      <w:r>
        <w:t xml:space="preserve"> </w:t>
      </w:r>
      <w:r>
        <w:rPr>
          <w:i/>
          <w:iCs/>
        </w:rPr>
        <w:t xml:space="preserve">see</w:t>
      </w:r>
      <w:r>
        <w:t xml:space="preserve"> </w:t>
      </w:r>
      <w:r>
        <w:t xml:space="preserve">Joseph</w:t>
      </w:r>
      <w:r>
        <w:t xml:space="preserve"> </w:t>
      </w:r>
      <w:r>
        <w:t xml:space="preserve">Story,</w:t>
      </w:r>
      <w:r>
        <w:t xml:space="preserve"> </w:t>
      </w:r>
      <w:r>
        <w:rPr>
          <w:i/>
          <w:iCs/>
        </w:rPr>
        <w:t xml:space="preserve">Commentaries on the Constitution</w:t>
      </w:r>
      <w:r>
        <w:t xml:space="preserve"> </w:t>
      </w:r>
      <w:r>
        <w:t xml:space="preserve">§ 1671 (1833) (“[If] any agent of the government shall unjustly invade the property of a citizen under colour of a public authority, he must, like every other violator of the laws, respond in damages.”). Strict liability was the rule. Even officials who claimed to rely on instructions from the President were not “excuse[d]” from personal liability for illegal seizures.</w:t>
      </w:r>
      <w:r>
        <w:t xml:space="preserve"> </w:t>
      </w:r>
      <w:r>
        <w:rPr>
          <w:i/>
          <w:iCs/>
        </w:rPr>
        <w:t xml:space="preserve">Little</w:t>
      </w:r>
      <w:r>
        <w:rPr>
          <w:i/>
          <w:iCs/>
        </w:rPr>
        <w:t xml:space="preserve"> </w:t>
      </w:r>
      <w:r>
        <w:rPr>
          <w:i/>
          <w:iCs/>
        </w:rPr>
        <w:t xml:space="preserve">v. Bareme</w:t>
      </w:r>
      <w:r>
        <w:t xml:space="preserve">, 6 U.S. (2 Cranch) 170, 178–79 (1804). Nor could claims of “a mistaken sense of duty” (rather than “ill design”) preclude a damages award for an unlawful arrest.</w:t>
      </w:r>
      <w:r>
        <w:t xml:space="preserve"> </w:t>
      </w:r>
      <w:r>
        <w:rPr>
          <w:i/>
          <w:iCs/>
        </w:rPr>
        <w:t xml:space="preserve">See</w:t>
      </w:r>
      <w:r>
        <w:t xml:space="preserve"> </w:t>
      </w:r>
      <w:r>
        <w:rPr>
          <w:i/>
          <w:iCs/>
        </w:rPr>
        <w:t xml:space="preserve">Perrin</w:t>
      </w:r>
      <w:r>
        <w:rPr>
          <w:i/>
          <w:iCs/>
        </w:rPr>
        <w:t xml:space="preserve"> </w:t>
      </w:r>
      <w:r>
        <w:rPr>
          <w:i/>
          <w:iCs/>
        </w:rPr>
        <w:t xml:space="preserve">v. Calhoun</w:t>
      </w:r>
      <w:r>
        <w:t xml:space="preserve">, 4 S.C.L. (2 Brev.) 248, 250 (S.C. 1808).</w:t>
      </w:r>
    </w:p>
    <w:p>
      <w:pPr>
        <w:pStyle w:val="BodyText"/>
      </w:pPr>
      <w:r>
        <w:t xml:space="preserve">Today, by contrast, a series of roadblocks often makes the threat of holding officers accountable through damages suits a hollow one. For instance, all government officials enjoy qualified immunity from civil damages suits under 42</w:t>
      </w:r>
      <w:r>
        <w:t xml:space="preserve"> </w:t>
      </w:r>
      <w:r>
        <w:t xml:space="preserve">U.S.C. § 1983. That immunity—designed to insulate officials from even having to “stand trial or face the other burdens of litigation”—forecloses liability unless a plaintiff can show the rights violation was a “clearly established” one.</w:t>
      </w:r>
      <w:r>
        <w:t xml:space="preserve"> </w:t>
      </w:r>
      <w:r>
        <w:rPr>
          <w:i/>
          <w:iCs/>
        </w:rPr>
        <w:t xml:space="preserve">Ashcroft</w:t>
      </w:r>
      <w:r>
        <w:rPr>
          <w:i/>
          <w:iCs/>
        </w:rPr>
        <w:t xml:space="preserve"> </w:t>
      </w:r>
      <w:r>
        <w:rPr>
          <w:i/>
          <w:iCs/>
        </w:rPr>
        <w:t xml:space="preserve">v. Iqbal</w:t>
      </w:r>
      <w:r>
        <w:t xml:space="preserve">, 556 U.S. 662, 672 (2009). The U.S. Supreme Court has interpreted that immunity to make it ”increasingly difficult for plaintiffs to show that defendants have violated clearly established law.” Joanna</w:t>
      </w:r>
      <w:r>
        <w:t xml:space="preserve"> </w:t>
      </w:r>
      <w:r>
        <w:t xml:space="preserve">C. Schwartz,</w:t>
      </w:r>
      <w:r>
        <w:t xml:space="preserve"> </w:t>
      </w:r>
      <w:r>
        <w:rPr>
          <w:i/>
          <w:iCs/>
        </w:rPr>
        <w:t xml:space="preserve">The Case Against Qualified Immunity</w:t>
      </w:r>
      <w:r>
        <w:t xml:space="preserve">, 93 Notre Dame L. Rev. 1797, 1814 (2018). As a result, in practice, it can often be impossible for the threat of damages suits to deter even obvious Fourth Amendment violations, simply because no official has yet faced reprimand for that specific conduct in a published appellate decision.</w:t>
      </w:r>
      <w:r>
        <w:t xml:space="preserve"> </w:t>
      </w:r>
      <w:r>
        <w:rPr>
          <w:i/>
          <w:iCs/>
        </w:rPr>
        <w:t xml:space="preserve">See, e.g.</w:t>
      </w:r>
      <w:r>
        <w:t xml:space="preserve">,</w:t>
      </w:r>
      <w:r>
        <w:t xml:space="preserve"> </w:t>
      </w:r>
      <w:r>
        <w:rPr>
          <w:i/>
          <w:iCs/>
        </w:rPr>
        <w:t xml:space="preserve">Jessop</w:t>
      </w:r>
      <w:r>
        <w:rPr>
          <w:i/>
          <w:iCs/>
        </w:rPr>
        <w:t xml:space="preserve"> </w:t>
      </w:r>
      <w:r>
        <w:rPr>
          <w:i/>
          <w:iCs/>
        </w:rPr>
        <w:t xml:space="preserve">v. City of Fresno</w:t>
      </w:r>
      <w:r>
        <w:t xml:space="preserve">, 936 F.3d 937, 939 (9th Cir. 2019) (granting qualified immunity to officers who allegedly stole $225,000 in cash and rare coins because “[a]t the time of the incident, there was no clearly established law holding that officers violate the Fourth or Fourteenth Amendment when they steal property seized pursuant to a warrant”).</w:t>
      </w:r>
    </w:p>
    <w:p>
      <w:pPr>
        <w:pStyle w:val="BodyText"/>
      </w:pPr>
      <w:r>
        <w:t xml:space="preserve">In short, the threat of civil damages provides little security against unconstitutional searches today. The exclusionary rule is often the only reliable incentive modern officials have to take care in respecting citizens’ Fourth Amendment rights. This Court should decline the County’s invitation to eviscerate that critical incentive.</w:t>
      </w:r>
    </w:p>
    <w:p>
      <w:pPr>
        <w:keepNext/>
        <w:keepLines/>
        <w:spacing w:before="336" w:after="224" w:line="322" w:lineRule="exact"/>
        <w:ind w:left="0" w:firstLine="0"/>
        <w:jc w:val="left"/>
      </w:pP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THE</w:t>
      </w:r>
      <w:r>
        <w:rPr>
          <w:b/>
          <w:bCs/>
        </w:rPr>
        <w:t xml:space="preserve"> </w:t>
      </w:r>
      <w:r>
        <w:rPr>
          <w:b/>
          <w:bCs/>
        </w:rPr>
        <w:t xml:space="preserve">VIRGINIA</w:t>
      </w:r>
      <w:r>
        <w:rPr>
          <w:b/>
          <w:bCs/>
        </w:rPr>
        <w:t xml:space="preserve"> </w:t>
      </w:r>
      <w:r>
        <w:rPr>
          <w:b/>
          <w:bCs/>
        </w:rPr>
        <w:t xml:space="preserve">CONSTITUTION</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EXCLUSIONARY</w:t>
      </w:r>
      <w:r>
        <w:rPr>
          <w:b/>
          <w:bCs/>
        </w:rPr>
        <w:t xml:space="preserve"> </w:t>
      </w:r>
      <w:r>
        <w:rPr>
          <w:b/>
          <w:bCs/>
        </w:rPr>
        <w:t xml:space="preserve">RULE</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ZONING</w:t>
      </w:r>
      <w:r>
        <w:rPr>
          <w:b/>
          <w:bCs/>
        </w:rPr>
        <w:t xml:space="preserve"> </w:t>
      </w:r>
      <w:r>
        <w:rPr>
          <w:b/>
          <w:bCs/>
        </w:rPr>
        <w:t xml:space="preserve">ENFORCEMENT</w:t>
      </w:r>
      <w:r>
        <w:rPr>
          <w:b/>
          <w:bCs/>
        </w:rPr>
        <w:t xml:space="preserve"> </w:t>
      </w:r>
      <w:r>
        <w:rPr>
          <w:b/>
          <w:bCs/>
        </w:rPr>
        <w:t xml:space="preserve">ACTION.</w:t>
      </w:r>
    </w:p>
    <w:p>
      <w:pPr>
        <w:pStyle w:val="BodyText"/>
      </w:pPr>
      <w:r>
        <w:t xml:space="preserve">Although this Court can and should decide that the Fourth Amendment’s exclusionary rule applies here, the Court could, in the alternative, hold that a state exclusionary rule applies to protect rights declared in Article I, § 10 of the Virginia Constitution, irrespective of the rule’s application as a matter of federal law. “[E]ven when principles of federal and state constitutional law share common ground, there is no good reason not to look first to Virginia’s Constitution for the safeguards of the fundamental rights of Virginians.”</w:t>
      </w:r>
      <w:r>
        <w:t xml:space="preserve"> </w:t>
      </w:r>
      <w:r>
        <w:rPr>
          <w:i/>
          <w:iCs/>
        </w:rPr>
        <w:t xml:space="preserve">Vlaming</w:t>
      </w:r>
      <w:r>
        <w:rPr>
          <w:i/>
          <w:iCs/>
        </w:rPr>
        <w:t xml:space="preserve"> </w:t>
      </w:r>
      <w:r>
        <w:rPr>
          <w:i/>
          <w:iCs/>
        </w:rPr>
        <w:t xml:space="preserve">v. W. Point Sch. Bd.</w:t>
      </w:r>
      <w:r>
        <w:t xml:space="preserve">, 895 S.E.2d 705, 716 (Va. 2023) (cleaned up). As this Court recently observed, Virginia’s constitution may “offer more protection” than the federal one, and “state courts are absolutely free to interpret state constitutional provisions to accord greater protection than federal-court interpretations of similar provisions of the United States Constitution.”</w:t>
      </w:r>
      <w:r>
        <w:t xml:space="preserve"> </w:t>
      </w:r>
      <w:r>
        <w:rPr>
          <w:i/>
          <w:iCs/>
        </w:rPr>
        <w:t xml:space="preserve">Id.</w:t>
      </w:r>
      <w:r>
        <w:t xml:space="preserve"> </w:t>
      </w:r>
      <w:r>
        <w:t xml:space="preserve">at 716 (cleaned up). Similarly, state courts can fashion remedies for state constitutional violations that are more expansive than remedies available under the federal constitution.</w:t>
      </w:r>
    </w:p>
    <w:p>
      <w:pPr>
        <w:pStyle w:val="BodyText"/>
      </w:pPr>
      <w:r>
        <w:t xml:space="preserve">Here, the relevant provision of the Virginia Constitution, Article I, § 10, provides at least as much protection as the Fourth Amendment. While this Court has in the past interpreted § 10 to be coextensive with the Fourth Amendment,</w:t>
      </w:r>
      <w:r>
        <w:t xml:space="preserve"> </w:t>
      </w:r>
      <w:r>
        <w:rPr>
          <w:i/>
          <w:iCs/>
        </w:rPr>
        <w:t xml:space="preserve">see, e.g.</w:t>
      </w:r>
      <w:r>
        <w:t xml:space="preserve">,</w:t>
      </w:r>
      <w:r>
        <w:t xml:space="preserve"> </w:t>
      </w:r>
      <w:r>
        <w:rPr>
          <w:i/>
          <w:iCs/>
        </w:rPr>
        <w:t xml:space="preserve">Lowe</w:t>
      </w:r>
      <w:r>
        <w:rPr>
          <w:i/>
          <w:iCs/>
        </w:rPr>
        <w:t xml:space="preserve"> </w:t>
      </w:r>
      <w:r>
        <w:rPr>
          <w:i/>
          <w:iCs/>
        </w:rPr>
        <w:t xml:space="preserve">v. Commonwealth</w:t>
      </w:r>
      <w:r>
        <w:t xml:space="preserve">, 337 S.E.2d 273, 274 &amp; n.1 (Va. 1985);</w:t>
      </w:r>
      <w:r>
        <w:t xml:space="preserve"> </w:t>
      </w:r>
      <w:r>
        <w:rPr>
          <w:i/>
          <w:iCs/>
        </w:rPr>
        <w:t xml:space="preserve">Henry</w:t>
      </w:r>
      <w:r>
        <w:rPr>
          <w:i/>
          <w:iCs/>
        </w:rPr>
        <w:t xml:space="preserve"> </w:t>
      </w:r>
      <w:r>
        <w:rPr>
          <w:i/>
          <w:iCs/>
        </w:rPr>
        <w:t xml:space="preserve">v. Commonwealth</w:t>
      </w:r>
      <w:r>
        <w:t xml:space="preserve">, 529 S.E.2d 796, 798 (Va. App. 2000) (collecting cases), there are good reasons for this Court to consider search-and-seizure protections with a fresh eye. As the Iowa Supreme Court recently acknowledged, “Fourth Amendment jurisprudence is in flux,” and “[t]here are competing, inconsistent doctrines governing seizure and search law.”</w:t>
      </w:r>
      <w:r>
        <w:t xml:space="preserve"> </w:t>
      </w:r>
      <w:r>
        <w:rPr>
          <w:i/>
          <w:iCs/>
        </w:rPr>
        <w:t xml:space="preserve">State</w:t>
      </w:r>
      <w:r>
        <w:rPr>
          <w:i/>
          <w:iCs/>
        </w:rPr>
        <w:t xml:space="preserve"> </w:t>
      </w:r>
      <w:r>
        <w:rPr>
          <w:i/>
          <w:iCs/>
        </w:rPr>
        <w:t xml:space="preserve">v. Wright</w:t>
      </w:r>
      <w:r>
        <w:t xml:space="preserve">, 961 N.W.2d 396, 411 (Iowa 2021). Like Iowa, this Court should decide that “[g]iven the uncertainty and lack of clarity in federal search and seizure jurisprudence, … it is no longer tenable to follow federal precedents in lockstep.”</w:t>
      </w:r>
      <w:r>
        <w:t xml:space="preserve"> </w:t>
      </w:r>
      <w:r>
        <w:rPr>
          <w:i/>
          <w:iCs/>
        </w:rPr>
        <w:t xml:space="preserve">Id.</w:t>
      </w:r>
      <w:r>
        <w:t xml:space="preserve"> </w:t>
      </w:r>
      <w:r>
        <w:t xml:space="preserve">at 411–12. Moreover, this is not a case in which the U.S. Supreme Court has foreclosed relief under the Fourth Amendment, as it has never addressed the availability of suppression as a means for deterring Fourth Amendment violations by zoning inspectors. Thus, this Court is not in a position where it must depart from settled U.S. Supreme Court jurisprudence; it can and should freely interpret the Virginia Constitution in a manner robustly protecting Virginians’ rights.</w:t>
      </w:r>
      <w:r>
        <w:t xml:space="preserve"> </w:t>
      </w:r>
      <w:r>
        <w:rPr>
          <w:i/>
          <w:iCs/>
        </w:rPr>
        <w:t xml:space="preserve">See</w:t>
      </w:r>
      <w:r>
        <w:t xml:space="preserve"> </w:t>
      </w:r>
      <w:r>
        <w:rPr>
          <w:i/>
          <w:iCs/>
        </w:rPr>
        <w:t xml:space="preserve">State</w:t>
      </w:r>
      <w:r>
        <w:rPr>
          <w:i/>
          <w:iCs/>
        </w:rPr>
        <w:t xml:space="preserve"> </w:t>
      </w:r>
      <w:r>
        <w:rPr>
          <w:i/>
          <w:iCs/>
        </w:rPr>
        <w:t xml:space="preserve">v. Leonard</w:t>
      </w:r>
      <w:r>
        <w:t xml:space="preserve">, 943 N.W.2d 149, 155–56 &amp; n.9 (Minn. 2020) (noting that “[i]n the absence of controlling Fourth Amendment precedent,” the court is tasked not with determining whether the state constitution is broader than the Fourth Amendment, but with independently analyzing the state constitution). This Court should honor Virginia’s commitment to protecting its citizens’ constitutional rights of liberty and privacy and hold that the exclusionary rule applies in these civil proceedings under Article I, § 10 of the state constitution.</w:t>
      </w:r>
    </w:p>
    <w:p>
      <w:pPr>
        <w:keepNext/>
        <w:keepLines/>
        <w:spacing w:before="308" w:after="168" w:line="322" w:lineRule="exact"/>
        <w:ind w:left="0" w:firstLine="0"/>
        <w:jc w:val="left"/>
      </w:pPr>
      <w:r>
        <w:rPr>
          <w:b/>
          <w:bCs/>
          <w:i/>
          <w:iCs/>
        </w:rPr>
        <w:t xml:space="preserve">The</w:t>
      </w:r>
      <w:r>
        <w:rPr>
          <w:b/>
          <w:bCs/>
          <w:i/>
          <w:iCs/>
        </w:rPr>
        <w:t xml:space="preserve"> </w:t>
      </w:r>
      <w:r>
        <w:rPr>
          <w:b/>
          <w:bCs/>
          <w:i/>
          <w:iCs/>
        </w:rPr>
        <w:t xml:space="preserve">drafters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Virginia</w:t>
      </w:r>
      <w:r>
        <w:rPr>
          <w:b/>
          <w:bCs/>
          <w:i/>
          <w:iCs/>
        </w:rPr>
        <w:t xml:space="preserve"> </w:t>
      </w:r>
      <w:r>
        <w:rPr>
          <w:b/>
          <w:bCs/>
          <w:i/>
          <w:iCs/>
        </w:rPr>
        <w:t xml:space="preserve">Constitution</w:t>
      </w:r>
      <w:r>
        <w:rPr>
          <w:b/>
          <w:bCs/>
          <w:i/>
          <w:iCs/>
        </w:rPr>
        <w:t xml:space="preserve"> </w:t>
      </w:r>
      <w:r>
        <w:rPr>
          <w:b/>
          <w:bCs/>
          <w:i/>
          <w:iCs/>
        </w:rPr>
        <w:t xml:space="preserve">sought</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citizens’</w:t>
      </w:r>
      <w:r>
        <w:rPr>
          <w:b/>
          <w:bCs/>
          <w:i/>
          <w:iCs/>
        </w:rPr>
        <w:t xml:space="preserve"> </w:t>
      </w:r>
      <w:r>
        <w:rPr>
          <w:b/>
          <w:bCs/>
          <w:i/>
          <w:iCs/>
        </w:rPr>
        <w:t xml:space="preserve">liberty</w:t>
      </w:r>
      <w:r>
        <w:rPr>
          <w:b/>
          <w:bCs/>
          <w:i/>
          <w:iCs/>
        </w:rPr>
        <w:t xml:space="preserve"> </w:t>
      </w:r>
      <w:r>
        <w:rPr>
          <w:b/>
          <w:bCs/>
          <w:i/>
          <w:iCs/>
        </w:rPr>
        <w:t xml:space="preserve">and</w:t>
      </w:r>
      <w:r>
        <w:rPr>
          <w:b/>
          <w:bCs/>
          <w:i/>
          <w:iCs/>
        </w:rPr>
        <w:t xml:space="preserve"> </w:t>
      </w:r>
      <w:r>
        <w:rPr>
          <w:b/>
          <w:bCs/>
          <w:i/>
          <w:iCs/>
        </w:rPr>
        <w:t xml:space="preserve">privacy</w:t>
      </w:r>
      <w:r>
        <w:rPr>
          <w:b/>
          <w:bCs/>
          <w:i/>
          <w:iCs/>
        </w:rPr>
        <w:t xml:space="preserve"> </w:t>
      </w:r>
      <w:r>
        <w:rPr>
          <w:b/>
          <w:bCs/>
          <w:i/>
          <w:iCs/>
        </w:rPr>
        <w:t xml:space="preserve">in</w:t>
      </w:r>
      <w:r>
        <w:rPr>
          <w:b/>
          <w:bCs/>
          <w:i/>
          <w:iCs/>
        </w:rPr>
        <w:t xml:space="preserve"> </w:t>
      </w:r>
      <w:r>
        <w:rPr>
          <w:b/>
          <w:bCs/>
          <w:i/>
          <w:iCs/>
        </w:rPr>
        <w:t xml:space="preserve">their</w:t>
      </w:r>
      <w:r>
        <w:rPr>
          <w:b/>
          <w:bCs/>
          <w:i/>
          <w:iCs/>
        </w:rPr>
        <w:t xml:space="preserve"> </w:t>
      </w:r>
      <w:r>
        <w:rPr>
          <w:b/>
          <w:bCs/>
          <w:i/>
          <w:iCs/>
        </w:rPr>
        <w:t xml:space="preserve">homes</w:t>
      </w:r>
      <w:r>
        <w:rPr>
          <w:b/>
          <w:bCs/>
          <w:i/>
          <w:iCs/>
        </w:rPr>
        <w:t xml:space="preserve"> </w:t>
      </w:r>
      <w:r>
        <w:rPr>
          <w:b/>
          <w:bCs/>
          <w:i/>
          <w:iCs/>
        </w:rPr>
        <w:t xml:space="preserve">and</w:t>
      </w:r>
      <w:r>
        <w:rPr>
          <w:b/>
          <w:bCs/>
          <w:i/>
          <w:iCs/>
        </w:rPr>
        <w:t xml:space="preserve"> </w:t>
      </w:r>
      <w:r>
        <w:rPr>
          <w:b/>
          <w:bCs/>
          <w:i/>
          <w:iCs/>
        </w:rPr>
        <w:t xml:space="preserve">papers.</w:t>
      </w:r>
    </w:p>
    <w:p>
      <w:pPr>
        <w:pStyle w:val="BodyText"/>
      </w:pPr>
      <w:r>
        <w:t xml:space="preserve">“Since at least the mid-eighteenth century, protections against arbitrary searches and seizures have been ‘permanent monuments’ of Anglo-American law.” 1</w:t>
      </w:r>
      <w:r>
        <w:t xml:space="preserve"> </w:t>
      </w:r>
      <w:r>
        <w:t xml:space="preserve">A.E. Dick Howard,</w:t>
      </w:r>
      <w:r>
        <w:t xml:space="preserve"> </w:t>
      </w:r>
      <w:r>
        <w:rPr>
          <w:i/>
          <w:iCs/>
        </w:rPr>
        <w:t xml:space="preserve">Commentaries on the Constitution of Virginia</w:t>
      </w:r>
      <w:r>
        <w:t xml:space="preserve"> </w:t>
      </w:r>
      <w:r>
        <w:t xml:space="preserve">174 (1974). The drafters of the Virginia Constitution sought to protect Virginians from such oppressive measures used by the British in both England and the colonies.</w:t>
      </w:r>
      <w:r>
        <w:t xml:space="preserve"> </w:t>
      </w:r>
      <w:r>
        <w:rPr>
          <w:i/>
          <w:iCs/>
        </w:rPr>
        <w:t xml:space="preserve">Id.</w:t>
      </w:r>
      <w:r>
        <w:t xml:space="preserve"> </w:t>
      </w:r>
      <w:r>
        <w:t xml:space="preserve">at 175–76. At the time, the Crown was regularly issuing general warrants to enforce the Navigation Acts and tax colonial trade.</w:t>
      </w:r>
      <w:r>
        <w:t xml:space="preserve"> </w:t>
      </w:r>
      <w:r>
        <w:rPr>
          <w:i/>
          <w:iCs/>
        </w:rPr>
        <w:t xml:space="preserve">Id.</w:t>
      </w:r>
      <w:r>
        <w:t xml:space="preserve"> </w:t>
      </w:r>
      <w:r>
        <w:t xml:space="preserve">at 176. The colonists “detested” this practice,</w:t>
      </w:r>
      <w:r>
        <w:t xml:space="preserve"> </w:t>
      </w:r>
      <w:r>
        <w:rPr>
          <w:i/>
          <w:iCs/>
        </w:rPr>
        <w:t xml:space="preserve">id.</w:t>
      </w:r>
      <w:r>
        <w:t xml:space="preserve">, and, in Virginia, responded with Article I, § 10 of the Virginia Constitution, which provides “[t]hat general warrants, whereby an officer or messenger may be commanded to search suspected places without evidence of a fact committed, or to seize any person or persons not named, or whose offense is not particularly described and supported by evidence, are grievous and oppressive, and ought not to be granted.”</w:t>
      </w:r>
    </w:p>
    <w:p>
      <w:pPr>
        <w:pStyle w:val="BodyText"/>
      </w:pPr>
      <w:r>
        <w:t xml:space="preserve">While § 10’s language focused on prohibiting “general warrants” due to the political climate at the time, this Court has long recognized that the concerns underpinning § 10 apply equally to warrantless searches. Historical concerns about general warrants were that “officers might search private homes and seize private papers and persons indiscriminately, unrestrained by previous judicial sanction.”</w:t>
      </w:r>
      <w:r>
        <w:t xml:space="preserve"> </w:t>
      </w:r>
      <w:r>
        <w:rPr>
          <w:i/>
          <w:iCs/>
        </w:rPr>
        <w:t xml:space="preserve">McClannan</w:t>
      </w:r>
      <w:r>
        <w:rPr>
          <w:i/>
          <w:iCs/>
        </w:rPr>
        <w:t xml:space="preserve"> </w:t>
      </w:r>
      <w:r>
        <w:rPr>
          <w:i/>
          <w:iCs/>
        </w:rPr>
        <w:t xml:space="preserve">v. Chaplain</w:t>
      </w:r>
      <w:r>
        <w:t xml:space="preserve">, 116 S.E. 495, 499 (Va. 1923). These concerns are “precisely the same with respect to searches and seizures by officers without a search warrant.”</w:t>
      </w:r>
      <w:r>
        <w:t xml:space="preserve"> </w:t>
      </w:r>
      <w:r>
        <w:rPr>
          <w:i/>
          <w:iCs/>
        </w:rPr>
        <w:t xml:space="preserve">Id.</w:t>
      </w:r>
      <w:r>
        <w:t xml:space="preserve"> </w:t>
      </w:r>
      <w:r>
        <w:t xml:space="preserve">In both situations, Virginia has consistently sought to protect “the personal and political liberty of the citizen, especially the privacy of his home and papers.”</w:t>
      </w:r>
      <w:r>
        <w:t xml:space="preserve"> </w:t>
      </w:r>
      <w:r>
        <w:rPr>
          <w:i/>
          <w:iCs/>
        </w:rPr>
        <w:t xml:space="preserve">Id.</w:t>
      </w:r>
    </w:p>
    <w:p>
      <w:pPr>
        <w:keepNext/>
        <w:keepLines/>
        <w:spacing w:before="308" w:after="168" w:line="322" w:lineRule="exact"/>
        <w:ind w:left="0" w:firstLine="0"/>
        <w:jc w:val="left"/>
      </w:pP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necessary</w:t>
      </w:r>
      <w:r>
        <w:rPr>
          <w:b/>
          <w:bCs/>
          <w:i/>
          <w:iCs/>
        </w:rPr>
        <w:t xml:space="preserve"> </w:t>
      </w:r>
      <w:r>
        <w:rPr>
          <w:b/>
          <w:bCs/>
          <w:i/>
          <w:iCs/>
        </w:rPr>
        <w:t xml:space="preserve">state-law</w:t>
      </w:r>
      <w:r>
        <w:rPr>
          <w:b/>
          <w:bCs/>
          <w:i/>
          <w:iCs/>
        </w:rPr>
        <w:t xml:space="preserve"> </w:t>
      </w:r>
      <w:r>
        <w:rPr>
          <w:b/>
          <w:bCs/>
          <w:i/>
          <w:iCs/>
        </w:rPr>
        <w:t xml:space="preserve">remedy</w:t>
      </w:r>
      <w:r>
        <w:rPr>
          <w:b/>
          <w:bCs/>
          <w:i/>
          <w:iCs/>
        </w:rPr>
        <w:t xml:space="preserve"> </w:t>
      </w:r>
      <w:r>
        <w:rPr>
          <w:b/>
          <w:bCs/>
          <w:i/>
          <w:iCs/>
        </w:rPr>
        <w:t xml:space="preserve">to</w:t>
      </w:r>
      <w:r>
        <w:rPr>
          <w:b/>
          <w:bCs/>
          <w:i/>
          <w:iCs/>
        </w:rPr>
        <w:t xml:space="preserve"> </w:t>
      </w:r>
      <w:r>
        <w:rPr>
          <w:b/>
          <w:bCs/>
          <w:i/>
          <w:iCs/>
        </w:rPr>
        <w:t xml:space="preserve">compel</w:t>
      </w:r>
      <w:r>
        <w:rPr>
          <w:b/>
          <w:bCs/>
          <w:i/>
          <w:iCs/>
        </w:rPr>
        <w:t xml:space="preserve"> </w:t>
      </w:r>
      <w:r>
        <w:rPr>
          <w:b/>
          <w:bCs/>
          <w:i/>
          <w:iCs/>
        </w:rPr>
        <w:t xml:space="preserve">respect</w:t>
      </w:r>
      <w:r>
        <w:rPr>
          <w:b/>
          <w:bCs/>
          <w:i/>
          <w:iCs/>
        </w:rPr>
        <w:t xml:space="preserve"> </w:t>
      </w:r>
      <w:r>
        <w:rPr>
          <w:b/>
          <w:bCs/>
          <w:i/>
          <w:iCs/>
        </w:rPr>
        <w:t xml:space="preserve">for</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10.</w:t>
      </w:r>
    </w:p>
    <w:p>
      <w:pPr>
        <w:pStyle w:val="BodyText"/>
      </w:pPr>
      <w:r>
        <w:t xml:space="preserve">For many of the same reasons described with respect to the Fourth Amendment,</w:t>
      </w:r>
      <w:r>
        <w:t xml:space="preserve"> </w:t>
      </w:r>
      <w:r>
        <w:rPr>
          <w:i/>
          <w:iCs/>
        </w:rPr>
        <w:t xml:space="preserve">see</w:t>
      </w:r>
      <w:r>
        <w:t xml:space="preserve"> </w:t>
      </w:r>
      <w:r>
        <w:t xml:space="preserve">Part I, above, an exclusionary rule is necessary to deter violations of Virginia’s prohibition on unlawful searches and seizures. The facts alleged here—that a zoning officer entered and searched a private home without a warrant—provide a key case in point.</w:t>
      </w:r>
    </w:p>
    <w:p>
      <w:pPr>
        <w:pStyle w:val="BodyText"/>
      </w:pPr>
      <w:r>
        <w:t xml:space="preserve">Application of the rule here as a matter of state law would be consistent with this Court’s recognition that deterrence is the main rationale supporting the application of an exclusionary rule.</w:t>
      </w:r>
      <w:r>
        <w:t xml:space="preserve"> </w:t>
      </w:r>
      <w:r>
        <w:rPr>
          <w:i/>
          <w:iCs/>
        </w:rPr>
        <w:t xml:space="preserve">County</w:t>
      </w:r>
      <w:r>
        <w:rPr>
          <w:i/>
          <w:iCs/>
        </w:rPr>
        <w:t xml:space="preserve"> </w:t>
      </w:r>
      <w:r>
        <w:rPr>
          <w:i/>
          <w:iCs/>
        </w:rPr>
        <w:t xml:space="preserve">of Henrico v. Ehlers</w:t>
      </w:r>
      <w:r>
        <w:t xml:space="preserve">, 379 S.E.2d 457, 461 (Va. 1989). And this need for deterrence is just as necessary in the zoning context as it is in the criminal context. Without application of the exclusionary rule, officials like Mr. Enos could enter and search private property without any probable cause. This sort of violation is equally invasive whether the results are used for criminal or civil proceedings, and it violates the same fundamental rights of liberty and privacy that Article I, § 10 sought to protect.</w:t>
      </w:r>
    </w:p>
    <w:p>
      <w:pPr>
        <w:pStyle w:val="BodyText"/>
      </w:pPr>
      <w:r>
        <w:t xml:space="preserve">This Court’s decision in</w:t>
      </w:r>
      <w:r>
        <w:t xml:space="preserve"> </w:t>
      </w:r>
      <w:r>
        <w:rPr>
          <w:i/>
          <w:iCs/>
        </w:rPr>
        <w:t xml:space="preserve">Hall</w:t>
      </w:r>
      <w:r>
        <w:rPr>
          <w:i/>
          <w:iCs/>
        </w:rPr>
        <w:t xml:space="preserve"> </w:t>
      </w:r>
      <w:r>
        <w:rPr>
          <w:i/>
          <w:iCs/>
        </w:rPr>
        <w:t xml:space="preserve">v. Commonwealth</w:t>
      </w:r>
      <w:r>
        <w:t xml:space="preserve">, 121 S.E. 154 (Va. 1924) is no impediment to application of the exclusionary rule as a matter of state law here.</w:t>
      </w:r>
      <w:r>
        <w:t xml:space="preserve"> </w:t>
      </w:r>
      <w:r>
        <w:rPr>
          <w:i/>
          <w:iCs/>
        </w:rPr>
        <w:t xml:space="preserve">Hall</w:t>
      </w:r>
      <w:r>
        <w:t xml:space="preserve"> </w:t>
      </w:r>
      <w:r>
        <w:t xml:space="preserve">reasoned that police officers “acting without a warrant, or under a void warrant,” act alone and are solely “responsible for [their] illegal acts.”</w:t>
      </w:r>
      <w:r>
        <w:t xml:space="preserve"> </w:t>
      </w:r>
      <w:r>
        <w:rPr>
          <w:i/>
          <w:iCs/>
        </w:rPr>
        <w:t xml:space="preserve">Id.</w:t>
      </w:r>
      <w:r>
        <w:t xml:space="preserve"> </w:t>
      </w:r>
      <w:r>
        <w:t xml:space="preserve">at 155. Because the Virginia Search and Seizure Act provided for punishment of these officers, as well as civil liability to those aggrieved, the Court reasoned that suppression of evidence was not “necessary for the protection of the citizens against illegal searches and seizures” under Virginia state law.</w:t>
      </w:r>
      <w:r>
        <w:t xml:space="preserve"> </w:t>
      </w:r>
      <w:r>
        <w:rPr>
          <w:i/>
          <w:iCs/>
        </w:rPr>
        <w:t xml:space="preserve">Id.</w:t>
      </w:r>
      <w:r>
        <w:t xml:space="preserve"> </w:t>
      </w:r>
      <w:r>
        <w:t xml:space="preserve">at 156.</w:t>
      </w:r>
    </w:p>
    <w:p>
      <w:pPr>
        <w:pStyle w:val="BodyText"/>
      </w:pPr>
      <w:r>
        <w:t xml:space="preserve">Even if this view were true in 1924, it is plainly not true today. First, unconstitutional searches and seizures continue, as the facts alleged here demonstrate. And in this Commonwealth, some courts have held that plaintiffs do not even have a cause of action to enforce Article I, § 10 through damages suits.</w:t>
      </w:r>
      <w:r>
        <w:t xml:space="preserve"> </w:t>
      </w:r>
      <w:r>
        <w:rPr>
          <w:i/>
          <w:iCs/>
        </w:rPr>
        <w:t xml:space="preserve">See</w:t>
      </w:r>
      <w:r>
        <w:t xml:space="preserve"> </w:t>
      </w:r>
      <w:r>
        <w:rPr>
          <w:i/>
          <w:iCs/>
        </w:rPr>
        <w:t xml:space="preserve">Highlander</w:t>
      </w:r>
      <w:r>
        <w:rPr>
          <w:i/>
          <w:iCs/>
        </w:rPr>
        <w:t xml:space="preserve"> </w:t>
      </w:r>
      <w:r>
        <w:rPr>
          <w:i/>
          <w:iCs/>
        </w:rPr>
        <w:t xml:space="preserve">v. Va. Dep’t of Wildlife Res.</w:t>
      </w:r>
      <w:r>
        <w:t xml:space="preserve">, No. CL23-⁠4100, at 2 (Va. Cir. Ct. Oct. 27, 2023) (collecting cases), appeal filed (Va. Ct. App. Dec. 6, 2023).</w:t>
      </w:r>
    </w:p>
    <w:p>
      <w:pPr>
        <w:pStyle w:val="BodyText"/>
      </w:pPr>
      <w:r>
        <w:t xml:space="preserve">Moreover, while Virginia</w:t>
      </w:r>
      <w:r>
        <w:t xml:space="preserve"> </w:t>
      </w:r>
      <w:r>
        <w:t xml:space="preserve">Code § 19.2-⁠59 still prohibits warrantless searches and provides that those who violate it “shall be guilty of malfeasance in office,” this statute has been consistently interpreted by Virginia courts as “provid[ing] only the same protection as that afforded by the Fourth Amendment.”</w:t>
      </w:r>
      <w:r>
        <w:t xml:space="preserve"> </w:t>
      </w:r>
      <w:r>
        <w:rPr>
          <w:i/>
          <w:iCs/>
        </w:rPr>
        <w:t xml:space="preserve">Cromartie</w:t>
      </w:r>
      <w:r>
        <w:rPr>
          <w:i/>
          <w:iCs/>
        </w:rPr>
        <w:t xml:space="preserve"> </w:t>
      </w:r>
      <w:r>
        <w:rPr>
          <w:i/>
          <w:iCs/>
        </w:rPr>
        <w:t xml:space="preserve">v. Billings</w:t>
      </w:r>
      <w:r>
        <w:t xml:space="preserve">, 837 S.E.2d 247, 254 (Va. 2020). Claims under the statute are also subject to sovereign immunity,</w:t>
      </w:r>
      <w:r>
        <w:t xml:space="preserve"> </w:t>
      </w:r>
      <w:r>
        <w:rPr>
          <w:i/>
          <w:iCs/>
        </w:rPr>
        <w:t xml:space="preserve">see id.</w:t>
      </w:r>
      <w:r>
        <w:t xml:space="preserve">, which makes it exceedingly difficult for plaintiffs to get any redress for constitutional harms.</w:t>
      </w:r>
      <w:r>
        <w:t xml:space="preserve"> </w:t>
      </w:r>
      <w:r>
        <w:rPr>
          <w:i/>
          <w:iCs/>
        </w:rPr>
        <w:t xml:space="preserve">See, e.g.</w:t>
      </w:r>
      <w:r>
        <w:t xml:space="preserve">, Marc</w:t>
      </w:r>
      <w:r>
        <w:t xml:space="preserve"> </w:t>
      </w:r>
      <w:r>
        <w:t xml:space="preserve">L. Miller &amp; Ronald F. Wright,</w:t>
      </w:r>
      <w:r>
        <w:t xml:space="preserve"> </w:t>
      </w:r>
      <w:r>
        <w:rPr>
          <w:i/>
          <w:iCs/>
        </w:rPr>
        <w:t xml:space="preserve">Criminal Procedures: The Police</w:t>
      </w:r>
      <w:r>
        <w:t xml:space="preserve"> </w:t>
      </w:r>
      <w:r>
        <w:t xml:space="preserve">425 (3d ed. 2007) (discussing theoretical existence of private remedies for those harmed by an unconstitutional search or seizure, but stating that these are not a “common method of dealing with improper searches or seizures” due to the significant obstacles plaintiffs face, such as sovereign immunity). The Hall court’s view that citizens can adequately “protect the sanctity” of their homes “by applying remedies which the law provides,”</w:t>
      </w:r>
      <w:r>
        <w:t xml:space="preserve"> </w:t>
      </w:r>
      <w:r>
        <w:rPr>
          <w:i/>
          <w:iCs/>
        </w:rPr>
        <w:t xml:space="preserve">Hall</w:t>
      </w:r>
      <w:r>
        <w:t xml:space="preserve">, 121 S.E. at 156, is simply no longer true.</w:t>
      </w:r>
    </w:p>
    <w:p>
      <w:pPr>
        <w:keepNext/>
        <w:keepLines/>
        <w:spacing w:before="308" w:after="168" w:line="322" w:lineRule="exact"/>
        <w:ind w:left="0" w:firstLine="0"/>
        <w:jc w:val="left"/>
      </w:pPr>
      <w:r>
        <w:rPr>
          <w:b/>
          <w:bCs/>
          <w:i/>
          <w:iCs/>
        </w:rPr>
        <w:t xml:space="preserve">Virginia</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in</w:t>
      </w:r>
      <w:r>
        <w:rPr>
          <w:b/>
          <w:bCs/>
          <w:i/>
          <w:iCs/>
        </w:rPr>
        <w:t xml:space="preserve"> </w:t>
      </w:r>
      <w:r>
        <w:rPr>
          <w:b/>
          <w:bCs/>
          <w:i/>
          <w:iCs/>
        </w:rPr>
        <w:t xml:space="preserve">good</w:t>
      </w:r>
      <w:r>
        <w:rPr>
          <w:b/>
          <w:bCs/>
          <w:i/>
          <w:iCs/>
        </w:rPr>
        <w:t xml:space="preserve"> </w:t>
      </w:r>
      <w:r>
        <w:rPr>
          <w:b/>
          <w:bCs/>
          <w:i/>
          <w:iCs/>
        </w:rPr>
        <w:t xml:space="preserve">company</w:t>
      </w:r>
      <w:r>
        <w:rPr>
          <w:b/>
          <w:bCs/>
          <w:i/>
          <w:iCs/>
        </w:rPr>
        <w:t xml:space="preserve"> </w:t>
      </w:r>
      <w:r>
        <w:rPr>
          <w:b/>
          <w:bCs/>
          <w:i/>
          <w:iCs/>
        </w:rPr>
        <w:t xml:space="preserve">if</w:t>
      </w:r>
      <w:r>
        <w:rPr>
          <w:b/>
          <w:bCs/>
          <w:i/>
          <w:iCs/>
        </w:rPr>
        <w:t xml:space="preserve"> </w:t>
      </w:r>
      <w:r>
        <w:rPr>
          <w:b/>
          <w:bCs/>
          <w:i/>
          <w:iCs/>
        </w:rPr>
        <w:t xml:space="preserve">it</w:t>
      </w:r>
      <w:r>
        <w:rPr>
          <w:b/>
          <w:bCs/>
          <w:i/>
          <w:iCs/>
        </w:rPr>
        <w:t xml:space="preserve"> </w:t>
      </w:r>
      <w:r>
        <w:rPr>
          <w:b/>
          <w:bCs/>
          <w:i/>
          <w:iCs/>
        </w:rPr>
        <w:t xml:space="preserve">adopted</w:t>
      </w:r>
      <w:r>
        <w:rPr>
          <w:b/>
          <w:bCs/>
          <w:i/>
          <w:iCs/>
        </w:rPr>
        <w:t xml:space="preserve"> </w:t>
      </w: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state</w:t>
      </w:r>
      <w:r>
        <w:rPr>
          <w:b/>
          <w:bCs/>
          <w:i/>
          <w:iCs/>
        </w:rPr>
        <w:t xml:space="preserve"> </w:t>
      </w:r>
      <w:r>
        <w:rPr>
          <w:b/>
          <w:bCs/>
          <w:i/>
          <w:iCs/>
        </w:rPr>
        <w:t xml:space="preserve">constitutional</w:t>
      </w:r>
      <w:r>
        <w:rPr>
          <w:b/>
          <w:bCs/>
          <w:i/>
          <w:iCs/>
        </w:rPr>
        <w:t xml:space="preserve"> </w:t>
      </w:r>
      <w:r>
        <w:rPr>
          <w:b/>
          <w:bCs/>
          <w:i/>
          <w:iCs/>
        </w:rPr>
        <w:t xml:space="preserve">rights</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context.</w:t>
      </w:r>
    </w:p>
    <w:p>
      <w:pPr>
        <w:pStyle w:val="BodyText"/>
      </w:pPr>
      <w:r>
        <w:t xml:space="preserve">Adoption of the exclusionary rule as a remedy for state constitutional search-and-seizure violations would be consistent with case law in many other jurisdictions. As of 1994, at least 28 states “recognized the existence of an exclusionary rule which derived from the search and seizure provisions of their respective state constitutions.” John</w:t>
      </w:r>
      <w:r>
        <w:t xml:space="preserve"> </w:t>
      </w:r>
      <w:r>
        <w:t xml:space="preserve">E. Theuman, Annotation,</w:t>
      </w:r>
      <w:r>
        <w:t xml:space="preserve"> </w:t>
      </w:r>
      <w:r>
        <w:rPr>
          <w:i/>
          <w:iCs/>
        </w:rPr>
        <w:t xml:space="preserve">State Constitutional Requirements as to Exclusion of Evidence Unlawfully Seized—Post-Leon Cases</w:t>
      </w:r>
      <w:r>
        <w:t xml:space="preserve">, 19 A.L.R.5th 470, §3[a] (1994) (collecting cases). For instance, Supreme Court of Delaware held that it was “the duty of the courts to protect constitutional guarantees,” and that “[t]he most effective way to protect the guarantees against unreasonable search and seizure” in the Delaware Constitution was “to exclude from evidence any matter obtained by a violation of them.”</w:t>
      </w:r>
      <w:r>
        <w:t xml:space="preserve"> </w:t>
      </w:r>
      <w:r>
        <w:rPr>
          <w:i/>
          <w:iCs/>
        </w:rPr>
        <w:t xml:space="preserve">Rickards</w:t>
      </w:r>
      <w:r>
        <w:rPr>
          <w:i/>
          <w:iCs/>
        </w:rPr>
        <w:t xml:space="preserve"> </w:t>
      </w:r>
      <w:r>
        <w:rPr>
          <w:i/>
          <w:iCs/>
        </w:rPr>
        <w:t xml:space="preserve">v. State</w:t>
      </w:r>
      <w:r>
        <w:t xml:space="preserve">, 77 A.2d 199, 205 (Del. 1950). The court explicitly rejected the “suggested remedy of a civil action,” noting that it was “as a practical matter no remedy at all.”</w:t>
      </w:r>
      <w:r>
        <w:t xml:space="preserve"> </w:t>
      </w:r>
      <w:r>
        <w:rPr>
          <w:i/>
          <w:iCs/>
        </w:rPr>
        <w:t xml:space="preserve">Id.</w:t>
      </w:r>
    </w:p>
    <w:p>
      <w:pPr>
        <w:pStyle w:val="BodyText"/>
      </w:pPr>
      <w:r>
        <w:t xml:space="preserve">The Supreme Court of Ohio has held that the state constitution both provides greater protection than the Fourth Amendment and mandates exclusion of evidence obtained in violation of those protections.</w:t>
      </w:r>
      <w:r>
        <w:t xml:space="preserve"> </w:t>
      </w:r>
      <w:r>
        <w:rPr>
          <w:i/>
          <w:iCs/>
        </w:rPr>
        <w:t xml:space="preserve">State</w:t>
      </w:r>
      <w:r>
        <w:rPr>
          <w:i/>
          <w:iCs/>
        </w:rPr>
        <w:t xml:space="preserve"> </w:t>
      </w:r>
      <w:r>
        <w:rPr>
          <w:i/>
          <w:iCs/>
        </w:rPr>
        <w:t xml:space="preserve">v. Brown</w:t>
      </w:r>
      <w:r>
        <w:t xml:space="preserve">, 792 N.E.2d 175, 178–79 (Ohio 2003). Many other state courts apply an exclusionary rule to protect state constitutional rights.</w:t>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Reynolds</w:t>
      </w:r>
      <w:r>
        <w:t xml:space="preserve">, 504 S.W.3d 283, 312 (Tenn. 2016) (discussing the “exclusionary rule that applies to violations of article I, section 7 of the Tennessee Constitution”);</w:t>
      </w:r>
      <w:r>
        <w:t xml:space="preserve"> </w:t>
      </w:r>
      <w:r>
        <w:rPr>
          <w:i/>
          <w:iCs/>
        </w:rPr>
        <w:t xml:space="preserve">Commonwealth</w:t>
      </w:r>
      <w:r>
        <w:rPr>
          <w:i/>
          <w:iCs/>
        </w:rPr>
        <w:t xml:space="preserve"> </w:t>
      </w:r>
      <w:r>
        <w:rPr>
          <w:i/>
          <w:iCs/>
        </w:rPr>
        <w:t xml:space="preserve">v. Britton</w:t>
      </w:r>
      <w:r>
        <w:t xml:space="preserve">, 229 A.3d 590, 609 (Pa. 2020) (Wecht, J., concurring) (noting the Supreme Court of Pennsylvania’s “recognition that the exclusionary rule is essential to protect the individual rights enumerated in our own Pennsylvania Constitution” (citation omitted)).</w:t>
      </w:r>
    </w:p>
    <w:p>
      <w:pPr>
        <w:pStyle w:val="BodyTextNote"/>
      </w:pPr>
      <w:r>
        <w:t xml:space="preserve">Several state supreme courts also apply their exclusionary rule outside of criminal trials, including in civil cases. For example, the Supreme Court of Georgia, relying on both the Fourth Amendment and the Georgia Constitution, applied the exclusionary rule in public nuisance actions because the “mandate” from United States Supreme Court precedent “was not for criminal cases only.”</w:t>
      </w:r>
      <w:r>
        <w:t xml:space="preserve"> </w:t>
      </w:r>
      <w:r>
        <w:rPr>
          <w:i/>
          <w:iCs/>
        </w:rPr>
        <w:t xml:space="preserve">Carson</w:t>
      </w:r>
      <w:r>
        <w:rPr>
          <w:i/>
          <w:iCs/>
        </w:rPr>
        <w:t xml:space="preserve"> </w:t>
      </w:r>
      <w:r>
        <w:rPr>
          <w:i/>
          <w:iCs/>
        </w:rPr>
        <w:t xml:space="preserve">v. State ex rel. Price</w:t>
      </w:r>
      <w:r>
        <w:t xml:space="preserve">, 144 S.E.2d 384, 386 (Ga. 1965). Similarly, the Supreme Court of Utah has “extend[ed] the state exclusionary rule” and reasoned that “illegally obtained evidence should be excluded from a civil proceeding … if the exclusion is necessary to deter future unconstitutional searches.”</w:t>
      </w:r>
      <w:r>
        <w:t xml:space="preserve"> </w:t>
      </w:r>
      <w:r>
        <w:rPr>
          <w:i/>
          <w:iCs/>
        </w:rPr>
        <w:t xml:space="preserve">Sims</w:t>
      </w:r>
      <w:r>
        <w:rPr>
          <w:i/>
          <w:iCs/>
        </w:rPr>
        <w:t xml:space="preserve"> </w:t>
      </w:r>
      <w:r>
        <w:rPr>
          <w:i/>
          <w:iCs/>
        </w:rPr>
        <w:t xml:space="preserve">v. Collection Div. of Utah State Tax Comm’n</w:t>
      </w:r>
      <w:r>
        <w:t xml:space="preserve">, 841 P.2d 6, 13 (Utah 1992). And in</w:t>
      </w:r>
      <w:r>
        <w:t xml:space="preserve"> </w:t>
      </w:r>
      <w:r>
        <w:rPr>
          <w:i/>
          <w:iCs/>
        </w:rPr>
        <w:t xml:space="preserve">State v. Lussier</w:t>
      </w:r>
      <w:r>
        <w:t xml:space="preserve">, the Supreme Court of Vermont held that the exclusionary rule applied to civil license-suspension proceedings under the state constitution. 757</w:t>
      </w:r>
      <w:r>
        <w:t xml:space="preserve"> </w:t>
      </w:r>
      <w:r>
        <w:t xml:space="preserve">A.2d 1017, 1026 (Vt. 2000). The court recognized that application of the rule was necessary “to protect the core value of privacy embraced in” the state constitution.</w:t>
      </w:r>
      <w:r>
        <w:t xml:space="preserve"> </w:t>
      </w:r>
      <w:r>
        <w:rPr>
          <w:i/>
          <w:iCs/>
        </w:rPr>
        <w:t xml:space="preserve">Id.</w:t>
      </w:r>
      <w:r>
        <w:t xml:space="preserve"> </w:t>
      </w:r>
      <w:r>
        <w:t xml:space="preserve">The public interest in successfully prosecuting these cases, the court held, “may not be satisfied at the expense of” citizens’ state constitutional rights.</w:t>
      </w:r>
      <w:r>
        <w:t xml:space="preserve"> </w:t>
      </w:r>
      <w:r>
        <w:rPr>
          <w:i/>
          <w:iCs/>
        </w:rPr>
        <w:t xml:space="preserve">Id.</w:t>
      </w:r>
      <w:r>
        <w:t xml:space="preserve">;</w:t>
      </w:r>
      <w:r>
        <w:t xml:space="preserve"> </w:t>
      </w:r>
      <w:r>
        <w:rPr>
          <w:i/>
          <w:iCs/>
        </w:rPr>
        <w:t xml:space="preserve">see also</w:t>
      </w:r>
      <w:r>
        <w:t xml:space="preserve"> </w:t>
      </w:r>
      <w:r>
        <w:rPr>
          <w:i/>
          <w:iCs/>
        </w:rPr>
        <w:t xml:space="preserve">Turner</w:t>
      </w:r>
      <w:r>
        <w:rPr>
          <w:i/>
          <w:iCs/>
        </w:rPr>
        <w:t xml:space="preserve"> </w:t>
      </w:r>
      <w:r>
        <w:rPr>
          <w:i/>
          <w:iCs/>
        </w:rPr>
        <w:t xml:space="preserve">v. City of Lawton</w:t>
      </w:r>
      <w:r>
        <w:t xml:space="preserve">, 733 P.2d 375, 379–82 (Okla. 1986) (applying the Oklahoma Constitution’s exclusionary rule to a civil-service administrative proceeding).</w:t>
      </w:r>
      <w:r>
        <w:rPr>
          <w:rStyle w:val="FootnoteReference"/>
        </w:rPr>
        <w:footnoteReference w:id="15"/>
      </w:r>
    </w:p>
    <w:p>
      <w:pPr>
        <w:pStyle w:val="BodyText"/>
      </w:pPr>
      <w:r>
        <w:t xml:space="preserve">This Court should follow suit and apply the exclusionary rule here to assure Virginians that they retain the right to be free from unreasonable, warrantless searches and seizures by government actors in practice, not merely on paper. Introducing unlawfully obtained evidence “eviscerates our most sacred rights, impinges on individual privacy, perverts our judicial process, distorts any notion of fairness, and encourages official misconduct.”</w:t>
      </w:r>
      <w:r>
        <w:t xml:space="preserve"> </w:t>
      </w:r>
      <w:r>
        <w:rPr>
          <w:i/>
          <w:iCs/>
        </w:rPr>
        <w:t xml:space="preserve">Lussier</w:t>
      </w:r>
      <w:r>
        <w:t xml:space="preserve">, 757 A.2d at 1025. Virginia’s courts should not “condone … illegality by stating it does not matter how the evidence was secured.”</w:t>
      </w:r>
      <w:r>
        <w:t xml:space="preserve"> </w:t>
      </w:r>
      <w:r>
        <w:rPr>
          <w:i/>
          <w:iCs/>
        </w:rPr>
        <w:t xml:space="preserve">State</w:t>
      </w:r>
      <w:r>
        <w:rPr>
          <w:i/>
          <w:iCs/>
        </w:rPr>
        <w:t xml:space="preserve"> </w:t>
      </w:r>
      <w:r>
        <w:rPr>
          <w:i/>
          <w:iCs/>
        </w:rPr>
        <w:t xml:space="preserve">v. Cline</w:t>
      </w:r>
      <w:r>
        <w:t xml:space="preserve">, 617 N.W.2d 277, 289 (Iowa 2000).</w:t>
      </w:r>
    </w:p>
    <w:p>
      <w:pPr>
        <w:keepNext/>
        <w:keepLines/>
        <w:spacing w:before="336" w:after="280" w:line="322" w:lineRule="exact"/>
        <w:ind w:left="0" w:firstLine="0"/>
        <w:jc w:val="center"/>
      </w:pPr>
      <w:r>
        <w:rPr>
          <w:b/>
          <w:bCs/>
        </w:rPr>
        <w:t xml:space="preserve">CONCLUSION</w:t>
      </w:r>
    </w:p>
    <w:p>
      <w:pPr>
        <w:pStyle w:val="BodyTextKeep"/>
      </w:pPr>
      <w:r>
        <w:t xml:space="preserve">The Court should decline the County’s invitation to hold the exclusionary rule inapplicable to all civil proceedings. It should instead hold the exclusionary rule applies here, whether under the Fourth Amendment, the Virginia Constitution, or both.</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INSTITUTE</w:t>
            </w:r>
            <w:r>
              <w:t xml:space="preserve"> </w:t>
            </w:r>
            <w:r>
              <w:t xml:space="preserve">FOR</w:t>
            </w:r>
            <w:r>
              <w:t xml:space="preserve"> </w:t>
            </w:r>
            <w:r>
              <w:t xml:space="preserve">JUSTICE,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2024.</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/s/</w:t>
                  </w:r>
                  <w:r>
                    <w:t xml:space="preserve"> </w:t>
                  </w:r>
                  <w:r>
                    <w:t xml:space="preserve">Robert</w:t>
                  </w:r>
                  <w:r>
                    <w:t xml:space="preserve"> </w:t>
                  </w:r>
                  <w:r>
                    <w:t xml:space="preserve">Frommer</w:t>
                  </w:r>
                </w:p>
                <w:p>
                  <w:pPr>
                    <w:spacing w:before="0" w:after="0" w:line="322" w:lineRule="exact"/>
                    <w:ind w:left="0" w:firstLine="0"/>
                    <w:jc w:val="left"/>
                  </w:pPr>
                  <w:r>
                    <w:t xml:space="preserve">Michael</w:t>
                  </w:r>
                  <w:r>
                    <w:t xml:space="preserve"> </w:t>
                  </w:r>
                  <w:r>
                    <w:t xml:space="preserve">Greenberg*</w:t>
                  </w:r>
                </w:p>
                <w:p>
                  <w:pPr>
                    <w:spacing w:before="0" w:after="0" w:line="322" w:lineRule="exact"/>
                    <w:ind w:left="0" w:firstLine="0"/>
                    <w:jc w:val="left"/>
                  </w:pPr>
                  <w:r>
                    <w:t xml:space="preserve">Robert</w:t>
                  </w:r>
                  <w:r>
                    <w:t xml:space="preserve"> </w:t>
                  </w:r>
                  <w:r>
                    <w:t xml:space="preserve">Frommer</w:t>
                  </w:r>
                  <w:r>
                    <w:t xml:space="preserve"> </w:t>
                  </w:r>
                  <w:r>
                    <w:t xml:space="preserve">(VSB</w:t>
                  </w:r>
                  <w:r>
                    <w:t xml:space="preserve"> </w:t>
                  </w:r>
                  <w:r>
                    <w:t xml:space="preserve">No.</w:t>
                  </w:r>
                  <w:r>
                    <w:t xml:space="preserve"> </w:t>
                  </w:r>
                  <w:r>
                    <w:t xml:space="preserve">70086)</w:t>
                  </w:r>
                </w:p>
                <w:p>
                  <w:pPr>
                    <w:spacing w:before="0" w:after="0" w:line="322" w:lineRule="exact"/>
                    <w:ind w:left="0" w:firstLine="0"/>
                    <w:jc w:val="left"/>
                  </w:pPr>
                  <w:r>
                    <w:t xml:space="preserve">INSTITUTE</w:t>
                  </w:r>
                  <w:r>
                    <w:t xml:space="preserve"> </w:t>
                  </w:r>
                  <w:r>
                    <w:t xml:space="preserve">FOR</w:t>
                  </w:r>
                  <w:r>
                    <w:t xml:space="preserve"> </w:t>
                  </w:r>
                  <w:r>
                    <w:t xml:space="preserve">JUSTICE</w:t>
                  </w:r>
                </w:p>
                <w:p>
                  <w:pPr>
                    <w:spacing w:before="0" w:after="0" w:line="322" w:lineRule="exact"/>
                    <w:ind w:left="0" w:firstLine="0"/>
                    <w:jc w:val="left"/>
                  </w:pPr>
                  <w:r>
                    <w:t xml:space="preserve">901</w:t>
                  </w:r>
                  <w:r>
                    <w:t xml:space="preserve"> </w:t>
                  </w:r>
                  <w:r>
                    <w:t xml:space="preserve">N.</w:t>
                  </w:r>
                  <w:r>
                    <w:t xml:space="preserve"> </w:t>
                  </w:r>
                  <w:r>
                    <w:t xml:space="preserve">Glebe</w:t>
                  </w:r>
                  <w:r>
                    <w:t xml:space="preserve"> </w:t>
                  </w:r>
                  <w:r>
                    <w:t xml:space="preserve">Rd.,</w:t>
                  </w:r>
                  <w:r>
                    <w:t xml:space="preserve"> </w:t>
                  </w:r>
                  <w:r>
                    <w:t xml:space="preserve">Suite</w:t>
                  </w:r>
                  <w:r>
                    <w:t xml:space="preserve"> </w:t>
                  </w:r>
                  <w:r>
                    <w:t xml:space="preserve">900</w:t>
                  </w:r>
                </w:p>
                <w:p>
                  <w:pPr>
                    <w:spacing w:before="0" w:after="0" w:line="322" w:lineRule="exact"/>
                    <w:ind w:left="0" w:firstLine="0"/>
                    <w:jc w:val="left"/>
                  </w:pPr>
                  <w:r>
                    <w:t xml:space="preserve">Arlington,</w:t>
                  </w:r>
                  <w:r>
                    <w:t xml:space="preserve"> </w:t>
                  </w:r>
                  <w:r>
                    <w:t xml:space="preserve">VA</w:t>
                  </w:r>
                  <w:r>
                    <w:t xml:space="preserve"> </w:t>
                  </w:r>
                  <w:r>
                    <w:t xml:space="preserve">22203</w:t>
                  </w:r>
                </w:p>
                <w:p>
                  <w:pPr>
                    <w:spacing w:before="0" w:after="0" w:line="322" w:lineRule="exact"/>
                    <w:ind w:left="0" w:firstLine="0"/>
                    <w:jc w:val="left"/>
                  </w:pPr>
                  <w:r>
                    <w:t xml:space="preserve">Tel.:</w:t>
                  </w:r>
                  <w:r>
                    <w:t xml:space="preserve"> </w:t>
                  </w:r>
                  <w:r>
                    <w:t xml:space="preserve">(703)</w:t>
                  </w:r>
                  <w:r>
                    <w:t xml:space="preserve"> </w:t>
                  </w:r>
                  <w:r>
                    <w:t xml:space="preserve">682-⁠9320</w:t>
                  </w:r>
                </w:p>
                <w:p>
                  <w:pPr>
                    <w:spacing w:before="0" w:after="0" w:line="322" w:lineRule="exact"/>
                    <w:ind w:left="0" w:firstLine="0"/>
                    <w:jc w:val="left"/>
                  </w:pPr>
                  <w:r>
                    <w:t xml:space="preserve">Fax:</w:t>
                  </w:r>
                  <w:r>
                    <w:t xml:space="preserve"> </w:t>
                  </w:r>
                  <w:r>
                    <w:t xml:space="preserve">(703)</w:t>
                  </w:r>
                  <w:r>
                    <w:t xml:space="preserve"> </w:t>
                  </w:r>
                  <w:r>
                    <w:t xml:space="preserve">682-⁠9321</w:t>
                  </w:r>
                </w:p>
                <w:p>
                  <w:pPr>
                    <w:spacing w:before="0" w:after="0" w:line="322" w:lineRule="exact"/>
                    <w:ind w:left="0" w:firstLine="0"/>
                    <w:jc w:val="left"/>
                  </w:pPr>
                  <w:r>
                    <w:t xml:space="preserve">mgreenberg@ij.org</w:t>
                  </w:r>
                </w:p>
                <w:p>
                  <w:pPr>
                    <w:spacing w:before="0" w:after="0" w:line="322" w:lineRule="exact"/>
                    <w:ind w:left="0" w:firstLine="0"/>
                    <w:jc w:val="left"/>
                  </w:pPr>
                  <w:r>
                    <w:t xml:space="preserve">rfrommer@ij.org</w:t>
                  </w:r>
                </w:p>
                <w:p>
                  <w:pPr>
                    <w:spacing w:before="0" w:after="0" w:line="32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Institute</w:t>
                  </w:r>
                  <w:r>
                    <w:t xml:space="preserve"> </w:t>
                  </w:r>
                  <w:r>
                    <w:t xml:space="preserve">for</w:t>
                  </w:r>
                  <w:r>
                    <w:t xml:space="preserve"> </w:t>
                  </w:r>
                  <w:r>
                    <w:t xml:space="preserve">Justice</w:t>
                  </w:r>
                </w:p>
              </w:tc>
              <w:tc>
                <w:tcPr>
                  <w:tcW w:w="3264" w:type="dxa"/>
                  <w:tcMar>
                    <w:left w:w="432" w:type="dxa"/>
                  </w:tcMar>
                </w:tcPr>
                <w:p>
                  <w:pPr>
                    <w:spacing w:before="0" w:after="0" w:line="322" w:lineRule="exact"/>
                    <w:ind w:left="0" w:firstLine="0"/>
                    <w:jc w:val="left"/>
                  </w:pPr>
                  <w:r>
                    <w:t xml:space="preserve">Bridget</w:t>
                  </w:r>
                  <w:r>
                    <w:t xml:space="preserve"> </w:t>
                  </w:r>
                  <w:r>
                    <w:t xml:space="preserve">Lavender*</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FOUNDATION</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17th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(212)</w:t>
                  </w:r>
                  <w:r>
                    <w:t xml:space="preserve"> </w:t>
                  </w:r>
                  <w:r>
                    <w:t xml:space="preserve">549-⁠2500</w:t>
                  </w:r>
                </w:p>
                <w:p>
                  <w:pPr>
                    <w:spacing w:before="0" w:after="0" w:line="322" w:lineRule="exact"/>
                    <w:ind w:left="0" w:firstLine="0"/>
                    <w:jc w:val="left"/>
                  </w:pPr>
                  <w:r>
                    <w:t xml:space="preserve">blavender@aclu.org</w:t>
                  </w:r>
                </w:p>
                <w:p>
                  <w:pPr>
                    <w:spacing w:before="0" w:after="0" w:line="32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p>
              </w:tc>
              <w:tc>
                <w:tcPr>
                  <w:tcW w:w="3264" w:type="dxa"/>
                  <w:tcMar>
                    <w:left w:w="432" w:type="dxa"/>
                  </w:tcMar>
                </w:tcPr>
                <w:p>
                  <w:pPr>
                    <w:spacing w:before="0" w:after="0" w:line="322" w:lineRule="exact"/>
                    <w:ind w:left="0" w:firstLine="0"/>
                    <w:jc w:val="left"/>
                  </w:pPr>
                  <w:r>
                    <w:t xml:space="preserve">Vishal</w:t>
                  </w:r>
                  <w:r>
                    <w:t xml:space="preserve"> </w:t>
                  </w:r>
                  <w:r>
                    <w:t xml:space="preserve">Agraharkar</w:t>
                  </w:r>
                  <w:r>
                    <w:t xml:space="preserve"> </w:t>
                  </w:r>
                  <w:r>
                    <w:t xml:space="preserve">(VSB</w:t>
                  </w:r>
                  <w:r>
                    <w:t xml:space="preserve"> </w:t>
                  </w:r>
                  <w:r>
                    <w:t xml:space="preserve">#93265)</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OF</w:t>
                  </w:r>
                  <w:r>
                    <w:t xml:space="preserve"> </w:t>
                  </w:r>
                  <w:r>
                    <w:t xml:space="preserve">VIRGINIA</w:t>
                  </w:r>
                </w:p>
                <w:p>
                  <w:pPr>
                    <w:spacing w:before="0" w:after="0" w:line="322" w:lineRule="exact"/>
                    <w:ind w:left="0" w:firstLine="0"/>
                    <w:jc w:val="left"/>
                  </w:pPr>
                  <w:r>
                    <w:t xml:space="preserve">701</w:t>
                  </w:r>
                  <w:r>
                    <w:t xml:space="preserve"> </w:t>
                  </w:r>
                  <w:r>
                    <w:t xml:space="preserve">E.</w:t>
                  </w:r>
                  <w:r>
                    <w:t xml:space="preserve"> </w:t>
                  </w:r>
                  <w:r>
                    <w:t xml:space="preserve">Franklin</w:t>
                  </w:r>
                  <w:r>
                    <w:t xml:space="preserve"> </w:t>
                  </w:r>
                  <w:r>
                    <w:t xml:space="preserve">Street,</w:t>
                  </w:r>
                  <w:r>
                    <w:t xml:space="preserve"> </w:t>
                  </w:r>
                  <w:r>
                    <w:t xml:space="preserve">Ste.</w:t>
                  </w:r>
                  <w:r>
                    <w:t xml:space="preserve"> </w:t>
                  </w:r>
                  <w:r>
                    <w:t xml:space="preserve">1412</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523-⁠2151</w:t>
                  </w:r>
                </w:p>
                <w:p>
                  <w:pPr>
                    <w:spacing w:before="0" w:after="0" w:line="322" w:lineRule="exact"/>
                    <w:ind w:left="0" w:firstLine="0"/>
                    <w:jc w:val="left"/>
                  </w:pPr>
                  <w:r>
                    <w:t xml:space="preserve">vagraharkar@acluva.org</w:t>
                  </w:r>
                </w:p>
                <w:p>
                  <w:pPr>
                    <w:spacing w:before="0" w:after="0" w:line="32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Virginia</w:t>
                  </w:r>
                </w:p>
                <w:p>
                  <w:pPr>
                    <w:spacing w:before="0" w:after="0" w:line="322" w:lineRule="exact"/>
                    <w:ind w:left="0" w:firstLine="0"/>
                    <w:jc w:val="left"/>
                  </w:pPr>
                  <w:r>
                    <w:t xml:space="preserve">*Motion</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forthcoming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Rules</w:t>
      </w:r>
      <w:r>
        <w:t xml:space="preserve"> </w:t>
      </w:r>
      <w:r>
        <w:t xml:space="preserve">5:6,</w:t>
      </w:r>
      <w:r>
        <w:t xml:space="preserve"> </w:t>
      </w:r>
      <w:r>
        <w:t xml:space="preserve">5:26(b)</w:t>
      </w:r>
      <w:r>
        <w:t xml:space="preserve"> </w:t>
      </w:r>
      <w:r>
        <w:t xml:space="preserve">and</w:t>
      </w:r>
      <w:r>
        <w:t xml:space="preserve"> </w:t>
      </w:r>
      <w:r>
        <w:t xml:space="preserve">5:30(e)</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6910</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2024</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Elizabeth</w:t>
      </w:r>
      <w:r>
        <w:t xml:space="preserve"> </w:t>
      </w:r>
      <w:r>
        <w:t xml:space="preserve">D.</w:t>
      </w:r>
      <w:r>
        <w:t xml:space="preserve"> </w:t>
      </w:r>
      <w:r>
        <w:t xml:space="preserve">Teare</w:t>
      </w:r>
      <w:r>
        <w:t xml:space="preserve"> </w:t>
      </w:r>
      <w:r>
        <w:t xml:space="preserve">(VSB</w:t>
      </w:r>
      <w:r>
        <w:t xml:space="preserve"> </w:t>
      </w:r>
      <w:r>
        <w:t xml:space="preserve">No.</w:t>
      </w:r>
      <w:r>
        <w:t xml:space="preserve"> </w:t>
      </w:r>
      <w:r>
        <w:t xml:space="preserve">31809)</w:t>
      </w:r>
    </w:p>
    <w:p>
      <w:pPr>
        <w:spacing w:before="0" w:after="0" w:line="322" w:lineRule="exact"/>
        <w:ind w:left="0" w:firstLine="0"/>
        <w:jc w:val="left"/>
      </w:pPr>
      <w:r>
        <w:t xml:space="preserve">T.</w:t>
      </w:r>
      <w:r>
        <w:t xml:space="preserve"> </w:t>
      </w:r>
      <w:r>
        <w:t xml:space="preserve">David</w:t>
      </w:r>
      <w:r>
        <w:t xml:space="preserve"> </w:t>
      </w:r>
      <w:r>
        <w:t xml:space="preserve">Stoner</w:t>
      </w:r>
      <w:r>
        <w:t xml:space="preserve"> </w:t>
      </w:r>
      <w:r>
        <w:t xml:space="preserve">(VSB</w:t>
      </w:r>
      <w:r>
        <w:t xml:space="preserve"> </w:t>
      </w:r>
      <w:r>
        <w:t xml:space="preserve">No.</w:t>
      </w:r>
      <w:r>
        <w:t xml:space="preserve"> </w:t>
      </w:r>
      <w:r>
        <w:t xml:space="preserve">24366)</w:t>
      </w:r>
    </w:p>
    <w:p>
      <w:pPr>
        <w:spacing w:before="0" w:after="0" w:line="322" w:lineRule="exact"/>
        <w:ind w:left="0" w:firstLine="0"/>
        <w:jc w:val="left"/>
      </w:pPr>
      <w:r>
        <w:t xml:space="preserve">Laura</w:t>
      </w:r>
      <w:r>
        <w:t xml:space="preserve"> </w:t>
      </w:r>
      <w:r>
        <w:t xml:space="preserve">S.</w:t>
      </w:r>
      <w:r>
        <w:t xml:space="preserve"> </w:t>
      </w:r>
      <w:r>
        <w:t xml:space="preserve">Gori</w:t>
      </w:r>
      <w:r>
        <w:t xml:space="preserve"> </w:t>
      </w:r>
      <w:r>
        <w:t xml:space="preserve">(VSB</w:t>
      </w:r>
      <w:r>
        <w:t xml:space="preserve"> </w:t>
      </w:r>
      <w:r>
        <w:t xml:space="preserve">No.</w:t>
      </w:r>
      <w:r>
        <w:t xml:space="preserve"> </w:t>
      </w:r>
      <w:r>
        <w:t xml:space="preserve">65907)</w:t>
      </w:r>
    </w:p>
    <w:p>
      <w:pPr>
        <w:spacing w:before="0" w:after="0" w:line="322" w:lineRule="exact"/>
        <w:ind w:left="0" w:firstLine="0"/>
        <w:jc w:val="left"/>
      </w:pPr>
      <w:r>
        <w:t xml:space="preserve">Sara</w:t>
      </w:r>
      <w:r>
        <w:t xml:space="preserve"> </w:t>
      </w:r>
      <w:r>
        <w:t xml:space="preserve">G.</w:t>
      </w:r>
      <w:r>
        <w:t xml:space="preserve"> </w:t>
      </w:r>
      <w:r>
        <w:t xml:space="preserve">Silverman</w:t>
      </w:r>
      <w:r>
        <w:t xml:space="preserve"> </w:t>
      </w:r>
      <w:r>
        <w:t xml:space="preserve">(VSB</w:t>
      </w:r>
      <w:r>
        <w:t xml:space="preserve"> </w:t>
      </w:r>
      <w:r>
        <w:t xml:space="preserve">No.</w:t>
      </w:r>
      <w:r>
        <w:t xml:space="preserve"> </w:t>
      </w:r>
      <w:r>
        <w:t xml:space="preserve">77317)</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Fairfax</w:t>
      </w:r>
      <w:r>
        <w:t xml:space="preserve"> </w:t>
      </w:r>
      <w:r>
        <w:t xml:space="preserve">County</w:t>
      </w:r>
      <w:r>
        <w:t xml:space="preserve"> </w:t>
      </w:r>
      <w:r>
        <w:t xml:space="preserve">Attorney</w:t>
      </w:r>
    </w:p>
    <w:p>
      <w:pPr>
        <w:spacing w:before="0" w:after="0" w:line="322" w:lineRule="exact"/>
        <w:ind w:left="0" w:firstLine="0"/>
        <w:jc w:val="left"/>
      </w:pPr>
      <w:r>
        <w:t xml:space="preserve">12000</w:t>
      </w:r>
      <w:r>
        <w:t xml:space="preserve"> </w:t>
      </w:r>
      <w:r>
        <w:t xml:space="preserve">Government</w:t>
      </w:r>
      <w:r>
        <w:t xml:space="preserve"> </w:t>
      </w:r>
      <w:r>
        <w:t xml:space="preserve">Center</w:t>
      </w:r>
      <w:r>
        <w:t xml:space="preserve"> </w:t>
      </w:r>
      <w:r>
        <w:t xml:space="preserve">Parkway,</w:t>
      </w:r>
      <w:r>
        <w:t xml:space="preserve"> </w:t>
      </w:r>
      <w:r>
        <w:t xml:space="preserve">Suite</w:t>
      </w:r>
      <w:r>
        <w:t xml:space="preserve"> </w:t>
      </w:r>
      <w:r>
        <w:t xml:space="preserve">549</w:t>
      </w:r>
    </w:p>
    <w:p>
      <w:pPr>
        <w:spacing w:before="0" w:after="0" w:line="322" w:lineRule="exact"/>
        <w:ind w:left="0" w:firstLine="0"/>
        <w:jc w:val="left"/>
      </w:pPr>
      <w:r>
        <w:t xml:space="preserve">Fairfax,</w:t>
      </w:r>
      <w:r>
        <w:t xml:space="preserve"> </w:t>
      </w:r>
      <w:r>
        <w:t xml:space="preserve">VA</w:t>
      </w:r>
      <w:r>
        <w:t xml:space="preserve"> </w:t>
      </w:r>
      <w:r>
        <w:t xml:space="preserve">22035</w:t>
      </w:r>
    </w:p>
    <w:p>
      <w:pPr>
        <w:spacing w:before="0" w:after="0" w:line="322" w:lineRule="exact"/>
        <w:ind w:left="0" w:firstLine="0"/>
        <w:jc w:val="left"/>
      </w:pPr>
      <w:r>
        <w:t xml:space="preserve">(703)</w:t>
      </w:r>
      <w:r>
        <w:t xml:space="preserve"> </w:t>
      </w:r>
      <w:r>
        <w:t xml:space="preserve">324-⁠2421</w:t>
      </w:r>
    </w:p>
    <w:p>
      <w:pPr>
        <w:spacing w:before="0" w:after="0" w:line="322" w:lineRule="exact"/>
        <w:ind w:left="0" w:firstLine="0"/>
        <w:jc w:val="left"/>
      </w:pPr>
      <w:r>
        <w:t xml:space="preserve">elizabeth.teare@fairfaxcounty.gov</w:t>
      </w:r>
    </w:p>
    <w:p>
      <w:pPr>
        <w:spacing w:before="0" w:after="0" w:line="322" w:lineRule="exact"/>
        <w:ind w:left="0" w:firstLine="0"/>
        <w:jc w:val="left"/>
      </w:pPr>
      <w:r>
        <w:t xml:space="preserve">david.stoner2@fairfaxcounty.gov</w:t>
      </w:r>
    </w:p>
    <w:p>
      <w:pPr>
        <w:spacing w:before="0" w:after="0" w:line="322" w:lineRule="exact"/>
        <w:ind w:left="0" w:firstLine="0"/>
        <w:jc w:val="left"/>
      </w:pPr>
      <w:r>
        <w:t xml:space="preserve">laura.gori@fairfaxcounty.gov</w:t>
      </w:r>
    </w:p>
    <w:p>
      <w:pPr>
        <w:spacing w:before="0" w:after="0" w:line="322" w:lineRule="exact"/>
        <w:ind w:left="0" w:firstLine="0"/>
        <w:jc w:val="left"/>
      </w:pPr>
      <w:r>
        <w:t xml:space="preserve">sara.silverman@fairfaxcounty.gov</w:t>
      </w:r>
    </w:p>
    <w:p>
      <w:pPr>
        <w:spacing w:before="336" w:after="0" w:line="322" w:lineRule="exact"/>
        <w:ind w:left="0" w:firstLine="0"/>
        <w:jc w:val="left"/>
      </w:pPr>
      <w:r>
        <w:t xml:space="preserve">Gifford</w:t>
      </w:r>
      <w:r>
        <w:t xml:space="preserve"> </w:t>
      </w:r>
      <w:r>
        <w:t xml:space="preserve">R.</w:t>
      </w:r>
      <w:r>
        <w:t xml:space="preserve"> </w:t>
      </w:r>
      <w:r>
        <w:t xml:space="preserve">Hampshire</w:t>
      </w:r>
      <w:r>
        <w:t xml:space="preserve"> </w:t>
      </w:r>
      <w:r>
        <w:t xml:space="preserve">(VSB</w:t>
      </w:r>
      <w:r>
        <w:t xml:space="preserve"> </w:t>
      </w:r>
      <w:r>
        <w:t xml:space="preserve">No.</w:t>
      </w:r>
      <w:r>
        <w:t xml:space="preserve"> </w:t>
      </w:r>
      <w:r>
        <w:t xml:space="preserve">28954)</w:t>
      </w:r>
    </w:p>
    <w:p>
      <w:pPr>
        <w:spacing w:before="0" w:after="0" w:line="322" w:lineRule="exact"/>
        <w:ind w:left="0" w:firstLine="0"/>
        <w:jc w:val="left"/>
      </w:pPr>
      <w:r>
        <w:t xml:space="preserve">James</w:t>
      </w:r>
      <w:r>
        <w:t xml:space="preserve"> </w:t>
      </w:r>
      <w:r>
        <w:t xml:space="preserve">R.</w:t>
      </w:r>
      <w:r>
        <w:t xml:space="preserve"> </w:t>
      </w:r>
      <w:r>
        <w:t xml:space="preserve">Meizanis,</w:t>
      </w:r>
      <w:r>
        <w:t xml:space="preserve"> </w:t>
      </w:r>
      <w:r>
        <w:t xml:space="preserve">Jr.</w:t>
      </w:r>
      <w:r>
        <w:t xml:space="preserve"> </w:t>
      </w:r>
      <w:r>
        <w:t xml:space="preserve">(VSB</w:t>
      </w:r>
      <w:r>
        <w:t xml:space="preserve"> </w:t>
      </w:r>
      <w:r>
        <w:t xml:space="preserve">No.</w:t>
      </w:r>
      <w:r>
        <w:t xml:space="preserve"> </w:t>
      </w:r>
      <w:r>
        <w:t xml:space="preserve">80692)</w:t>
      </w:r>
    </w:p>
    <w:p>
      <w:pPr>
        <w:spacing w:before="0" w:after="0" w:line="322" w:lineRule="exact"/>
        <w:ind w:left="0" w:firstLine="0"/>
        <w:jc w:val="left"/>
      </w:pPr>
      <w:r>
        <w:t xml:space="preserve">BLANKINGSHIP</w:t>
      </w:r>
      <w:r>
        <w:t xml:space="preserve"> </w:t>
      </w:r>
      <w:r>
        <w:t xml:space="preserve">&amp;</w:t>
      </w:r>
      <w:r>
        <w:t xml:space="preserve"> </w:t>
      </w:r>
      <w:r>
        <w:t xml:space="preserve">KEITH,</w:t>
      </w:r>
      <w:r>
        <w:t xml:space="preserve"> </w:t>
      </w:r>
      <w:r>
        <w:t xml:space="preserve">P.C.</w:t>
      </w:r>
    </w:p>
    <w:p>
      <w:pPr>
        <w:spacing w:before="0" w:after="0" w:line="322" w:lineRule="exact"/>
        <w:ind w:left="0" w:firstLine="0"/>
        <w:jc w:val="left"/>
      </w:pPr>
      <w:r>
        <w:t xml:space="preserve">4020</w:t>
      </w:r>
      <w:r>
        <w:t xml:space="preserve"> </w:t>
      </w:r>
      <w:r>
        <w:t xml:space="preserve">University</w:t>
      </w:r>
      <w:r>
        <w:t xml:space="preserve"> </w:t>
      </w:r>
      <w:r>
        <w:t xml:space="preserve">Drive,</w:t>
      </w:r>
      <w:r>
        <w:t xml:space="preserve"> </w:t>
      </w:r>
      <w:r>
        <w:t xml:space="preserve">Suite</w:t>
      </w:r>
      <w:r>
        <w:t xml:space="preserve"> </w:t>
      </w:r>
      <w:r>
        <w:t xml:space="preserve">300</w:t>
      </w:r>
    </w:p>
    <w:p>
      <w:pPr>
        <w:spacing w:before="0" w:after="0" w:line="322" w:lineRule="exact"/>
        <w:ind w:left="0" w:firstLine="0"/>
        <w:jc w:val="left"/>
      </w:pPr>
      <w:r>
        <w:t xml:space="preserve">Fairfax,</w:t>
      </w:r>
      <w:r>
        <w:t xml:space="preserve"> </w:t>
      </w:r>
      <w:r>
        <w:t xml:space="preserve">Virginia</w:t>
      </w:r>
      <w:r>
        <w:t xml:space="preserve"> </w:t>
      </w:r>
      <w:r>
        <w:t xml:space="preserve">22030</w:t>
      </w:r>
    </w:p>
    <w:p>
      <w:pPr>
        <w:spacing w:before="0" w:after="0" w:line="322" w:lineRule="exact"/>
        <w:ind w:left="0" w:firstLine="0"/>
        <w:jc w:val="left"/>
      </w:pPr>
      <w:r>
        <w:t xml:space="preserve">ghampshire@bklawva.com</w:t>
      </w:r>
    </w:p>
    <w:p>
      <w:pPr>
        <w:spacing w:before="0" w:after="0" w:line="322" w:lineRule="exact"/>
        <w:ind w:left="0" w:firstLine="0"/>
        <w:jc w:val="left"/>
      </w:pPr>
      <w:r>
        <w:t xml:space="preserve">jmeizanis@bklawva.com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E.g.</w:t>
      </w:r>
      <w:r>
        <w:t xml:space="preserve">,</w:t>
      </w:r>
      <w:r>
        <w:t xml:space="preserve"> </w:t>
      </w:r>
      <w:r>
        <w:rPr>
          <w:i/>
          <w:iCs/>
        </w:rPr>
        <w:t xml:space="preserve">Olson</w:t>
      </w:r>
      <w:r>
        <w:rPr>
          <w:i/>
          <w:iCs/>
        </w:rPr>
        <w:t xml:space="preserve"> </w:t>
      </w:r>
      <w:r>
        <w:rPr>
          <w:i/>
          <w:iCs/>
        </w:rPr>
        <w:t xml:space="preserve">v. Comm’r of Pub. Safety</w:t>
      </w:r>
      <w:r>
        <w:t xml:space="preserve">, 371 N.W.2d 552, 553, 556 (Minn. 1985) (applying exclusionary rule to driver’s license suspension proceeding);</w:t>
      </w:r>
      <w:r>
        <w:t xml:space="preserve"> </w:t>
      </w:r>
      <w:r>
        <w:rPr>
          <w:i/>
          <w:iCs/>
        </w:rPr>
        <w:t xml:space="preserve">Goldin</w:t>
      </w:r>
      <w:r>
        <w:rPr>
          <w:i/>
          <w:iCs/>
        </w:rPr>
        <w:t xml:space="preserve"> </w:t>
      </w:r>
      <w:r>
        <w:rPr>
          <w:i/>
          <w:iCs/>
        </w:rPr>
        <w:t xml:space="preserve">v. Pub. Util. Comm’n</w:t>
      </w:r>
      <w:r>
        <w:t xml:space="preserve">, 23 Cal. 3d 638, 668–69 &amp; nn.18–19 (Cal. 1979) (applying rule to public-utilities commission proceedings);</w:t>
      </w:r>
      <w:r>
        <w:t xml:space="preserve"> </w:t>
      </w:r>
      <w:r>
        <w:rPr>
          <w:i/>
          <w:iCs/>
        </w:rPr>
        <w:t xml:space="preserve">Jefferson</w:t>
      </w:r>
      <w:r>
        <w:rPr>
          <w:i/>
          <w:iCs/>
        </w:rPr>
        <w:t xml:space="preserve"> </w:t>
      </w:r>
      <w:r>
        <w:rPr>
          <w:i/>
          <w:iCs/>
        </w:rPr>
        <w:t xml:space="preserve">Parish v. Bayou Landing, Ltd.</w:t>
      </w:r>
      <w:r>
        <w:t xml:space="preserve">, 350 So. 2d 158, 161 (La. 1977) (applying rule to civil nuisance-abatement proceedings);</w:t>
      </w:r>
      <w:r>
        <w:t xml:space="preserve"> </w:t>
      </w:r>
      <w:r>
        <w:rPr>
          <w:i/>
          <w:iCs/>
        </w:rPr>
        <w:t xml:space="preserve">Carson</w:t>
      </w:r>
      <w:r>
        <w:rPr>
          <w:i/>
          <w:iCs/>
        </w:rPr>
        <w:t xml:space="preserve"> </w:t>
      </w:r>
      <w:r>
        <w:rPr>
          <w:i/>
          <w:iCs/>
        </w:rPr>
        <w:t xml:space="preserve">v. State ex rel. Price</w:t>
      </w:r>
      <w:r>
        <w:t xml:space="preserve">, 144 S.E.2d 384, 387 (Ga. 1965) (same);</w:t>
      </w:r>
      <w:r>
        <w:t xml:space="preserve"> </w:t>
      </w:r>
      <w:r>
        <w:rPr>
          <w:i/>
          <w:iCs/>
        </w:rPr>
        <w:t xml:space="preserve">Carlisle</w:t>
      </w:r>
      <w:r>
        <w:rPr>
          <w:i/>
          <w:iCs/>
        </w:rPr>
        <w:t xml:space="preserve"> </w:t>
      </w:r>
      <w:r>
        <w:rPr>
          <w:i/>
          <w:iCs/>
        </w:rPr>
        <w:t xml:space="preserve">v. State ex rel. Trammell</w:t>
      </w:r>
      <w:r>
        <w:t xml:space="preserve">, 163 So. 2d 596, 598 (Ala. 1964) (same);</w:t>
      </w:r>
      <w:r>
        <w:t xml:space="preserve"> </w:t>
      </w:r>
      <w:r>
        <w:rPr>
          <w:i/>
          <w:iCs/>
        </w:rPr>
        <w:t xml:space="preserve">Finn’s</w:t>
      </w:r>
      <w:r>
        <w:rPr>
          <w:i/>
          <w:iCs/>
        </w:rPr>
        <w:t xml:space="preserve"> </w:t>
      </w:r>
      <w:r>
        <w:rPr>
          <w:i/>
          <w:iCs/>
        </w:rPr>
        <w:t xml:space="preserve">Liquor Shop, Inc. v. State Liquor Auth.</w:t>
      </w:r>
      <w:r>
        <w:t xml:space="preserve">, 249 N.E.2d 440, 443 (N.Y. 1969) (applying rule to liquor-license suspension hearings; anything less would leave “no way to protect licensees from abuse and harassment at the hands of [agency’s] employees or agents”). As discussed in Part II, some of these state supreme courts’ holdings relied on both federal and state constitutional analysis.</w:t>
      </w:r>
    </w:p>
  </w:footnote>
  <w:footnote w:id="10">
    <w:p>
      <w:pPr>
        <w:pStyle w:val="FootnoteText"/>
      </w:pPr>
      <w:r>
        <w:rPr>
          <w:rStyle w:val="FootnoteReference"/>
        </w:rPr>
        <w:footnoteRef/>
      </w:r>
      <w:r>
        <w:t xml:space="preserve"> </w:t>
      </w:r>
      <w:r>
        <w:rPr>
          <w:i/>
          <w:iCs/>
        </w:rPr>
        <w:t xml:space="preserve">E.g.</w:t>
      </w:r>
      <w:r>
        <w:t xml:space="preserve">,</w:t>
      </w:r>
      <w:r>
        <w:t xml:space="preserve"> </w:t>
      </w:r>
      <w:r>
        <w:rPr>
          <w:i/>
          <w:iCs/>
        </w:rPr>
        <w:t xml:space="preserve">Savina</w:t>
      </w:r>
      <w:r>
        <w:rPr>
          <w:i/>
          <w:iCs/>
        </w:rPr>
        <w:t xml:space="preserve"> </w:t>
      </w:r>
      <w:r>
        <w:rPr>
          <w:i/>
          <w:iCs/>
        </w:rPr>
        <w:t xml:space="preserve">Home Indus. v. Sec’y of Lab.</w:t>
      </w:r>
      <w:r>
        <w:t xml:space="preserve">, 594 F.2d 1358, 1362–63 (10th Cir. 1979) (“Certainly considerations of … deterring official lawlessness do not become inconsequential simply because an illegal search is conducted by the Department of Labor instead of by the Department of Justice.”);</w:t>
      </w:r>
      <w:r>
        <w:t xml:space="preserve"> </w:t>
      </w:r>
      <w:r>
        <w:rPr>
          <w:i/>
          <w:iCs/>
        </w:rPr>
        <w:t xml:space="preserve">Pizzarello</w:t>
      </w:r>
      <w:r>
        <w:rPr>
          <w:i/>
          <w:iCs/>
        </w:rPr>
        <w:t xml:space="preserve"> </w:t>
      </w:r>
      <w:r>
        <w:rPr>
          <w:i/>
          <w:iCs/>
        </w:rPr>
        <w:t xml:space="preserve">v. United States</w:t>
      </w:r>
      <w:r>
        <w:t xml:space="preserve">, 408 F.2d 579, 586 (2d Cir. 1969) (“Absent an exclusionary rule, the Government would be free to undertake unreasonable searches and seizures in all civil cases without the possibility of unfavorable consequences … ⁠. [I]t seems clear, even under a view of the law most favorable to the Government, that evidence so obtained would be excluded.”).</w:t>
      </w:r>
    </w:p>
  </w:footnote>
  <w:footnote w:id="11">
    <w:p>
      <w:pPr>
        <w:pStyle w:val="FootnoteText"/>
      </w:pPr>
      <w:r>
        <w:rPr>
          <w:rStyle w:val="FootnoteReference"/>
        </w:rPr>
        <w:footnoteRef/>
      </w:r>
      <w:r>
        <w:t xml:space="preserve"> </w:t>
      </w:r>
      <w:r>
        <w:rPr>
          <w:i/>
          <w:iCs/>
        </w:rPr>
        <w:t xml:space="preserve">E.g.</w:t>
      </w:r>
      <w:r>
        <w:t xml:space="preserve">,</w:t>
      </w:r>
      <w:r>
        <w:t xml:space="preserve"> </w:t>
      </w:r>
      <w:r>
        <w:rPr>
          <w:i/>
          <w:iCs/>
        </w:rPr>
        <w:t xml:space="preserve">Pike</w:t>
      </w:r>
      <w:r>
        <w:rPr>
          <w:i/>
          <w:iCs/>
        </w:rPr>
        <w:t xml:space="preserve"> </w:t>
      </w:r>
      <w:r>
        <w:rPr>
          <w:i/>
          <w:iCs/>
        </w:rPr>
        <w:t xml:space="preserve">v. Gallagher</w:t>
      </w:r>
      <w:r>
        <w:t xml:space="preserve">, 829 F. Supp. 1254, 1263–66 (D.N.M. 1993) (excluding evidence from a warrantless drug test of a municipal employee in an employment disciplinary proceeding);</w:t>
      </w:r>
      <w:r>
        <w:t xml:space="preserve"> </w:t>
      </w:r>
      <w:r>
        <w:rPr>
          <w:i/>
          <w:iCs/>
        </w:rPr>
        <w:t xml:space="preserve">Jones</w:t>
      </w:r>
      <w:r>
        <w:rPr>
          <w:i/>
          <w:iCs/>
        </w:rPr>
        <w:t xml:space="preserve"> </w:t>
      </w:r>
      <w:r>
        <w:rPr>
          <w:i/>
          <w:iCs/>
        </w:rPr>
        <w:t xml:space="preserve">v. Latexo Indep. Sch. Dist.</w:t>
      </w:r>
      <w:r>
        <w:t xml:space="preserve">, 499 F. Supp. 223, 239 (E.D. Tex. 1980) (“The failure to apply a corollary of the exclusionary rule in this context would leave school officials free to trench upon the constitutional rights of students in their charge without meaningful restraint or fear of adverse consequences.”).</w:t>
      </w:r>
    </w:p>
  </w:footnote>
  <w:footnote w:id="12">
    <w:p>
      <w:pPr>
        <w:pStyle w:val="FootnoteText"/>
      </w:pPr>
      <w:r>
        <w:rPr>
          <w:rStyle w:val="FootnoteReference"/>
        </w:rPr>
        <w:footnoteRef/>
      </w:r>
      <w:r>
        <w:t xml:space="preserve"> </w:t>
      </w:r>
      <w:r>
        <w:t xml:space="preserve">Again, amici recite the facts as recounted by Ms. Leach-Lewis. Because of the BZA’s and Circuit Court’s erroneous belief that the search’s legality was irrelevant, no factfinder has yet weighed in on Officer Enos’s contrary story that he obtained valid consent to enter and scour Ms. Leach-Lewis’s home. Should a factfinder give credence to his version of events on remand, there would be no basis to exclude the fruits of a search if it was, in fact, lawful.</w:t>
      </w:r>
      <w:r>
        <w:t xml:space="preserve"> </w:t>
      </w:r>
      <w:r>
        <w:rPr>
          <w:i/>
          <w:iCs/>
        </w:rPr>
        <w:t xml:space="preserve">Cf.</w:t>
      </w:r>
      <w:r>
        <w:t xml:space="preserve"> </w:t>
      </w:r>
      <w:r>
        <w:t xml:space="preserve">p. 12, above (discussing</w:t>
      </w:r>
      <w:r>
        <w:t xml:space="preserve"> </w:t>
      </w:r>
      <w:r>
        <w:rPr>
          <w:i/>
          <w:iCs/>
        </w:rPr>
        <w:t xml:space="preserve">Ehlers’s</w:t>
      </w:r>
      <w:r>
        <w:t xml:space="preserve"> </w:t>
      </w:r>
      <w:r>
        <w:t xml:space="preserve">holding).</w:t>
      </w:r>
    </w:p>
  </w:footnote>
  <w:footnote w:id="13">
    <w:p>
      <w:pPr>
        <w:pStyle w:val="FootnoteText"/>
      </w:pPr>
      <w:r>
        <w:rPr>
          <w:rStyle w:val="FootnoteReference"/>
        </w:rPr>
        <w:footnoteRef/>
      </w:r>
      <w:r>
        <w:t xml:space="preserve"> </w:t>
      </w:r>
      <w:r>
        <w:t xml:space="preserve">As discussed below (at p. 39 n.7), many state courts decline to follow this federal-law exception and suppress evidence obtained in violation of search-of-seizure protections even if an officer relied on an outside source of authority for his actions.</w:t>
      </w:r>
    </w:p>
  </w:footnote>
  <w:footnote w:id="14">
    <w:p>
      <w:pPr>
        <w:pStyle w:val="FootnoteText"/>
      </w:pPr>
      <w:r>
        <w:rPr>
          <w:rStyle w:val="FootnoteReference"/>
        </w:rPr>
        <w:footnoteRef/>
      </w:r>
      <w:r>
        <w:t xml:space="preserve"> </w:t>
      </w:r>
      <w:r>
        <w:rPr>
          <w:i/>
          <w:iCs/>
        </w:rPr>
        <w:t xml:space="preserve">See</w:t>
      </w:r>
      <w:r>
        <w:t xml:space="preserve"> </w:t>
      </w:r>
      <w:r>
        <w:rPr>
          <w:i/>
          <w:iCs/>
        </w:rPr>
        <w:t xml:space="preserve">Samson</w:t>
      </w:r>
      <w:r>
        <w:rPr>
          <w:i/>
          <w:iCs/>
        </w:rPr>
        <w:t xml:space="preserve"> </w:t>
      </w:r>
      <w:r>
        <w:rPr>
          <w:i/>
          <w:iCs/>
        </w:rPr>
        <w:t xml:space="preserve">v. California</w:t>
      </w:r>
      <w:r>
        <w:t xml:space="preserve">, 547 U.S. 843, 850 (2006) (holding suspicionless searches of parolees are valid because parolees remain under “state-imposed punishment[]”);</w:t>
      </w:r>
      <w:r>
        <w:t xml:space="preserve"> </w:t>
      </w:r>
      <w:r>
        <w:rPr>
          <w:i/>
          <w:iCs/>
        </w:rPr>
        <w:t xml:space="preserve">United</w:t>
      </w:r>
      <w:r>
        <w:rPr>
          <w:i/>
          <w:iCs/>
        </w:rPr>
        <w:t xml:space="preserve"> </w:t>
      </w:r>
      <w:r>
        <w:rPr>
          <w:i/>
          <w:iCs/>
        </w:rPr>
        <w:t xml:space="preserve">States v. Ramsey</w:t>
      </w:r>
      <w:r>
        <w:t xml:space="preserve">, 431 U.S. 606, 616 (1977) (holding that “searches made at the border … are reasonable simply by virtue of the fact that they occur at the border”).</w:t>
      </w:r>
    </w:p>
  </w:footnote>
  <w:footnote w:id="15">
    <w:p>
      <w:pPr>
        <w:pStyle w:val="FootnoteText"/>
      </w:pPr>
      <w:r>
        <w:rPr>
          <w:rStyle w:val="FootnoteReference"/>
        </w:rPr>
        <w:footnoteRef/>
      </w:r>
      <w:r>
        <w:t xml:space="preserve"> </w:t>
      </w:r>
      <w:r>
        <w:t xml:space="preserve">Many states apply their exclusionary rule more broadly than the federal rule. For example, at least 17 state supreme courts have rejected the federal good-faith exception to the exclusionary rule under</w:t>
      </w:r>
      <w:r>
        <w:t xml:space="preserve"> </w:t>
      </w:r>
      <w:r>
        <w:rPr>
          <w:i/>
          <w:iCs/>
        </w:rPr>
        <w:t xml:space="preserve">United</w:t>
      </w:r>
      <w:r>
        <w:rPr>
          <w:i/>
          <w:iCs/>
        </w:rPr>
        <w:t xml:space="preserve"> </w:t>
      </w:r>
      <w:r>
        <w:rPr>
          <w:i/>
          <w:iCs/>
        </w:rPr>
        <w:t xml:space="preserve">States v. Leon</w:t>
      </w:r>
      <w:r>
        <w:t xml:space="preserve">, 468 U.S. 897 (1984).</w:t>
      </w:r>
      <w:r>
        <w:t xml:space="preserve"> </w:t>
      </w:r>
      <w:r>
        <w:rPr>
          <w:i/>
          <w:iCs/>
        </w:rPr>
        <w:t xml:space="preserve">See</w:t>
      </w:r>
      <w:r>
        <w:t xml:space="preserve"> </w:t>
      </w:r>
      <w:r>
        <w:t xml:space="preserve">LaKeith</w:t>
      </w:r>
      <w:r>
        <w:t xml:space="preserve"> </w:t>
      </w:r>
      <w:r>
        <w:t xml:space="preserve">Faulkner &amp; Christopher R. Green,</w:t>
      </w:r>
      <w:r>
        <w:t xml:space="preserve"> </w:t>
      </w:r>
      <w:r>
        <w:rPr>
          <w:i/>
          <w:iCs/>
        </w:rPr>
        <w:t xml:space="preserve">State-Constitutional Departures from the Supreme Court: The Fourth Amendment</w:t>
      </w:r>
      <w:r>
        <w:t xml:space="preserve">, 89 Miss. L.J. 197, 200 &amp; n.27 (2020). As one of those courts put it, “suppression of the evidence does not ‘cure’ the constitutional invasion … but it is clearly the best remedy available.”</w:t>
      </w:r>
      <w:r>
        <w:t xml:space="preserve"> </w:t>
      </w:r>
      <w:r>
        <w:rPr>
          <w:i/>
          <w:iCs/>
        </w:rPr>
        <w:t xml:space="preserve">State</w:t>
      </w:r>
      <w:r>
        <w:rPr>
          <w:i/>
          <w:iCs/>
        </w:rPr>
        <w:t xml:space="preserve"> </w:t>
      </w:r>
      <w:r>
        <w:rPr>
          <w:i/>
          <w:iCs/>
        </w:rPr>
        <w:t xml:space="preserve">v. Cline</w:t>
      </w:r>
      <w:r>
        <w:t xml:space="preserve">, 617 N.W.2d 277, 289 (Iowa 2000).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