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WEST</w:t>
      </w:r>
      <w:r>
        <w:rPr>
          <w:b/>
          <w:bCs/>
        </w:rPr>
        <w:t xml:space="preserve"> </w:t>
      </w:r>
      <w:r>
        <w:rPr>
          <w:b/>
          <w:bCs/>
        </w:rPr>
        <w:t xml:space="preserve">VIRGINIA</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SWN</w:t>
            </w:r>
            <w:r>
              <w:t xml:space="preserve"> </w:t>
            </w:r>
            <w:r>
              <w:t xml:space="preserve">Production</w:t>
            </w:r>
            <w:r>
              <w:t xml:space="preserve"> </w:t>
            </w:r>
            <w:r>
              <w:t xml:space="preserve">Company,</w:t>
            </w:r>
            <w:r>
              <w:t xml:space="preserve"> </w:t>
            </w:r>
            <w:r>
              <w:t xml:space="preserve">LLC,</w:t>
            </w:r>
          </w:p>
          <w:p>
            <w:pPr>
              <w:spacing w:before="144" w:after="0" w:line="276" w:lineRule="exact"/>
              <w:ind w:left="720" w:firstLine="0"/>
              <w:jc w:val="left"/>
            </w:pPr>
            <w:r>
              <w:rPr>
                <w:i/>
                <w:iCs/>
              </w:rPr>
              <w:t xml:space="preserve">Petitioner</w:t>
            </w:r>
            <w:r>
              <w:rPr>
                <w:i/>
                <w:iCs/>
              </w:rPr>
              <w:t xml:space="preserve"> </w:t>
            </w:r>
            <w:r>
              <w:rPr>
                <w:i/>
                <w:iCs/>
              </w:rPr>
              <w:t xml:space="preserve">Below,</w:t>
            </w:r>
            <w:r>
              <w:rPr>
                <w:i/>
                <w:iCs/>
              </w:rPr>
              <w:t xml:space="preserve"> </w:t>
            </w:r>
            <w:r>
              <w:rPr>
                <w:i/>
                <w:iCs/>
              </w:rPr>
              <w:t xml:space="preserve">Petitioner,</w:t>
            </w:r>
          </w:p>
          <w:p>
            <w:pPr>
              <w:spacing w:before="288" w:after="288" w:line="276" w:lineRule="exact"/>
              <w:ind w:left="0" w:firstLine="0"/>
              <w:jc w:val="left"/>
            </w:pPr>
            <w:r>
              <w:t xml:space="preserve">v.</w:t>
            </w:r>
          </w:p>
          <w:p>
            <w:pPr>
              <w:spacing w:before="0" w:after="0" w:line="276" w:lineRule="exact"/>
              <w:ind w:left="0" w:firstLine="0"/>
              <w:jc w:val="left"/>
            </w:pPr>
            <w:r>
              <w:t xml:space="preserve">City</w:t>
            </w:r>
            <w:r>
              <w:t xml:space="preserve"> </w:t>
            </w:r>
            <w:r>
              <w:t xml:space="preserve">of</w:t>
            </w:r>
            <w:r>
              <w:t xml:space="preserve"> </w:t>
            </w:r>
            <w:r>
              <w:t xml:space="preserve">Weirton</w:t>
            </w:r>
            <w:r>
              <w:t xml:space="preserve"> </w:t>
            </w:r>
            <w:r>
              <w:t xml:space="preserve">and</w:t>
            </w:r>
          </w:p>
          <w:p>
            <w:pPr>
              <w:spacing w:before="0" w:after="0" w:line="276" w:lineRule="exact"/>
              <w:ind w:left="0" w:firstLine="0"/>
              <w:jc w:val="left"/>
            </w:pPr>
            <w:r>
              <w:t xml:space="preserve">City</w:t>
            </w:r>
            <w:r>
              <w:t xml:space="preserve"> </w:t>
            </w:r>
            <w:r>
              <w:t xml:space="preserve">of</w:t>
            </w:r>
            <w:r>
              <w:t xml:space="preserve"> </w:t>
            </w:r>
            <w:r>
              <w:t xml:space="preserve">Weirton</w:t>
            </w:r>
            <w:r>
              <w:t xml:space="preserve"> </w:t>
            </w:r>
            <w:r>
              <w:t xml:space="preserve">Board</w:t>
            </w:r>
            <w:r>
              <w:t xml:space="preserve"> </w:t>
            </w:r>
            <w:r>
              <w:t xml:space="preserve">of</w:t>
            </w:r>
            <w:r>
              <w:t xml:space="preserve"> </w:t>
            </w:r>
            <w:r>
              <w:t xml:space="preserve">Zoning</w:t>
            </w:r>
            <w:r>
              <w:t xml:space="preserve"> </w:t>
            </w:r>
            <w:r>
              <w:t xml:space="preserve">Appeals,</w:t>
            </w:r>
          </w:p>
          <w:p>
            <w:pPr>
              <w:spacing w:before="144" w:after="0" w:line="276" w:lineRule="exact"/>
              <w:ind w:left="720" w:firstLine="0"/>
              <w:jc w:val="left"/>
            </w:pPr>
            <w:r>
              <w:rPr>
                <w:i/>
                <w:iCs/>
              </w:rPr>
              <w:t xml:space="preserve">Respondents</w:t>
            </w:r>
            <w:r>
              <w:rPr>
                <w:i/>
                <w:iCs/>
              </w:rPr>
              <w:t xml:space="preserve"> </w:t>
            </w:r>
            <w:r>
              <w:rPr>
                <w:i/>
                <w:iCs/>
              </w:rPr>
              <w:t xml:space="preserve">Below,</w:t>
            </w:r>
            <w:r>
              <w:rPr>
                <w:i/>
                <w:iCs/>
              </w:rPr>
              <w:t xml:space="preserve"> </w:t>
            </w:r>
            <w:r>
              <w:rPr>
                <w:i/>
                <w:iCs/>
              </w:rPr>
              <w:t xml:space="preserve">Respondents.</w:t>
            </w:r>
          </w:p>
        </w:tc>
        <w:tc>
          <w:tcPr>
            <w:tcW w:w="3600" w:type="dxa"/>
            <w:tcMar>
              <w:left w:w="432" w:type="dxa"/>
            </w:tcMar>
            <w:vAlign w:val="center"/>
          </w:tcPr>
          <w:p>
            <w:pPr>
              <w:spacing w:before="0" w:after="0" w:line="276" w:lineRule="exact"/>
              <w:ind w:left="0" w:firstLine="0"/>
              <w:jc w:val="right"/>
            </w:pPr>
            <w:r>
              <w:rPr>
                <w:b/>
                <w:bCs/>
              </w:rPr>
              <w:t xml:space="preserve">No.</w:t>
            </w:r>
            <w:r>
              <w:rPr>
                <w:b/>
                <w:bCs/>
              </w:rPr>
              <w:t xml:space="preserve"> </w:t>
            </w:r>
            <w:r>
              <w:rPr>
                <w:b/>
                <w:bCs/>
              </w:rPr>
              <w:t xml:space="preserve">24</w:t>
              <w:noBreakHyphen/>
              <w:t xml:space="preserve">320</w:t>
            </w:r>
          </w:p>
        </w:tc>
      </w:tr>
    </w:tbl>
    <w:p>
      <w:pPr>
        <w:spacing w:before="864" w:after="0" w:line="276"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PETITIONER,</w:t>
      </w:r>
      <w:r>
        <w:rPr>
          <w:b/>
          <w:bCs/>
        </w:rPr>
        <w:t xml:space="preserve"> </w:t>
      </w:r>
      <w:r>
        <w:rPr>
          <w:b/>
          <w:bCs/>
        </w:rPr>
        <w:t xml:space="preserve">SWN</w:t>
      </w:r>
      <w:r>
        <w:rPr>
          <w:b/>
          <w:bCs/>
        </w:rPr>
        <w:t xml:space="preserve"> </w:t>
      </w:r>
      <w:r>
        <w:rPr>
          <w:b/>
          <w:bCs/>
        </w:rPr>
        <w:t xml:space="preserve">PRODUCTION</w:t>
      </w:r>
      <w:r>
        <w:rPr>
          <w:b/>
          <w:bCs/>
        </w:rPr>
        <w:t xml:space="preserve"> </w:t>
      </w:r>
      <w:r>
        <w:rPr>
          <w:b/>
          <w:bCs/>
        </w:rPr>
        <w:t xml:space="preserve">COMPANY,</w:t>
      </w:r>
      <w:r>
        <w:rPr>
          <w:b/>
          <w:bCs/>
        </w:rPr>
        <w:t xml:space="preserve"> </w:t>
      </w:r>
      <w:r>
        <w:rPr>
          <w:b/>
          <w:bCs/>
        </w:rPr>
        <w:t xml:space="preserve">LLC</w:t>
      </w:r>
    </w:p>
    <w:p>
      <w:pPr>
        <w:spacing w:before="1440" w:after="0" w:line="276" w:lineRule="exact"/>
        <w:ind w:left="4608" w:firstLine="0"/>
        <w:jc w:val="left"/>
      </w:pPr>
      <w:r>
        <w:rPr>
          <w:b/>
          <w:bCs/>
        </w:rPr>
        <w:t xml:space="preserve">Shawn</w:t>
      </w:r>
      <w:r>
        <w:rPr>
          <w:b/>
          <w:bCs/>
        </w:rPr>
        <w:t xml:space="preserve"> </w:t>
      </w:r>
      <w:r>
        <w:rPr>
          <w:b/>
          <w:bCs/>
        </w:rPr>
        <w:t xml:space="preserve">N.</w:t>
      </w:r>
      <w:r>
        <w:rPr>
          <w:b/>
          <w:bCs/>
        </w:rPr>
        <w:t xml:space="preserve"> </w:t>
      </w:r>
      <w:r>
        <w:rPr>
          <w:b/>
          <w:bCs/>
        </w:rPr>
        <w:t xml:space="preserve">Gallagher</w:t>
      </w:r>
    </w:p>
    <w:p>
      <w:pPr>
        <w:spacing w:before="0" w:after="0" w:line="276" w:lineRule="exact"/>
        <w:ind w:left="4608" w:firstLine="0"/>
        <w:jc w:val="left"/>
      </w:pPr>
      <w:r>
        <w:rPr>
          <w:b/>
          <w:bCs/>
        </w:rPr>
        <w:t xml:space="preserve">WV</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12853</w:t>
      </w:r>
    </w:p>
    <w:p>
      <w:pPr>
        <w:spacing w:before="0" w:after="0" w:line="276" w:lineRule="exact"/>
        <w:ind w:left="4608" w:firstLine="0"/>
        <w:jc w:val="left"/>
      </w:pPr>
      <w:r>
        <w:rPr>
          <w:b/>
          <w:bCs/>
        </w:rPr>
        <w:t xml:space="preserve">shawn.gallagher@bipc.com</w:t>
      </w:r>
    </w:p>
    <w:p>
      <w:pPr>
        <w:spacing w:before="0" w:after="0" w:line="276" w:lineRule="exact"/>
        <w:ind w:left="4608" w:firstLine="0"/>
        <w:jc w:val="left"/>
      </w:pPr>
      <w:r>
        <w:rPr>
          <w:b/>
          <w:bCs/>
        </w:rPr>
        <w:t xml:space="preserve">Kathleen</w:t>
      </w:r>
      <w:r>
        <w:rPr>
          <w:b/>
          <w:bCs/>
        </w:rPr>
        <w:t xml:space="preserve"> </w:t>
      </w:r>
      <w:r>
        <w:rPr>
          <w:b/>
          <w:bCs/>
        </w:rPr>
        <w:t xml:space="preserve">Jones</w:t>
      </w:r>
      <w:r>
        <w:rPr>
          <w:b/>
          <w:bCs/>
        </w:rPr>
        <w:t xml:space="preserve"> </w:t>
      </w:r>
      <w:r>
        <w:rPr>
          <w:b/>
          <w:bCs/>
        </w:rPr>
        <w:t xml:space="preserve">Goldman</w:t>
      </w:r>
    </w:p>
    <w:p>
      <w:pPr>
        <w:spacing w:before="0" w:after="0" w:line="276" w:lineRule="exact"/>
        <w:ind w:left="4608" w:firstLine="0"/>
        <w:jc w:val="left"/>
      </w:pPr>
      <w:r>
        <w:rPr>
          <w:b/>
          <w:bCs/>
        </w:rPr>
        <w:t xml:space="preserve">WV</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6917</w:t>
      </w:r>
    </w:p>
    <w:p>
      <w:pPr>
        <w:spacing w:before="0" w:after="0" w:line="276" w:lineRule="exact"/>
        <w:ind w:left="4608" w:firstLine="0"/>
        <w:jc w:val="left"/>
      </w:pPr>
      <w:r>
        <w:rPr>
          <w:b/>
          <w:bCs/>
        </w:rPr>
        <w:t xml:space="preserve">kathleen.goldman@bipc.com</w:t>
      </w:r>
    </w:p>
    <w:p>
      <w:pPr>
        <w:spacing w:before="0" w:after="0" w:line="276" w:lineRule="exact"/>
        <w:ind w:left="4608" w:firstLine="0"/>
        <w:jc w:val="left"/>
      </w:pPr>
      <w:r>
        <w:t xml:space="preserve">Buchanan</w:t>
      </w:r>
      <w:r>
        <w:t xml:space="preserve"> </w:t>
      </w:r>
      <w:r>
        <w:t xml:space="preserve">Ingersoll</w:t>
      </w:r>
      <w:r>
        <w:t xml:space="preserve"> </w:t>
      </w:r>
      <w:r>
        <w:t xml:space="preserve">&amp;</w:t>
      </w:r>
      <w:r>
        <w:t xml:space="preserve"> </w:t>
      </w:r>
      <w:r>
        <w:t xml:space="preserve">Rooney</w:t>
      </w:r>
      <w:r>
        <w:t xml:space="preserve"> </w:t>
      </w:r>
      <w:r>
        <w:t xml:space="preserve">LLP</w:t>
      </w:r>
    </w:p>
    <w:p>
      <w:pPr>
        <w:spacing w:before="0" w:after="0" w:line="276" w:lineRule="exact"/>
        <w:ind w:left="4608" w:firstLine="0"/>
        <w:jc w:val="left"/>
      </w:pPr>
      <w:r>
        <w:t xml:space="preserve">Union</w:t>
      </w:r>
      <w:r>
        <w:t xml:space="preserve"> </w:t>
      </w:r>
      <w:r>
        <w:t xml:space="preserve">Trust</w:t>
      </w:r>
      <w:r>
        <w:t xml:space="preserve"> </w:t>
      </w:r>
      <w:r>
        <w:t xml:space="preserve">Building,</w:t>
      </w:r>
      <w:r>
        <w:t xml:space="preserve"> </w:t>
      </w:r>
      <w:r>
        <w:t xml:space="preserve">Suite</w:t>
      </w:r>
      <w:r>
        <w:t xml:space="preserve"> </w:t>
      </w:r>
      <w:r>
        <w:t xml:space="preserve">200</w:t>
      </w:r>
    </w:p>
    <w:p>
      <w:pPr>
        <w:spacing w:before="0" w:after="0" w:line="276" w:lineRule="exact"/>
        <w:ind w:left="4608" w:firstLine="0"/>
        <w:jc w:val="left"/>
      </w:pPr>
      <w:r>
        <w:t xml:space="preserve">501</w:t>
      </w:r>
      <w:r>
        <w:t xml:space="preserve"> </w:t>
      </w:r>
      <w:r>
        <w:t xml:space="preserve">Grant</w:t>
      </w:r>
      <w:r>
        <w:t xml:space="preserve"> </w:t>
      </w:r>
      <w:r>
        <w:t xml:space="preserve">Street</w:t>
      </w:r>
    </w:p>
    <w:p>
      <w:pPr>
        <w:spacing w:before="0" w:after="0" w:line="276" w:lineRule="exact"/>
        <w:ind w:left="4608" w:firstLine="0"/>
        <w:jc w:val="left"/>
      </w:pPr>
      <w:r>
        <w:t xml:space="preserve">Pittsburgh,</w:t>
      </w:r>
      <w:r>
        <w:t xml:space="preserve"> </w:t>
      </w:r>
      <w:r>
        <w:t xml:space="preserve">PA</w:t>
      </w:r>
      <w:r>
        <w:t xml:space="preserve"> </w:t>
      </w:r>
      <w:r>
        <w:t xml:space="preserve">15219</w:t>
      </w:r>
    </w:p>
    <w:p>
      <w:pPr>
        <w:spacing w:before="0" w:after="0" w:line="276" w:lineRule="exact"/>
        <w:ind w:left="4608" w:firstLine="0"/>
        <w:jc w:val="left"/>
      </w:pPr>
      <w:r>
        <w:t xml:space="preserve">(412)</w:t>
      </w:r>
      <w:r>
        <w:t xml:space="preserve"> </w:t>
      </w:r>
      <w:r>
        <w:t xml:space="preserve">562</w:t>
        <w:noBreakHyphen/>
        <w:t xml:space="preserve">8362</w:t>
      </w:r>
    </w:p>
    <w:p>
      <w:pPr>
        <w:spacing w:before="0" w:after="0" w:line="276" w:lineRule="exact"/>
        <w:ind w:left="4608" w:firstLine="0"/>
        <w:jc w:val="left"/>
      </w:pPr>
      <w:r>
        <w:t xml:space="preserve">Counsel</w:t>
      </w:r>
      <w:r>
        <w:t xml:space="preserve"> </w:t>
      </w:r>
      <w:r>
        <w:t xml:space="preserve">for</w:t>
      </w:r>
      <w:r>
        <w:t xml:space="preserve"> </w:t>
      </w:r>
      <w:r>
        <w:t xml:space="preserve">Petitioner,</w:t>
      </w:r>
      <w:r>
        <w:t xml:space="preserve"> </w:t>
      </w:r>
      <w:r>
        <w:t xml:space="preserve">SWN</w:t>
      </w:r>
      <w:r>
        <w:t xml:space="preserve"> </w:t>
      </w:r>
      <w:r>
        <w:t xml:space="preserve">Production</w:t>
      </w:r>
      <w:r>
        <w:t xml:space="preserve"> </w:t>
      </w:r>
      <w:r>
        <w:t xml:space="preserve">Company,</w:t>
      </w:r>
      <w:r>
        <w:t xml:space="preserve"> </w:t>
      </w:r>
      <w:r>
        <w:t xml:space="preserve">LLC</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720" w:right="720" w:hanging="720"/>
      </w:pPr>
      <w:r>
        <w:t xml:space="preserve">I.</w:t>
      </w:r>
      <w:r>
        <w:t xml:space="preserve"> </w:t>
      </w:r>
      <w:r>
        <w:t xml:space="preserve">INTRODUCTION</w:t>
      </w:r>
      <w:r>
        <w:t xml:space="preserve">   </w:t>
      </w:r>
      <w:r>
        <w:tab/>
      </w:r>
      <w:r>
        <w:t xml:space="preserve">1</w:t>
      </w:r>
    </w:p>
    <w:p>
      <w:pPr>
        <w:keepLines/>
        <w:tabs>
          <w:tab w:val="right" w:leader="dot" w:pos="9360"/>
        </w:tabs>
        <w:spacing w:before="192" w:after="0" w:line="276" w:lineRule="exact"/>
        <w:ind w:left="720" w:right="720" w:hanging="720"/>
      </w:pPr>
      <w:r>
        <w:t xml:space="preserve">II.</w:t>
      </w:r>
      <w:r>
        <w:t xml:space="preserve"> </w:t>
      </w:r>
      <w:r>
        <w:t xml:space="preserve">ARGUMENT</w:t>
      </w:r>
      <w:r>
        <w:t xml:space="preserve">   </w:t>
      </w:r>
      <w:r>
        <w:tab/>
      </w:r>
      <w:r>
        <w:t xml:space="preserve">2</w:t>
      </w:r>
    </w:p>
    <w:p>
      <w:pPr>
        <w:keepLines/>
        <w:tabs>
          <w:tab w:val="right" w:leader="dot" w:pos="9360"/>
        </w:tabs>
        <w:spacing w:before="192" w:after="0" w:line="276" w:lineRule="exact"/>
        <w:ind w:left="1080" w:right="720" w:hanging="720"/>
      </w:pPr>
      <w:r>
        <w:t xml:space="preserve">A.</w:t>
      </w:r>
      <w:r>
        <w:t xml:space="preserve"> </w:t>
      </w:r>
      <w:r>
        <w:t xml:space="preserve">The</w:t>
      </w:r>
      <w:r>
        <w:t xml:space="preserve"> </w:t>
      </w:r>
      <w:r>
        <w:t xml:space="preserve">ICA</w:t>
      </w:r>
      <w:r>
        <w:t xml:space="preserve"> </w:t>
      </w:r>
      <w:r>
        <w:t xml:space="preserve">Had</w:t>
      </w:r>
      <w:r>
        <w:t xml:space="preserve"> </w:t>
      </w:r>
      <w:r>
        <w:t xml:space="preserve">Jurisdiction</w:t>
      </w:r>
      <w:r>
        <w:t xml:space="preserve"> </w:t>
      </w:r>
      <w:r>
        <w:t xml:space="preserve">to</w:t>
      </w:r>
      <w:r>
        <w:t xml:space="preserve"> </w:t>
      </w:r>
      <w:r>
        <w:t xml:space="preserve">Hear</w:t>
      </w:r>
      <w:r>
        <w:t xml:space="preserve"> </w:t>
      </w:r>
      <w:r>
        <w:t xml:space="preserve">This</w:t>
      </w:r>
      <w:r>
        <w:t xml:space="preserve"> </w:t>
      </w:r>
      <w:r>
        <w:t xml:space="preserve">Matter</w:t>
      </w:r>
      <w:r>
        <w:t xml:space="preserve">   </w:t>
      </w:r>
      <w:r>
        <w:tab/>
      </w:r>
      <w:r>
        <w:t xml:space="preserve">2</w:t>
      </w:r>
    </w:p>
    <w:p>
      <w:pPr>
        <w:keepLines/>
        <w:tabs>
          <w:tab w:val="right" w:leader="dot" w:pos="9360"/>
        </w:tabs>
        <w:spacing w:before="192" w:after="0" w:line="276" w:lineRule="exact"/>
        <w:ind w:left="1080" w:right="720" w:hanging="720"/>
      </w:pPr>
      <w:r>
        <w:t xml:space="preserve">B.</w:t>
      </w:r>
      <w:r>
        <w:t xml:space="preserve"> </w:t>
      </w:r>
      <w:r>
        <w:t xml:space="preserve">Whether</w:t>
      </w:r>
      <w:r>
        <w:t xml:space="preserve"> </w:t>
      </w:r>
      <w:r>
        <w:t xml:space="preserve">Or</w:t>
      </w:r>
      <w:r>
        <w:t xml:space="preserve"> </w:t>
      </w:r>
      <w:r>
        <w:t xml:space="preserve">Not</w:t>
      </w:r>
      <w:r>
        <w:t xml:space="preserve"> </w:t>
      </w:r>
      <w:r>
        <w:t xml:space="preserve">this</w:t>
      </w:r>
      <w:r>
        <w:t xml:space="preserve"> </w:t>
      </w:r>
      <w:r>
        <w:t xml:space="preserve">Court</w:t>
      </w:r>
      <w:r>
        <w:t xml:space="preserve"> </w:t>
      </w:r>
      <w:r>
        <w:t xml:space="preserve">Determines</w:t>
      </w:r>
      <w:r>
        <w:t xml:space="preserve"> </w:t>
      </w:r>
      <w:r>
        <w:t xml:space="preserve">that</w:t>
      </w:r>
      <w:r>
        <w:t xml:space="preserve"> </w:t>
      </w:r>
      <w:r>
        <w:t xml:space="preserve">the</w:t>
      </w:r>
      <w:r>
        <w:t xml:space="preserve"> </w:t>
      </w:r>
      <w:r>
        <w:t xml:space="preserve">ICA</w:t>
      </w:r>
      <w:r>
        <w:t xml:space="preserve"> </w:t>
      </w:r>
      <w:r>
        <w:t xml:space="preserve">has</w:t>
      </w:r>
      <w:r>
        <w:t xml:space="preserve"> </w:t>
      </w:r>
      <w:r>
        <w:t xml:space="preserve">Jurisdiction,</w:t>
      </w:r>
      <w:r>
        <w:t xml:space="preserve"> </w:t>
      </w:r>
      <w:r>
        <w:t xml:space="preserve">It</w:t>
      </w:r>
      <w:r>
        <w:t xml:space="preserve"> </w:t>
      </w:r>
      <w:r>
        <w:t xml:space="preserve">Should</w:t>
      </w:r>
      <w:r>
        <w:t xml:space="preserve"> </w:t>
      </w:r>
      <w:r>
        <w:t xml:space="preserve">Obtain</w:t>
      </w:r>
      <w:r>
        <w:t xml:space="preserve"> </w:t>
      </w:r>
      <w:r>
        <w:t xml:space="preserve">Jurisdiction</w:t>
      </w:r>
      <w:r>
        <w:t xml:space="preserve"> </w:t>
      </w:r>
      <w:r>
        <w:t xml:space="preserve">over</w:t>
      </w:r>
      <w:r>
        <w:t xml:space="preserve"> </w:t>
      </w:r>
      <w:r>
        <w:t xml:space="preserve">this</w:t>
      </w:r>
      <w:r>
        <w:t xml:space="preserve"> </w:t>
      </w:r>
      <w:r>
        <w:t xml:space="preserve">Appeal</w:t>
      </w:r>
      <w:r>
        <w:t xml:space="preserve"> </w:t>
      </w:r>
      <w:r>
        <w:t xml:space="preserve">Pursuant</w:t>
      </w:r>
      <w:r>
        <w:t xml:space="preserve"> </w:t>
      </w:r>
      <w:r>
        <w:t xml:space="preserve">to</w:t>
      </w:r>
      <w:r>
        <w:t xml:space="preserve"> </w:t>
      </w:r>
      <w:r>
        <w:t xml:space="preserve">Rule</w:t>
      </w:r>
      <w:r>
        <w:t xml:space="preserve"> </w:t>
      </w:r>
      <w:r>
        <w:t xml:space="preserve">1(b)</w:t>
      </w:r>
      <w:r>
        <w:t xml:space="preserve"> </w:t>
      </w:r>
      <w:r>
        <w:t xml:space="preserve">and</w:t>
      </w:r>
      <w:r>
        <w:t xml:space="preserve"> </w:t>
      </w:r>
      <w:r>
        <w:t xml:space="preserve">Rule</w:t>
      </w:r>
      <w:r>
        <w:t xml:space="preserve"> </w:t>
      </w:r>
      <w:r>
        <w:t xml:space="preserve">2</w:t>
      </w:r>
      <w:r>
        <w:t xml:space="preserve">   </w:t>
      </w:r>
      <w:r>
        <w:tab/>
      </w:r>
      <w:r>
        <w:t xml:space="preserve">3</w:t>
      </w:r>
    </w:p>
    <w:p>
      <w:pPr>
        <w:keepLines/>
        <w:tabs>
          <w:tab w:val="right" w:leader="dot" w:pos="9360"/>
        </w:tabs>
        <w:spacing w:before="192" w:after="0" w:line="276" w:lineRule="exact"/>
        <w:ind w:left="1080" w:right="720" w:hanging="720"/>
      </w:pPr>
      <w:r>
        <w:t xml:space="preserve">C.</w:t>
      </w:r>
      <w:r>
        <w:t xml:space="preserve"> </w:t>
      </w:r>
      <w:r>
        <w:t xml:space="preserve">The</w:t>
      </w:r>
      <w:r>
        <w:t xml:space="preserve"> </w:t>
      </w:r>
      <w:r>
        <w:t xml:space="preserve">Circuit</w:t>
      </w:r>
      <w:r>
        <w:t xml:space="preserve"> </w:t>
      </w:r>
      <w:r>
        <w:t xml:space="preserve">Court</w:t>
      </w:r>
      <w:r>
        <w:t xml:space="preserve"> </w:t>
      </w:r>
      <w:r>
        <w:t xml:space="preserve">Failed</w:t>
      </w:r>
      <w:r>
        <w:t xml:space="preserve"> </w:t>
      </w:r>
      <w:r>
        <w:t xml:space="preserve">to</w:t>
      </w:r>
      <w:r>
        <w:t xml:space="preserve"> </w:t>
      </w:r>
      <w:r>
        <w:t xml:space="preserve">Correctly</w:t>
      </w:r>
      <w:r>
        <w:t xml:space="preserve"> </w:t>
      </w:r>
      <w:r>
        <w:t xml:space="preserve">Apply</w:t>
      </w:r>
      <w:r>
        <w:t xml:space="preserve"> </w:t>
      </w:r>
      <w:r>
        <w:t xml:space="preserve">the</w:t>
      </w:r>
      <w:r>
        <w:t xml:space="preserve"> </w:t>
      </w:r>
      <w:r>
        <w:t xml:space="preserve">Substantial</w:t>
      </w:r>
      <w:r>
        <w:t xml:space="preserve"> </w:t>
      </w:r>
      <w:r>
        <w:t xml:space="preserve">Evidence</w:t>
      </w:r>
      <w:r>
        <w:t xml:space="preserve"> </w:t>
      </w:r>
      <w:r>
        <w:t xml:space="preserve">Standard</w:t>
      </w:r>
      <w:r>
        <w:t xml:space="preserve"> </w:t>
      </w:r>
      <w:r>
        <w:t xml:space="preserve">to</w:t>
      </w:r>
      <w:r>
        <w:t xml:space="preserve"> </w:t>
      </w:r>
      <w:r>
        <w:t xml:space="preserve">the</w:t>
      </w:r>
      <w:r>
        <w:t xml:space="preserve"> </w:t>
      </w:r>
      <w:r>
        <w:t xml:space="preserve">Facts</w:t>
      </w:r>
      <w:r>
        <w:t xml:space="preserve"> </w:t>
      </w:r>
      <w:r>
        <w:t xml:space="preserve">of</w:t>
      </w:r>
      <w:r>
        <w:t xml:space="preserve"> </w:t>
      </w:r>
      <w:r>
        <w:t xml:space="preserve">This</w:t>
      </w:r>
      <w:r>
        <w:t xml:space="preserve"> </w:t>
      </w:r>
      <w:r>
        <w:t xml:space="preserve">Case</w:t>
      </w:r>
      <w:r>
        <w:t xml:space="preserve">   </w:t>
      </w:r>
      <w:r>
        <w:tab/>
      </w:r>
      <w:r>
        <w:t xml:space="preserve">6</w:t>
      </w:r>
    </w:p>
    <w:p>
      <w:pPr>
        <w:keepLines/>
        <w:tabs>
          <w:tab w:val="right" w:leader="dot" w:pos="9360"/>
        </w:tabs>
        <w:spacing w:before="192" w:after="0" w:line="276" w:lineRule="exact"/>
        <w:ind w:left="1440" w:right="720" w:hanging="720"/>
      </w:pPr>
      <w:r>
        <w:t xml:space="preserve">1.</w:t>
      </w:r>
      <w:r>
        <w:t xml:space="preserve"> </w:t>
      </w:r>
      <w:r>
        <w:t xml:space="preserve">The</w:t>
      </w:r>
      <w:r>
        <w:t xml:space="preserve"> </w:t>
      </w:r>
      <w:r>
        <w:t xml:space="preserve">Substantial</w:t>
      </w:r>
      <w:r>
        <w:t xml:space="preserve"> </w:t>
      </w:r>
      <w:r>
        <w:t xml:space="preserve">Evidence</w:t>
      </w:r>
      <w:r>
        <w:t xml:space="preserve"> </w:t>
      </w:r>
      <w:r>
        <w:t xml:space="preserve">Standard</w:t>
      </w:r>
      <w:r>
        <w:t xml:space="preserve">   </w:t>
      </w:r>
      <w:r>
        <w:tab/>
      </w:r>
      <w:r>
        <w:t xml:space="preserve">6</w:t>
      </w:r>
    </w:p>
    <w:p>
      <w:pPr>
        <w:keepLines/>
        <w:tabs>
          <w:tab w:val="right" w:leader="dot" w:pos="9360"/>
        </w:tabs>
        <w:spacing w:before="192" w:after="0" w:line="276" w:lineRule="exact"/>
        <w:ind w:left="1440" w:right="720" w:hanging="720"/>
      </w:pPr>
      <w:r>
        <w:t xml:space="preserve">2.</w:t>
      </w:r>
      <w:r>
        <w:t xml:space="preserve"> </w:t>
      </w:r>
      <w:r>
        <w:t xml:space="preserve">Jefferson</w:t>
      </w:r>
      <w:r>
        <w:t xml:space="preserve"> </w:t>
      </w:r>
      <w:r>
        <w:t xml:space="preserve">Supports</w:t>
      </w:r>
      <w:r>
        <w:t xml:space="preserve"> </w:t>
      </w:r>
      <w:r>
        <w:t xml:space="preserve">Reversal</w:t>
      </w:r>
      <w:r>
        <w:t xml:space="preserve"> </w:t>
      </w:r>
      <w:r>
        <w:t xml:space="preserve">of</w:t>
      </w:r>
      <w:r>
        <w:t xml:space="preserve"> </w:t>
      </w:r>
      <w:r>
        <w:t xml:space="preserve">the</w:t>
      </w:r>
      <w:r>
        <w:t xml:space="preserve"> </w:t>
      </w:r>
      <w:r>
        <w:t xml:space="preserve">Board’s</w:t>
      </w:r>
      <w:r>
        <w:t xml:space="preserve"> </w:t>
      </w:r>
      <w:r>
        <w:t xml:space="preserve">Denial</w:t>
      </w:r>
      <w:r>
        <w:t xml:space="preserve">   </w:t>
      </w:r>
      <w:r>
        <w:tab/>
      </w:r>
      <w:r>
        <w:t xml:space="preserve">7</w:t>
      </w:r>
    </w:p>
    <w:p>
      <w:pPr>
        <w:keepLines/>
        <w:tabs>
          <w:tab w:val="right" w:leader="dot" w:pos="9360"/>
        </w:tabs>
        <w:spacing w:before="192" w:after="0" w:line="276" w:lineRule="exact"/>
        <w:ind w:left="1440" w:right="720" w:hanging="720"/>
      </w:pPr>
      <w:r>
        <w:t xml:space="preserve">3.</w:t>
      </w:r>
      <w:r>
        <w:t xml:space="preserve"> </w:t>
      </w:r>
      <w:r>
        <w:t xml:space="preserve">SWN</w:t>
      </w:r>
      <w:r>
        <w:t xml:space="preserve"> </w:t>
      </w:r>
      <w:r>
        <w:t xml:space="preserve">Provided</w:t>
      </w:r>
      <w:r>
        <w:t xml:space="preserve"> </w:t>
      </w:r>
      <w:r>
        <w:t xml:space="preserve">Substantial</w:t>
      </w:r>
      <w:r>
        <w:t xml:space="preserve"> </w:t>
      </w:r>
      <w:r>
        <w:t xml:space="preserve">Evidence</w:t>
      </w:r>
      <w:r>
        <w:t xml:space="preserve"> </w:t>
      </w:r>
      <w:r>
        <w:t xml:space="preserve">Demonstrating</w:t>
      </w:r>
      <w:r>
        <w:t xml:space="preserve"> </w:t>
      </w:r>
      <w:r>
        <w:t xml:space="preserve">Compliance</w:t>
      </w:r>
      <w:r>
        <w:t xml:space="preserve"> </w:t>
      </w:r>
      <w:r>
        <w:t xml:space="preserve">with</w:t>
      </w:r>
      <w:r>
        <w:t xml:space="preserve"> </w:t>
      </w:r>
      <w:r>
        <w:t xml:space="preserve">all</w:t>
      </w:r>
      <w:r>
        <w:t xml:space="preserve"> </w:t>
      </w:r>
      <w:r>
        <w:t xml:space="preserve">of</w:t>
      </w:r>
      <w:r>
        <w:t xml:space="preserve"> </w:t>
      </w:r>
      <w:r>
        <w:t xml:space="preserve">the</w:t>
      </w:r>
      <w:r>
        <w:t xml:space="preserve"> </w:t>
      </w:r>
      <w:r>
        <w:t xml:space="preserve">UDO’s</w:t>
      </w:r>
      <w:r>
        <w:t xml:space="preserve"> </w:t>
      </w:r>
      <w:r>
        <w:t xml:space="preserve">Specific</w:t>
      </w:r>
      <w:r>
        <w:t xml:space="preserve"> </w:t>
      </w:r>
      <w:r>
        <w:t xml:space="preserve">and</w:t>
      </w:r>
      <w:r>
        <w:t xml:space="preserve"> </w:t>
      </w:r>
      <w:r>
        <w:t xml:space="preserve">General</w:t>
      </w:r>
      <w:r>
        <w:t xml:space="preserve"> </w:t>
      </w:r>
      <w:r>
        <w:t xml:space="preserve">Requirements</w:t>
      </w:r>
      <w:r>
        <w:t xml:space="preserve">   </w:t>
      </w:r>
      <w:r>
        <w:tab/>
      </w:r>
      <w:r>
        <w:t xml:space="preserve">10</w:t>
      </w:r>
    </w:p>
    <w:p>
      <w:pPr>
        <w:keepLines/>
        <w:tabs>
          <w:tab w:val="right" w:leader="dot" w:pos="9360"/>
        </w:tabs>
        <w:spacing w:before="192" w:after="0" w:line="276" w:lineRule="exact"/>
        <w:ind w:left="1080" w:right="720" w:hanging="720"/>
      </w:pPr>
      <w:r>
        <w:t xml:space="preserve">D.</w:t>
      </w:r>
      <w:r>
        <w:t xml:space="preserve"> </w:t>
      </w:r>
      <w:r>
        <w:t xml:space="preserve">Due</w:t>
      </w:r>
      <w:r>
        <w:t xml:space="preserve"> </w:t>
      </w:r>
      <w:r>
        <w:t xml:space="preserve">Process</w:t>
      </w:r>
      <w:r>
        <w:t xml:space="preserve"> </w:t>
      </w:r>
      <w:r>
        <w:t xml:space="preserve">Requires</w:t>
      </w:r>
      <w:r>
        <w:t xml:space="preserve"> </w:t>
      </w:r>
      <w:r>
        <w:t xml:space="preserve">Consideration</w:t>
      </w:r>
      <w:r>
        <w:t xml:space="preserve"> </w:t>
      </w:r>
      <w:r>
        <w:t xml:space="preserve">of</w:t>
      </w:r>
      <w:r>
        <w:t xml:space="preserve"> </w:t>
      </w:r>
      <w:r>
        <w:t xml:space="preserve">all</w:t>
      </w:r>
      <w:r>
        <w:t xml:space="preserve"> </w:t>
      </w:r>
      <w:r>
        <w:t xml:space="preserve">the</w:t>
      </w:r>
      <w:r>
        <w:t xml:space="preserve"> </w:t>
      </w:r>
      <w:r>
        <w:t xml:space="preserve">Testimony</w:t>
      </w:r>
      <w:r>
        <w:t xml:space="preserve"> </w:t>
      </w:r>
      <w:r>
        <w:t xml:space="preserve">and</w:t>
      </w:r>
      <w:r>
        <w:t xml:space="preserve"> </w:t>
      </w:r>
      <w:r>
        <w:t xml:space="preserve">Evidence</w:t>
      </w:r>
      <w:r>
        <w:t xml:space="preserve"> </w:t>
      </w:r>
      <w:r>
        <w:t xml:space="preserve">Introduced</w:t>
      </w:r>
      <w:r>
        <w:t xml:space="preserve"> </w:t>
      </w:r>
      <w:r>
        <w:t xml:space="preserve">by</w:t>
      </w:r>
      <w:r>
        <w:t xml:space="preserve"> </w:t>
      </w:r>
      <w:r>
        <w:t xml:space="preserve">SWN</w:t>
      </w:r>
      <w:r>
        <w:t xml:space="preserve"> </w:t>
      </w:r>
      <w:r>
        <w:t xml:space="preserve">at</w:t>
      </w:r>
      <w:r>
        <w:t xml:space="preserve"> </w:t>
      </w:r>
      <w:r>
        <w:t xml:space="preserve">the</w:t>
      </w:r>
      <w:r>
        <w:t xml:space="preserve"> </w:t>
      </w:r>
      <w:r>
        <w:t xml:space="preserve">Evidentiary</w:t>
      </w:r>
      <w:r>
        <w:t xml:space="preserve"> </w:t>
      </w:r>
      <w:r>
        <w:t xml:space="preserve">Hearing</w:t>
      </w:r>
      <w:r>
        <w:t xml:space="preserve">   </w:t>
      </w:r>
      <w:r>
        <w:tab/>
      </w:r>
      <w:r>
        <w:t xml:space="preserve">19</w:t>
      </w:r>
    </w:p>
    <w:p>
      <w:pPr>
        <w:keepLines/>
        <w:tabs>
          <w:tab w:val="right" w:leader="dot" w:pos="9360"/>
        </w:tabs>
        <w:spacing w:before="192" w:after="0" w:line="276" w:lineRule="exact"/>
        <w:ind w:left="720" w:right="720" w:hanging="720"/>
      </w:pPr>
      <w:r>
        <w:t xml:space="preserve">III.</w:t>
      </w:r>
      <w:r>
        <w:t xml:space="preserve"> </w:t>
      </w:r>
      <w:r>
        <w:t xml:space="preserve">CONCLUSION</w:t>
      </w:r>
      <w:r>
        <w:t xml:space="preserve">   </w:t>
      </w:r>
      <w:r>
        <w:tab/>
      </w:r>
      <w:r>
        <w:t xml:space="preserve">22</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192" w:after="0" w:line="276" w:lineRule="exact"/>
        <w:ind w:left="720" w:right="1120" w:hanging="720"/>
      </w:pPr>
      <w:r>
        <w:rPr>
          <w:i/>
          <w:iCs/>
        </w:rPr>
        <w:t xml:space="preserve">Bd.</w:t>
      </w:r>
      <w:r>
        <w:rPr>
          <w:i/>
          <w:iCs/>
        </w:rPr>
        <w:t xml:space="preserve"> </w:t>
      </w:r>
      <w:r>
        <w:rPr>
          <w:i/>
          <w:iCs/>
        </w:rPr>
        <w:t xml:space="preserve">of</w:t>
      </w:r>
      <w:r>
        <w:rPr>
          <w:i/>
          <w:iCs/>
        </w:rPr>
        <w:t xml:space="preserve"> </w:t>
      </w:r>
      <w:r>
        <w:rPr>
          <w:i/>
          <w:iCs/>
        </w:rPr>
        <w:t xml:space="preserve">Zoning</w:t>
      </w:r>
      <w:r>
        <w:rPr>
          <w:i/>
          <w:iCs/>
        </w:rPr>
        <w:t xml:space="preserve"> </w:t>
      </w:r>
      <w:r>
        <w:rPr>
          <w:i/>
          <w:iCs/>
        </w:rPr>
        <w:t xml:space="preserve">Appeals</w:t>
      </w:r>
      <w:r>
        <w:rPr>
          <w:i/>
          <w:iCs/>
        </w:rPr>
        <w:t xml:space="preserve"> </w:t>
      </w:r>
      <w:r>
        <w:rPr>
          <w:i/>
          <w:iCs/>
        </w:rPr>
        <w:t xml:space="preserve">of</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Shepherdstown</w:t>
      </w:r>
      <w:r>
        <w:rPr>
          <w:i/>
          <w:iCs/>
        </w:rPr>
        <w:t xml:space="preserve"> </w:t>
      </w:r>
      <w:r>
        <w:rPr>
          <w:i/>
          <w:iCs/>
        </w:rPr>
        <w:t xml:space="preserve">v.</w:t>
      </w:r>
      <w:r>
        <w:rPr>
          <w:i/>
          <w:iCs/>
        </w:rPr>
        <w:t xml:space="preserve"> </w:t>
      </w:r>
      <w:r>
        <w:rPr>
          <w:i/>
          <w:iCs/>
        </w:rPr>
        <w:t xml:space="preserve">Tkacz</w:t>
      </w:r>
      <w:r>
        <w:t xml:space="preserve">,</w:t>
      </w:r>
      <w:r>
        <w:t xml:space="preserve"> </w:t>
      </w:r>
      <w:r>
        <w:t xml:space="preserve">764</w:t>
      </w:r>
      <w:r>
        <w:t xml:space="preserve"> </w:t>
      </w:r>
      <w:r>
        <w:t xml:space="preserve">S.E.2d</w:t>
      </w:r>
      <w:r>
        <w:t xml:space="preserve"> </w:t>
      </w:r>
      <w:r>
        <w:t xml:space="preserve">532</w:t>
      </w:r>
      <w:r>
        <w:t xml:space="preserve"> </w:t>
      </w:r>
      <w:r>
        <w:t xml:space="preserve">(W.</w:t>
      </w:r>
      <w:r>
        <w:t xml:space="preserve"> </w:t>
      </w:r>
      <w:r>
        <w:t xml:space="preserve">Va.</w:t>
      </w:r>
      <w:r>
        <w:t xml:space="preserve"> </w:t>
      </w:r>
      <w:r>
        <w:t xml:space="preserve">2014)</w:t>
      </w:r>
      <w:r>
        <w:t xml:space="preserve">   </w:t>
      </w:r>
      <w:r>
        <w:tab/>
      </w:r>
      <w:r>
        <w:t xml:space="preserve">6</w:t>
      </w:r>
    </w:p>
    <w:p>
      <w:pPr>
        <w:keepLines/>
        <w:tabs>
          <w:tab w:val="right" w:leader="dot" w:pos="9360"/>
        </w:tabs>
        <w:spacing w:before="192" w:after="0" w:line="276" w:lineRule="exact"/>
        <w:ind w:left="720" w:right="1120" w:hanging="720"/>
      </w:pPr>
      <w:r>
        <w:rPr>
          <w:i/>
          <w:iCs/>
        </w:rPr>
        <w:t xml:space="preserve">Corliss</w:t>
      </w:r>
      <w:r>
        <w:rPr>
          <w:i/>
          <w:iCs/>
        </w:rPr>
        <w:t xml:space="preserve"> </w:t>
      </w:r>
      <w:r>
        <w:rPr>
          <w:i/>
          <w:iCs/>
        </w:rPr>
        <w:t xml:space="preserve">v.</w:t>
      </w:r>
      <w:r>
        <w:rPr>
          <w:i/>
          <w:iCs/>
        </w:rPr>
        <w:t xml:space="preserve"> </w:t>
      </w:r>
      <w:r>
        <w:rPr>
          <w:i/>
          <w:iCs/>
        </w:rPr>
        <w:t xml:space="preserve">Jefferson</w:t>
      </w:r>
      <w:r>
        <w:rPr>
          <w:i/>
          <w:iCs/>
        </w:rPr>
        <w:t xml:space="preserve"> </w:t>
      </w:r>
      <w:r>
        <w:rPr>
          <w:i/>
          <w:iCs/>
        </w:rPr>
        <w:t xml:space="preserve">County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Zoning</w:t>
      </w:r>
      <w:r>
        <w:rPr>
          <w:i/>
          <w:iCs/>
        </w:rPr>
        <w:t xml:space="preserve"> </w:t>
      </w:r>
      <w:r>
        <w:rPr>
          <w:i/>
          <w:iCs/>
        </w:rPr>
        <w:t xml:space="preserve">Appeals</w:t>
      </w:r>
      <w:r>
        <w:t xml:space="preserve">,</w:t>
      </w:r>
      <w:r>
        <w:t xml:space="preserve"> </w:t>
      </w:r>
      <w:r>
        <w:t xml:space="preserve">214</w:t>
      </w:r>
      <w:r>
        <w:t xml:space="preserve"> </w:t>
      </w:r>
      <w:r>
        <w:t xml:space="preserve">W.</w:t>
      </w:r>
      <w:r>
        <w:t xml:space="preserve"> </w:t>
      </w:r>
      <w:r>
        <w:t xml:space="preserve">Va.</w:t>
      </w:r>
      <w:r>
        <w:t xml:space="preserve"> </w:t>
      </w:r>
      <w:r>
        <w:t xml:space="preserve">535,</w:t>
      </w:r>
      <w:r>
        <w:t xml:space="preserve"> </w:t>
      </w:r>
      <w:r>
        <w:t xml:space="preserve">591</w:t>
      </w:r>
      <w:r>
        <w:t xml:space="preserve"> </w:t>
      </w:r>
      <w:r>
        <w:t xml:space="preserve">S.E.2d</w:t>
      </w:r>
      <w:r>
        <w:t xml:space="preserve"> </w:t>
      </w:r>
      <w:r>
        <w:t xml:space="preserve">93</w:t>
      </w:r>
      <w:r>
        <w:t xml:space="preserve"> </w:t>
      </w:r>
      <w:r>
        <w:t xml:space="preserve">(2003)</w:t>
      </w:r>
      <w:r>
        <w:t xml:space="preserve">   </w:t>
      </w:r>
      <w:r>
        <w:tab/>
      </w:r>
      <w:r>
        <w:t xml:space="preserve">12</w:t>
      </w:r>
    </w:p>
    <w:p>
      <w:pPr>
        <w:keepLines/>
        <w:tabs>
          <w:tab w:val="right" w:leader="dot" w:pos="9360"/>
        </w:tabs>
        <w:spacing w:before="192" w:after="0" w:line="276" w:lineRule="exact"/>
        <w:ind w:left="720" w:right="1440" w:hanging="720"/>
      </w:pPr>
      <w:r>
        <w:rPr>
          <w:i/>
          <w:iCs/>
        </w:rPr>
        <w:t xml:space="preserve">Far</w:t>
      </w:r>
      <w:r>
        <w:rPr>
          <w:i/>
          <w:iCs/>
        </w:rPr>
        <w:t xml:space="preserve"> </w:t>
      </w:r>
      <w:r>
        <w:rPr>
          <w:i/>
          <w:iCs/>
        </w:rPr>
        <w:t xml:space="preserve">Away</w:t>
      </w:r>
      <w:r>
        <w:rPr>
          <w:i/>
          <w:iCs/>
        </w:rPr>
        <w:t xml:space="preserve"> </w:t>
      </w:r>
      <w:r>
        <w:rPr>
          <w:i/>
          <w:iCs/>
        </w:rPr>
        <w:t xml:space="preserve">Farm,</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Jefferson</w:t>
      </w:r>
      <w:r>
        <w:rPr>
          <w:i/>
          <w:iCs/>
        </w:rPr>
        <w:t xml:space="preserve"> </w:t>
      </w:r>
      <w:r>
        <w:rPr>
          <w:i/>
          <w:iCs/>
        </w:rPr>
        <w:t xml:space="preserve">County</w:t>
      </w:r>
      <w:r>
        <w:rPr>
          <w:i/>
          <w:iCs/>
        </w:rPr>
        <w:t xml:space="preserve"> </w:t>
      </w:r>
      <w:r>
        <w:rPr>
          <w:i/>
          <w:iCs/>
        </w:rPr>
        <w:t xml:space="preserve">BZA</w:t>
      </w:r>
      <w:r>
        <w:t xml:space="preserve">,</w:t>
      </w:r>
      <w:r>
        <w:t xml:space="preserve"> </w:t>
      </w:r>
      <w:r>
        <w:t xml:space="preserve">222</w:t>
      </w:r>
      <w:r>
        <w:t xml:space="preserve"> </w:t>
      </w:r>
      <w:r>
        <w:t xml:space="preserve">W.</w:t>
      </w:r>
      <w:r>
        <w:t xml:space="preserve"> </w:t>
      </w:r>
      <w:r>
        <w:t xml:space="preserve">Va.</w:t>
      </w:r>
      <w:r>
        <w:t xml:space="preserve"> </w:t>
      </w:r>
      <w:r>
        <w:t xml:space="preserve">252,</w:t>
      </w:r>
      <w:r>
        <w:t xml:space="preserve"> </w:t>
      </w:r>
      <w:r>
        <w:t xml:space="preserve">664</w:t>
      </w:r>
      <w:r>
        <w:t xml:space="preserve"> </w:t>
      </w:r>
      <w:r>
        <w:t xml:space="preserve">S.E.2d</w:t>
      </w:r>
      <w:r>
        <w:t xml:space="preserve"> </w:t>
      </w:r>
      <w:r>
        <w:t xml:space="preserve">137</w:t>
      </w:r>
      <w:r>
        <w:t xml:space="preserve"> </w:t>
      </w:r>
      <w:r>
        <w:t xml:space="preserve">(2008)</w:t>
      </w:r>
      <w:r>
        <w:t xml:space="preserve">   </w:t>
      </w:r>
      <w:r>
        <w:tab/>
      </w:r>
      <w:r>
        <w:t xml:space="preserve">8, 9, 10, 19, 22</w:t>
      </w:r>
    </w:p>
    <w:p>
      <w:pPr>
        <w:keepLines/>
        <w:tabs>
          <w:tab w:val="right" w:leader="dot" w:pos="9360"/>
        </w:tabs>
        <w:spacing w:before="192" w:after="0" w:line="276" w:lineRule="exact"/>
        <w:ind w:left="720" w:right="1120" w:hanging="720"/>
      </w:pPr>
      <w:r>
        <w:rPr>
          <w:i/>
          <w:iCs/>
        </w:rPr>
        <w:t xml:space="preserve">Habitat</w:t>
      </w:r>
      <w:r>
        <w:rPr>
          <w:i/>
          <w:iCs/>
        </w:rPr>
        <w:t xml:space="preserve"> </w:t>
      </w:r>
      <w:r>
        <w:rPr>
          <w:i/>
          <w:iCs/>
        </w:rPr>
        <w:t xml:space="preserve">for</w:t>
      </w:r>
      <w:r>
        <w:rPr>
          <w:i/>
          <w:iCs/>
        </w:rPr>
        <w:t xml:space="preserve"> </w:t>
      </w:r>
      <w:r>
        <w:rPr>
          <w:i/>
          <w:iCs/>
        </w:rPr>
        <w:t xml:space="preserve">Humanity</w:t>
      </w:r>
      <w:r>
        <w:rPr>
          <w:i/>
          <w:iCs/>
        </w:rPr>
        <w:t xml:space="preserve"> </w:t>
      </w:r>
      <w:r>
        <w:rPr>
          <w:i/>
          <w:iCs/>
        </w:rPr>
        <w:t xml:space="preserve">of</w:t>
      </w:r>
      <w:r>
        <w:rPr>
          <w:i/>
          <w:iCs/>
        </w:rPr>
        <w:t xml:space="preserve"> </w:t>
      </w:r>
      <w:r>
        <w:rPr>
          <w:i/>
          <w:iCs/>
        </w:rPr>
        <w:t xml:space="preserve">Moore</w:t>
      </w:r>
      <w:r>
        <w:rPr>
          <w:i/>
          <w:iCs/>
        </w:rPr>
        <w:t xml:space="preserve"> </w:t>
      </w:r>
      <w:r>
        <w:rPr>
          <w:i/>
          <w:iCs/>
        </w:rPr>
        <w:t xml:space="preserve">County,</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Com’rs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Pinebluff</w:t>
      </w:r>
      <w:r>
        <w:t xml:space="preserve">,</w:t>
      </w:r>
      <w:r>
        <w:t xml:space="preserve"> </w:t>
      </w:r>
      <w:r>
        <w:t xml:space="preserve">187</w:t>
      </w:r>
      <w:r>
        <w:t xml:space="preserve"> </w:t>
      </w:r>
      <w:r>
        <w:t xml:space="preserve">N.C.</w:t>
      </w:r>
      <w:r>
        <w:t xml:space="preserve"> </w:t>
      </w:r>
      <w:r>
        <w:t xml:space="preserve">A.</w:t>
      </w:r>
      <w:r>
        <w:t xml:space="preserve"> </w:t>
      </w:r>
      <w:r>
        <w:t xml:space="preserve">764,</w:t>
      </w:r>
      <w:r>
        <w:t xml:space="preserve"> </w:t>
      </w:r>
      <w:r>
        <w:t xml:space="preserve">653</w:t>
      </w:r>
      <w:r>
        <w:t xml:space="preserve"> </w:t>
      </w:r>
      <w:r>
        <w:t xml:space="preserve">S.E.2d</w:t>
      </w:r>
      <w:r>
        <w:t xml:space="preserve"> </w:t>
      </w:r>
      <w:r>
        <w:t xml:space="preserve">886</w:t>
      </w:r>
      <w:r>
        <w:t xml:space="preserve"> </w:t>
      </w:r>
      <w:r>
        <w:t xml:space="preserve">(2007)</w:t>
      </w:r>
      <w:r>
        <w:t xml:space="preserve">   </w:t>
      </w:r>
      <w:r>
        <w:tab/>
      </w:r>
      <w:r>
        <w:t xml:space="preserve">11</w:t>
      </w:r>
    </w:p>
    <w:p>
      <w:pPr>
        <w:keepLines/>
        <w:tabs>
          <w:tab w:val="right" w:leader="dot" w:pos="9360"/>
        </w:tabs>
        <w:spacing w:before="192" w:after="0" w:line="276" w:lineRule="exact"/>
        <w:ind w:left="720" w:right="1120" w:hanging="720"/>
      </w:pPr>
      <w:r>
        <w:rPr>
          <w:i/>
          <w:iCs/>
        </w:rPr>
        <w:t xml:space="preserve">Huntington</w:t>
      </w:r>
      <w:r>
        <w:rPr>
          <w:i/>
          <w:iCs/>
        </w:rPr>
        <w:t xml:space="preserve"> </w:t>
      </w:r>
      <w:r>
        <w:rPr>
          <w:i/>
          <w:iCs/>
        </w:rPr>
        <w:t xml:space="preserve">Realty</w:t>
      </w:r>
      <w:r>
        <w:rPr>
          <w:i/>
          <w:iCs/>
        </w:rPr>
        <w:t xml:space="preserve"> </w:t>
      </w:r>
      <w:r>
        <w:rPr>
          <w:i/>
          <w:iCs/>
        </w:rPr>
        <w:t xml:space="preserve">Corporation</w:t>
      </w:r>
      <w:r>
        <w:rPr>
          <w:i/>
          <w:iCs/>
        </w:rPr>
        <w:t xml:space="preserve"> </w:t>
      </w:r>
      <w:r>
        <w:rPr>
          <w:i/>
          <w:iCs/>
        </w:rPr>
        <w:t xml:space="preserve">v.</w:t>
      </w:r>
      <w:r>
        <w:rPr>
          <w:i/>
          <w:iCs/>
        </w:rPr>
        <w:t xml:space="preserve"> </w:t>
      </w:r>
      <w:r>
        <w:rPr>
          <w:i/>
          <w:iCs/>
        </w:rPr>
        <w:t xml:space="preserve">The</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Huntington</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Zoning</w:t>
      </w:r>
      <w:r>
        <w:rPr>
          <w:i/>
          <w:iCs/>
        </w:rPr>
        <w:t xml:space="preserve"> </w:t>
      </w:r>
      <w:r>
        <w:rPr>
          <w:i/>
          <w:iCs/>
        </w:rPr>
        <w:t xml:space="preserve">Appeals</w:t>
      </w:r>
      <w:r>
        <w:rPr>
          <w:i/>
          <w:iCs/>
        </w:rPr>
        <w:t xml:space="preserve"> </w:t>
      </w:r>
      <w:r>
        <w:rPr>
          <w:i/>
          <w:iCs/>
        </w:rPr>
        <w:t xml:space="preserve">et</w:t>
      </w:r>
      <w:r>
        <w:rPr>
          <w:i/>
          <w:iCs/>
        </w:rPr>
        <w:t xml:space="preserve"> </w:t>
      </w:r>
      <w:r>
        <w:rPr>
          <w:i/>
          <w:iCs/>
        </w:rPr>
        <w:t xml:space="preserve">al.</w:t>
      </w:r>
      <w:r>
        <w:t xml:space="preserve"> </w:t>
      </w:r>
      <w:r>
        <w:t xml:space="preserve">(ICA</w:t>
      </w:r>
      <w:r>
        <w:t xml:space="preserve"> </w:t>
      </w:r>
      <w:r>
        <w:t xml:space="preserve">Docket</w:t>
      </w:r>
      <w:r>
        <w:t xml:space="preserve"> </w:t>
      </w:r>
      <w:r>
        <w:t xml:space="preserve">No.</w:t>
      </w:r>
      <w:r>
        <w:t xml:space="preserve"> </w:t>
      </w:r>
      <w:r>
        <w:t xml:space="preserve">22-ICA</w:t>
        <w:noBreakHyphen/>
        <w:t xml:space="preserve">239)</w:t>
      </w:r>
      <w:r>
        <w:t xml:space="preserve">   </w:t>
      </w:r>
      <w:r>
        <w:tab/>
      </w:r>
      <w:r>
        <w:t xml:space="preserve">5</w:t>
      </w:r>
    </w:p>
    <w:p>
      <w:pPr>
        <w:keepLines/>
        <w:tabs>
          <w:tab w:val="right" w:leader="dot" w:pos="9360"/>
        </w:tabs>
        <w:spacing w:before="192" w:after="0" w:line="276" w:lineRule="exact"/>
        <w:ind w:left="720" w:right="1120" w:hanging="720"/>
      </w:pPr>
      <w:r>
        <w:rPr>
          <w:i/>
          <w:iCs/>
        </w:rPr>
        <w:t xml:space="preserve">Jefferson</w:t>
      </w:r>
      <w:r>
        <w:rPr>
          <w:i/>
          <w:iCs/>
        </w:rPr>
        <w:t xml:space="preserve"> </w:t>
      </w:r>
      <w:r>
        <w:rPr>
          <w:i/>
          <w:iCs/>
        </w:rPr>
        <w:t xml:space="preserve">Orchards,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Jefferson</w:t>
      </w:r>
      <w:r>
        <w:rPr>
          <w:i/>
          <w:iCs/>
        </w:rPr>
        <w:t xml:space="preserve"> </w:t>
      </w:r>
      <w:r>
        <w:rPr>
          <w:i/>
          <w:iCs/>
        </w:rPr>
        <w:t xml:space="preserve">Cnty.</w:t>
      </w:r>
      <w:r>
        <w:rPr>
          <w:i/>
          <w:iCs/>
        </w:rPr>
        <w:t xml:space="preserve"> </w:t>
      </w:r>
      <w:r>
        <w:rPr>
          <w:i/>
          <w:iCs/>
        </w:rPr>
        <w:t xml:space="preserve">Zoning</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Appeals</w:t>
      </w:r>
      <w:r>
        <w:t xml:space="preserve">,</w:t>
      </w:r>
      <w:r>
        <w:t xml:space="preserve"> </w:t>
      </w:r>
      <w:r>
        <w:t xml:space="preserve">2008</w:t>
      </w:r>
      <w:r>
        <w:t xml:space="preserve"> </w:t>
      </w:r>
      <w:r>
        <w:t xml:space="preserve">WL</w:t>
      </w:r>
      <w:r>
        <w:t xml:space="preserve"> </w:t>
      </w:r>
      <w:r>
        <w:t xml:space="preserve">8928938</w:t>
      </w:r>
      <w:r>
        <w:t xml:space="preserve"> </w:t>
      </w:r>
      <w:r>
        <w:t xml:space="preserve">(W.Va.Cir.Ct.</w:t>
      </w:r>
      <w:r>
        <w:t xml:space="preserve"> </w:t>
      </w:r>
      <w:r>
        <w:t xml:space="preserve">2008)</w:t>
      </w:r>
      <w:r>
        <w:t xml:space="preserve">   </w:t>
      </w:r>
      <w:r>
        <w:tab/>
      </w:r>
      <w:r>
        <w:t xml:space="preserve">8</w:t>
      </w:r>
    </w:p>
    <w:p>
      <w:pPr>
        <w:keepLines/>
        <w:tabs>
          <w:tab w:val="right" w:leader="dot" w:pos="9360"/>
        </w:tabs>
        <w:spacing w:before="192" w:after="0" w:line="276" w:lineRule="exact"/>
        <w:ind w:left="720" w:right="1120" w:hanging="720"/>
      </w:pPr>
      <w:r>
        <w:rPr>
          <w:i/>
          <w:iCs/>
        </w:rPr>
        <w:t xml:space="preserve">Jefferson</w:t>
      </w:r>
      <w:r>
        <w:rPr>
          <w:i/>
          <w:iCs/>
        </w:rPr>
        <w:t xml:space="preserve"> </w:t>
      </w:r>
      <w:r>
        <w:rPr>
          <w:i/>
          <w:iCs/>
        </w:rPr>
        <w:t xml:space="preserve">Orchards,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Jefferson</w:t>
      </w:r>
      <w:r>
        <w:rPr>
          <w:i/>
          <w:iCs/>
        </w:rPr>
        <w:t xml:space="preserve"> </w:t>
      </w:r>
      <w:r>
        <w:rPr>
          <w:i/>
          <w:iCs/>
        </w:rPr>
        <w:t xml:space="preserve">County</w:t>
      </w:r>
      <w:r>
        <w:rPr>
          <w:i/>
          <w:iCs/>
        </w:rPr>
        <w:t xml:space="preserve"> </w:t>
      </w:r>
      <w:r>
        <w:rPr>
          <w:i/>
          <w:iCs/>
        </w:rPr>
        <w:t xml:space="preserve">Zoning</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Appeals</w:t>
      </w:r>
      <w:r>
        <w:t xml:space="preserve">,</w:t>
      </w:r>
      <w:r>
        <w:t xml:space="preserve"> </w:t>
      </w:r>
      <w:r>
        <w:t xml:space="preserve">225</w:t>
      </w:r>
      <w:r>
        <w:t xml:space="preserve"> </w:t>
      </w:r>
      <w:r>
        <w:t xml:space="preserve">W.</w:t>
      </w:r>
      <w:r>
        <w:t xml:space="preserve"> </w:t>
      </w:r>
      <w:r>
        <w:t xml:space="preserve">Va.</w:t>
      </w:r>
      <w:r>
        <w:t xml:space="preserve"> </w:t>
      </w:r>
      <w:r>
        <w:t xml:space="preserve">416,</w:t>
      </w:r>
      <w:r>
        <w:t xml:space="preserve"> </w:t>
      </w:r>
      <w:r>
        <w:t xml:space="preserve">693</w:t>
      </w:r>
      <w:r>
        <w:t xml:space="preserve"> </w:t>
      </w:r>
      <w:r>
        <w:t xml:space="preserve">S.E.2d</w:t>
      </w:r>
      <w:r>
        <w:t xml:space="preserve"> </w:t>
      </w:r>
      <w:r>
        <w:t xml:space="preserve">781</w:t>
      </w:r>
      <w:r>
        <w:t xml:space="preserve"> </w:t>
      </w:r>
      <w:r>
        <w:t xml:space="preserve">(2010)</w:t>
      </w:r>
      <w:r>
        <w:t xml:space="preserve">   </w:t>
      </w:r>
      <w:r>
        <w:tab/>
      </w:r>
      <w:r>
        <w:t xml:space="preserve">7</w:t>
      </w:r>
    </w:p>
    <w:p>
      <w:pPr>
        <w:keepLines/>
        <w:tabs>
          <w:tab w:val="right" w:leader="dot" w:pos="9360"/>
        </w:tabs>
        <w:spacing w:before="192" w:after="0" w:line="276" w:lineRule="exact"/>
        <w:ind w:left="720" w:right="1120" w:hanging="720"/>
      </w:pPr>
      <w:r>
        <w:rPr>
          <w:i/>
          <w:iCs/>
        </w:rPr>
        <w:t xml:space="preserve">Maplewood</w:t>
      </w:r>
      <w:r>
        <w:rPr>
          <w:i/>
          <w:iCs/>
        </w:rPr>
        <w:t xml:space="preserve"> </w:t>
      </w:r>
      <w:r>
        <w:rPr>
          <w:i/>
          <w:iCs/>
        </w:rPr>
        <w:t xml:space="preserve">Estates</w:t>
      </w:r>
      <w:r>
        <w:rPr>
          <w:i/>
          <w:iCs/>
        </w:rPr>
        <w:t xml:space="preserve"> </w:t>
      </w:r>
      <w:r>
        <w:rPr>
          <w:i/>
          <w:iCs/>
        </w:rPr>
        <w:t xml:space="preserve">Homeowners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Putnam</w:t>
      </w:r>
      <w:r>
        <w:rPr>
          <w:i/>
          <w:iCs/>
        </w:rPr>
        <w:t xml:space="preserve"> </w:t>
      </w:r>
      <w:r>
        <w:rPr>
          <w:i/>
          <w:iCs/>
        </w:rPr>
        <w:t xml:space="preserve">Cnty.</w:t>
      </w:r>
      <w:r>
        <w:rPr>
          <w:i/>
          <w:iCs/>
        </w:rPr>
        <w:t xml:space="preserve"> </w:t>
      </w:r>
      <w:r>
        <w:rPr>
          <w:i/>
          <w:iCs/>
        </w:rPr>
        <w:t xml:space="preserve">Planning</w:t>
      </w:r>
      <w:r>
        <w:rPr>
          <w:i/>
          <w:iCs/>
        </w:rPr>
        <w:t xml:space="preserve"> </w:t>
      </w:r>
      <w:r>
        <w:rPr>
          <w:i/>
          <w:iCs/>
        </w:rPr>
        <w:t xml:space="preserve">Comm’n</w:t>
      </w:r>
      <w:r>
        <w:t xml:space="preserve">,</w:t>
      </w:r>
      <w:r>
        <w:t xml:space="preserve"> </w:t>
      </w:r>
      <w:r>
        <w:t xml:space="preserve">218</w:t>
      </w:r>
      <w:r>
        <w:t xml:space="preserve"> </w:t>
      </w:r>
      <w:r>
        <w:t xml:space="preserve">W.</w:t>
      </w:r>
      <w:r>
        <w:t xml:space="preserve"> </w:t>
      </w:r>
      <w:r>
        <w:t xml:space="preserve">Va.</w:t>
      </w:r>
      <w:r>
        <w:t xml:space="preserve"> </w:t>
      </w:r>
      <w:r>
        <w:t xml:space="preserve">719,</w:t>
      </w:r>
      <w:r>
        <w:t xml:space="preserve"> </w:t>
      </w:r>
      <w:r>
        <w:t xml:space="preserve">629</w:t>
      </w:r>
      <w:r>
        <w:t xml:space="preserve"> </w:t>
      </w:r>
      <w:r>
        <w:t xml:space="preserve">S.E.2d</w:t>
      </w:r>
      <w:r>
        <w:t xml:space="preserve"> </w:t>
      </w:r>
      <w:r>
        <w:t xml:space="preserve">778</w:t>
      </w:r>
      <w:r>
        <w:t xml:space="preserve"> </w:t>
      </w:r>
      <w:r>
        <w:t xml:space="preserve">(2006)</w:t>
      </w:r>
      <w:r>
        <w:t xml:space="preserve">   </w:t>
      </w:r>
      <w:r>
        <w:tab/>
      </w:r>
      <w:r>
        <w:t xml:space="preserve">6, 19</w:t>
      </w:r>
    </w:p>
    <w:p>
      <w:pPr>
        <w:keepLines/>
        <w:tabs>
          <w:tab w:val="right" w:leader="dot" w:pos="9360"/>
        </w:tabs>
        <w:spacing w:before="192" w:after="0" w:line="276" w:lineRule="exact"/>
        <w:ind w:left="720" w:right="1120" w:hanging="720"/>
      </w:pPr>
      <w:r>
        <w:rPr>
          <w:i/>
          <w:iCs/>
        </w:rPr>
        <w:t xml:space="preserve">Northampton</w:t>
      </w:r>
      <w:r>
        <w:rPr>
          <w:i/>
          <w:iCs/>
        </w:rPr>
        <w:t xml:space="preserve"> </w:t>
      </w:r>
      <w:r>
        <w:rPr>
          <w:i/>
          <w:iCs/>
        </w:rPr>
        <w:t xml:space="preserve">Area</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E.</w:t>
      </w:r>
      <w:r>
        <w:rPr>
          <w:i/>
          <w:iCs/>
        </w:rPr>
        <w:t xml:space="preserve"> </w:t>
      </w:r>
      <w:r>
        <w:rPr>
          <w:i/>
          <w:iCs/>
        </w:rPr>
        <w:t xml:space="preserve">Allen</w:t>
      </w:r>
      <w:r>
        <w:rPr>
          <w:i/>
          <w:iCs/>
        </w:rPr>
        <w:t xml:space="preserve"> </w:t>
      </w:r>
      <w:r>
        <w:rPr>
          <w:i/>
          <w:iCs/>
        </w:rPr>
        <w:t xml:space="preserve">Twp.</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Sup’rs</w:t>
      </w:r>
      <w:r>
        <w:t xml:space="preserve">,</w:t>
      </w:r>
      <w:r>
        <w:t xml:space="preserve"> </w:t>
      </w:r>
      <w:r>
        <w:t xml:space="preserve">824</w:t>
      </w:r>
      <w:r>
        <w:t xml:space="preserve"> </w:t>
      </w:r>
      <w:r>
        <w:t xml:space="preserve">A.2d</w:t>
      </w:r>
      <w:r>
        <w:t xml:space="preserve"> </w:t>
      </w:r>
      <w:r>
        <w:t xml:space="preserve">372</w:t>
      </w:r>
      <w:r>
        <w:t xml:space="preserve">   </w:t>
      </w:r>
      <w:r>
        <w:tab/>
      </w:r>
      <w:r>
        <w:t xml:space="preserve">11</w:t>
      </w:r>
    </w:p>
    <w:p>
      <w:pPr>
        <w:keepLines/>
        <w:tabs>
          <w:tab w:val="right" w:leader="dot" w:pos="9360"/>
        </w:tabs>
        <w:spacing w:before="192" w:after="0" w:line="276" w:lineRule="exact"/>
        <w:ind w:left="720" w:right="1120" w:hanging="720"/>
      </w:pPr>
      <w:r>
        <w:rPr>
          <w:i/>
          <w:iCs/>
        </w:rPr>
        <w:t xml:space="preserve">Rockwell</w:t>
      </w:r>
      <w:r>
        <w:rPr>
          <w:i/>
          <w:iCs/>
        </w:rPr>
        <w:t xml:space="preserve"> </w:t>
      </w:r>
      <w:r>
        <w:rPr>
          <w:i/>
          <w:iCs/>
        </w:rPr>
        <w:t xml:space="preserve">v.</w:t>
      </w:r>
      <w:r>
        <w:rPr>
          <w:i/>
          <w:iCs/>
        </w:rPr>
        <w:t xml:space="preserve"> </w:t>
      </w:r>
      <w:r>
        <w:rPr>
          <w:i/>
          <w:iCs/>
        </w:rPr>
        <w:t xml:space="preserve">Jefferson</w:t>
      </w:r>
      <w:r>
        <w:rPr>
          <w:i/>
          <w:iCs/>
        </w:rPr>
        <w:t xml:space="preserve"> </w:t>
      </w:r>
      <w:r>
        <w:rPr>
          <w:i/>
          <w:iCs/>
        </w:rPr>
        <w:t xml:space="preserve">County</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Zoning</w:t>
      </w:r>
      <w:r>
        <w:rPr>
          <w:i/>
          <w:iCs/>
        </w:rPr>
        <w:t xml:space="preserve"> </w:t>
      </w:r>
      <w:r>
        <w:rPr>
          <w:i/>
          <w:iCs/>
        </w:rPr>
        <w:t xml:space="preserve">Appeals</w:t>
      </w:r>
      <w:r>
        <w:rPr>
          <w:i/>
          <w:iCs/>
        </w:rPr>
        <w:t xml:space="preserve"> </w:t>
      </w:r>
      <w:r>
        <w:rPr>
          <w:i/>
          <w:iCs/>
        </w:rPr>
        <w:t xml:space="preserve">et</w:t>
      </w:r>
      <w:r>
        <w:rPr>
          <w:i/>
          <w:iCs/>
        </w:rPr>
        <w:t xml:space="preserve"> </w:t>
      </w:r>
      <w:r>
        <w:rPr>
          <w:i/>
          <w:iCs/>
        </w:rPr>
        <w:t xml:space="preserve">al.</w:t>
      </w:r>
      <w:r>
        <w:t xml:space="preserve"> </w:t>
      </w:r>
      <w:r>
        <w:t xml:space="preserve">(Supreme</w:t>
      </w:r>
      <w:r>
        <w:t xml:space="preserve"> </w:t>
      </w:r>
      <w:r>
        <w:t xml:space="preserve">Court</w:t>
      </w:r>
      <w:r>
        <w:t xml:space="preserve"> </w:t>
      </w:r>
      <w:r>
        <w:t xml:space="preserve">of</w:t>
      </w:r>
      <w:r>
        <w:t xml:space="preserve"> </w:t>
      </w:r>
      <w:r>
        <w:t xml:space="preserve">Appeals</w:t>
      </w:r>
      <w:r>
        <w:t xml:space="preserve"> </w:t>
      </w:r>
      <w:r>
        <w:t xml:space="preserve">Docket</w:t>
      </w:r>
      <w:r>
        <w:t xml:space="preserve"> </w:t>
      </w:r>
      <w:r>
        <w:t xml:space="preserve">No.</w:t>
      </w:r>
      <w:r>
        <w:t xml:space="preserve"> </w:t>
      </w:r>
      <w:r>
        <w:t xml:space="preserve">23</w:t>
        <w:noBreakHyphen/>
        <w:t xml:space="preserve">369)</w:t>
      </w:r>
      <w:r>
        <w:t xml:space="preserve">   </w:t>
      </w:r>
      <w:r>
        <w:tab/>
      </w:r>
      <w:r>
        <w:t xml:space="preserve">5</w:t>
      </w:r>
    </w:p>
    <w:p>
      <w:pPr>
        <w:keepLines/>
        <w:tabs>
          <w:tab w:val="right" w:leader="dot" w:pos="9360"/>
        </w:tabs>
        <w:spacing w:before="192" w:after="0" w:line="276" w:lineRule="exact"/>
        <w:ind w:left="720" w:right="1120" w:hanging="720"/>
      </w:pPr>
      <w:r>
        <w:rPr>
          <w:i/>
          <w:iCs/>
        </w:rPr>
        <w:t xml:space="preserve">SWN</w:t>
      </w:r>
      <w:r>
        <w:rPr>
          <w:i/>
          <w:iCs/>
        </w:rPr>
        <w:t xml:space="preserve"> </w:t>
      </w:r>
      <w:r>
        <w:rPr>
          <w:i/>
          <w:iCs/>
        </w:rPr>
        <w:t xml:space="preserve">Production</w:t>
      </w:r>
      <w:r>
        <w:rPr>
          <w:i/>
          <w:iCs/>
        </w:rPr>
        <w:t xml:space="preserve"> </w:t>
      </w:r>
      <w:r>
        <w:rPr>
          <w:i/>
          <w:iCs/>
        </w:rPr>
        <w:t xml:space="preserve">Company,</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Weirton</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Zoning</w:t>
      </w:r>
      <w:r>
        <w:rPr>
          <w:i/>
          <w:iCs/>
        </w:rPr>
        <w:t xml:space="preserve"> </w:t>
      </w:r>
      <w:r>
        <w:rPr>
          <w:i/>
          <w:iCs/>
        </w:rPr>
        <w:t xml:space="preserve">Appeals</w:t>
      </w:r>
      <w:r>
        <w:rPr>
          <w:i/>
          <w:iCs/>
        </w:rPr>
        <w:t xml:space="preserve"> </w:t>
      </w:r>
      <w:r>
        <w:rPr>
          <w:i/>
          <w:iCs/>
        </w:rPr>
        <w:t xml:space="preserve">et</w:t>
      </w:r>
      <w:r>
        <w:rPr>
          <w:i/>
          <w:iCs/>
        </w:rPr>
        <w:t xml:space="preserve"> </w:t>
      </w:r>
      <w:r>
        <w:rPr>
          <w:i/>
          <w:iCs/>
        </w:rPr>
        <w:t xml:space="preserve">al.</w:t>
      </w:r>
      <w:r>
        <w:t xml:space="preserve"> </w:t>
      </w:r>
      <w:r>
        <w:t xml:space="preserve">(ICA</w:t>
      </w:r>
      <w:r>
        <w:t xml:space="preserve"> </w:t>
      </w:r>
      <w:r>
        <w:t xml:space="preserve">Docket</w:t>
      </w:r>
      <w:r>
        <w:t xml:space="preserve"> </w:t>
      </w:r>
      <w:r>
        <w:t xml:space="preserve">No.</w:t>
      </w:r>
      <w:r>
        <w:t xml:space="preserve"> </w:t>
      </w:r>
      <w:r>
        <w:t xml:space="preserve">23-ICA</w:t>
        <w:noBreakHyphen/>
        <w:t xml:space="preserve">405)</w:t>
      </w:r>
      <w:r>
        <w:t xml:space="preserve">   </w:t>
      </w:r>
      <w:r>
        <w:tab/>
      </w:r>
      <w:r>
        <w:t xml:space="preserve">5</w:t>
      </w:r>
    </w:p>
    <w:p>
      <w:pPr>
        <w:keepLines/>
        <w:tabs>
          <w:tab w:val="right" w:leader="dot" w:pos="9360"/>
        </w:tabs>
        <w:spacing w:before="192"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Timber</w:t>
      </w:r>
      <w:r>
        <w:rPr>
          <w:i/>
          <w:iCs/>
        </w:rPr>
        <w:t xml:space="preserve"> </w:t>
      </w:r>
      <w:r>
        <w:rPr>
          <w:i/>
          <w:iCs/>
        </w:rPr>
        <w:t xml:space="preserve">M.</w:t>
      </w:r>
      <w:r>
        <w:t xml:space="preserve">,</w:t>
      </w:r>
      <w:r>
        <w:t xml:space="preserve"> </w:t>
      </w:r>
      <w:r>
        <w:t xml:space="preserve">231</w:t>
      </w:r>
      <w:r>
        <w:t xml:space="preserve"> </w:t>
      </w:r>
      <w:r>
        <w:t xml:space="preserve">W.Va.</w:t>
      </w:r>
      <w:r>
        <w:t xml:space="preserve"> </w:t>
      </w:r>
      <w:r>
        <w:t xml:space="preserve">44,</w:t>
      </w:r>
      <w:r>
        <w:t xml:space="preserve"> </w:t>
      </w:r>
      <w:r>
        <w:t xml:space="preserve">743</w:t>
      </w:r>
      <w:r>
        <w:t xml:space="preserve"> </w:t>
      </w:r>
      <w:r>
        <w:t xml:space="preserve">S.E.2d</w:t>
      </w:r>
      <w:r>
        <w:t xml:space="preserve"> </w:t>
      </w:r>
      <w:r>
        <w:t xml:space="preserve">352</w:t>
      </w:r>
      <w:r>
        <w:t xml:space="preserve"> </w:t>
      </w:r>
      <w:r>
        <w:t xml:space="preserve">(2013)</w:t>
      </w:r>
      <w:r>
        <w:t xml:space="preserve">   </w:t>
      </w:r>
      <w:r>
        <w:tab/>
      </w:r>
      <w:r>
        <w:t xml:space="preserve">6</w:t>
      </w:r>
    </w:p>
    <w:p>
      <w:pPr>
        <w:keepNext/>
        <w:keepLines/>
        <w:spacing w:before="288" w:after="48" w:line="276" w:lineRule="exact"/>
        <w:ind w:left="0" w:firstLine="0"/>
        <w:jc w:val="left"/>
      </w:pPr>
      <w:r>
        <w:rPr>
          <w:b/>
          <w:bCs/>
        </w:rPr>
        <w:t xml:space="preserve">Statutes</w:t>
      </w:r>
    </w:p>
    <w:p>
      <w:pPr>
        <w:keepLines/>
        <w:tabs>
          <w:tab w:val="right" w:leader="dot" w:pos="9360"/>
        </w:tabs>
        <w:spacing w:before="192" w:after="0" w:line="276" w:lineRule="exact"/>
        <w:ind w:left="720" w:right="1120" w:hanging="720"/>
      </w:pPr>
      <w:r>
        <w:t xml:space="preserve">10</w:t>
      </w:r>
      <w:r>
        <w:t xml:space="preserve"> </w:t>
      </w:r>
      <w:r>
        <w:t xml:space="preserve">Del.</w:t>
      </w:r>
      <w:r>
        <w:t xml:space="preserve"> </w:t>
      </w:r>
      <w:r>
        <w:t xml:space="preserve">C.</w:t>
      </w:r>
      <w:r>
        <w:t xml:space="preserve"> </w:t>
      </w:r>
      <w:r>
        <w:t xml:space="preserve">§</w:t>
      </w:r>
      <w:r>
        <w:t xml:space="preserve"> </w:t>
      </w:r>
      <w:r>
        <w:t xml:space="preserve">1902</w:t>
      </w:r>
      <w:r>
        <w:t xml:space="preserve">   </w:t>
      </w:r>
      <w:r>
        <w:tab/>
      </w:r>
      <w:r>
        <w:t xml:space="preserve">6</w:t>
      </w:r>
    </w:p>
    <w:p>
      <w:pPr>
        <w:keepLines/>
        <w:tabs>
          <w:tab w:val="right" w:leader="dot" w:pos="9360"/>
        </w:tabs>
        <w:spacing w:before="192" w:after="0" w:line="276" w:lineRule="exact"/>
        <w:ind w:left="720" w:right="1120" w:hanging="720"/>
      </w:pPr>
      <w:r>
        <w:t xml:space="preserve">210</w:t>
      </w:r>
      <w:r>
        <w:t xml:space="preserve"> </w:t>
      </w:r>
      <w:r>
        <w:t xml:space="preserve">Pa.</w:t>
      </w:r>
      <w:r>
        <w:t xml:space="preserve"> </w:t>
      </w:r>
      <w:r>
        <w:t xml:space="preserve">Code</w:t>
      </w:r>
      <w:r>
        <w:t xml:space="preserve"> </w:t>
      </w:r>
      <w:r>
        <w:t xml:space="preserve">§</w:t>
      </w:r>
      <w:r>
        <w:t xml:space="preserve"> </w:t>
      </w:r>
      <w:r>
        <w:t xml:space="preserve">751</w:t>
      </w:r>
      <w:r>
        <w:t xml:space="preserve">   </w:t>
      </w:r>
      <w:r>
        <w:tab/>
      </w:r>
      <w:r>
        <w:t xml:space="preserve">6</w:t>
      </w:r>
    </w:p>
    <w:p>
      <w:pPr>
        <w:keepLines/>
        <w:tabs>
          <w:tab w:val="right" w:leader="dot" w:pos="9360"/>
        </w:tabs>
        <w:spacing w:before="192" w:after="0" w:line="276" w:lineRule="exact"/>
        <w:ind w:left="720" w:right="1120" w:hanging="720"/>
      </w:pPr>
      <w:r>
        <w:t xml:space="preserve">28</w:t>
      </w:r>
      <w:r>
        <w:t xml:space="preserve"> </w:t>
      </w:r>
      <w:r>
        <w:t xml:space="preserve">U.S.C.</w:t>
      </w:r>
      <w:r>
        <w:t xml:space="preserve"> </w:t>
      </w:r>
      <w:r>
        <w:t xml:space="preserve">§</w:t>
      </w:r>
      <w:r>
        <w:t xml:space="preserve"> </w:t>
      </w:r>
      <w:r>
        <w:t xml:space="preserve">1631</w:t>
      </w:r>
      <w:r>
        <w:t xml:space="preserve">   </w:t>
      </w:r>
      <w:r>
        <w:tab/>
      </w:r>
      <w:r>
        <w:t xml:space="preserve">6</w:t>
      </w:r>
    </w:p>
    <w:p>
      <w:pPr>
        <w:keepLines/>
        <w:tabs>
          <w:tab w:val="right" w:leader="dot" w:pos="9360"/>
        </w:tabs>
        <w:spacing w:before="192" w:after="0" w:line="276" w:lineRule="exact"/>
        <w:ind w:left="720" w:right="1120" w:hanging="720"/>
      </w:pPr>
      <w:r>
        <w:t xml:space="preserve">Ala.</w:t>
      </w:r>
      <w:r>
        <w:t xml:space="preserve"> </w:t>
      </w:r>
      <w:r>
        <w:t xml:space="preserve">Code</w:t>
      </w:r>
      <w:r>
        <w:t xml:space="preserve"> </w:t>
      </w:r>
      <w:r>
        <w:t xml:space="preserve">§</w:t>
      </w:r>
      <w:r>
        <w:t xml:space="preserve"> </w:t>
      </w:r>
      <w:r>
        <w:t xml:space="preserve">12</w:t>
        <w:noBreakHyphen/>
        <w:t xml:space="preserve">1</w:t>
        <w:noBreakHyphen/>
        <w:t xml:space="preserve">4</w:t>
      </w:r>
      <w:r>
        <w:t xml:space="preserve">   </w:t>
      </w:r>
      <w:r>
        <w:tab/>
      </w:r>
      <w:r>
        <w:t xml:space="preserve">6</w:t>
      </w:r>
    </w:p>
    <w:p>
      <w:pPr>
        <w:keepLines/>
        <w:tabs>
          <w:tab w:val="right" w:leader="dot" w:pos="9360"/>
        </w:tabs>
        <w:spacing w:before="192" w:after="0" w:line="276" w:lineRule="exact"/>
        <w:ind w:left="720" w:right="1120" w:hanging="720"/>
      </w:pPr>
      <w:r>
        <w:t xml:space="preserve">W.</w:t>
      </w:r>
      <w:r>
        <w:t xml:space="preserve"> </w:t>
      </w:r>
      <w:r>
        <w:t xml:space="preserve">Va.</w:t>
      </w:r>
      <w:r>
        <w:t xml:space="preserve"> </w:t>
      </w:r>
      <w:r>
        <w:t xml:space="preserve">Code</w:t>
      </w:r>
      <w:r>
        <w:t xml:space="preserve"> </w:t>
      </w:r>
      <w:r>
        <w:t xml:space="preserve">§</w:t>
      </w:r>
      <w:r>
        <w:t xml:space="preserve"> </w:t>
      </w:r>
      <w:r>
        <w:t xml:space="preserve">8A</w:t>
        <w:noBreakHyphen/>
        <w:t xml:space="preserve">9</w:t>
        <w:noBreakHyphen/>
        <w:t xml:space="preserve">7</w:t>
      </w:r>
      <w:r>
        <w:t xml:space="preserve">   </w:t>
      </w:r>
      <w:r>
        <w:tab/>
      </w:r>
      <w:r>
        <w:t xml:space="preserve">3</w:t>
      </w:r>
    </w:p>
    <w:p>
      <w:pPr>
        <w:keepLines/>
        <w:tabs>
          <w:tab w:val="right" w:leader="dot" w:pos="9360"/>
        </w:tabs>
        <w:spacing w:before="192" w:after="0" w:line="276" w:lineRule="exact"/>
        <w:ind w:left="720" w:right="1120" w:hanging="720"/>
      </w:pPr>
      <w:r>
        <w:t xml:space="preserve">W.</w:t>
      </w:r>
      <w:r>
        <w:t xml:space="preserve"> </w:t>
      </w:r>
      <w:r>
        <w:t xml:space="preserve">Va.</w:t>
      </w:r>
      <w:r>
        <w:t xml:space="preserve"> </w:t>
      </w:r>
      <w:r>
        <w:t xml:space="preserve">Code</w:t>
      </w:r>
      <w:r>
        <w:t xml:space="preserve"> </w:t>
      </w:r>
      <w:r>
        <w:t xml:space="preserve">§</w:t>
      </w:r>
      <w:r>
        <w:t xml:space="preserve"> </w:t>
      </w:r>
      <w:r>
        <w:t xml:space="preserve">22</w:t>
        <w:noBreakHyphen/>
        <w:t xml:space="preserve">6A</w:t>
        <w:noBreakHyphen/>
        <w:t xml:space="preserve">8(b)</w:t>
      </w:r>
      <w:r>
        <w:t xml:space="preserve">   </w:t>
      </w:r>
      <w:r>
        <w:tab/>
      </w:r>
      <w:r>
        <w:t xml:space="preserve">3</w:t>
      </w:r>
    </w:p>
    <w:p>
      <w:pPr>
        <w:keepLines/>
        <w:tabs>
          <w:tab w:val="right" w:leader="dot" w:pos="9360"/>
        </w:tabs>
        <w:spacing w:before="192" w:after="0" w:line="276" w:lineRule="exact"/>
        <w:ind w:left="720" w:right="1120" w:hanging="720"/>
      </w:pPr>
      <w:r>
        <w:t xml:space="preserve">W.</w:t>
      </w:r>
      <w:r>
        <w:t xml:space="preserve"> </w:t>
      </w:r>
      <w:r>
        <w:t xml:space="preserve">Va.</w:t>
      </w:r>
      <w:r>
        <w:t xml:space="preserve"> </w:t>
      </w:r>
      <w:r>
        <w:t xml:space="preserve">Code</w:t>
      </w:r>
      <w:r>
        <w:t xml:space="preserve"> </w:t>
      </w:r>
      <w:r>
        <w:t xml:space="preserve">§</w:t>
      </w:r>
      <w:r>
        <w:t xml:space="preserve"> </w:t>
      </w:r>
      <w:r>
        <w:t xml:space="preserve">51</w:t>
        <w:noBreakHyphen/>
        <w:t xml:space="preserve">11</w:t>
        <w:noBreakHyphen/>
        <w:t xml:space="preserve">4(b)⁠(1)</w:t>
      </w:r>
      <w:r>
        <w:t xml:space="preserve">   </w:t>
      </w:r>
      <w:r>
        <w:tab/>
      </w:r>
      <w:r>
        <w:t xml:space="preserve">4, 5</w:t>
      </w:r>
    </w:p>
    <w:p>
      <w:pPr>
        <w:keepLines/>
        <w:tabs>
          <w:tab w:val="right" w:leader="dot" w:pos="9360"/>
        </w:tabs>
        <w:spacing w:before="192" w:after="0" w:line="276" w:lineRule="exact"/>
        <w:ind w:left="720" w:right="1120" w:hanging="720"/>
      </w:pPr>
      <w:r>
        <w:t xml:space="preserve">W.</w:t>
      </w:r>
      <w:r>
        <w:t xml:space="preserve"> </w:t>
      </w:r>
      <w:r>
        <w:t xml:space="preserve">Va.</w:t>
      </w:r>
      <w:r>
        <w:t xml:space="preserve"> </w:t>
      </w:r>
      <w:r>
        <w:t xml:space="preserve">Code</w:t>
      </w:r>
      <w:r>
        <w:t xml:space="preserve"> </w:t>
      </w:r>
      <w:r>
        <w:t xml:space="preserve">§</w:t>
      </w:r>
      <w:r>
        <w:t xml:space="preserve"> </w:t>
      </w:r>
      <w:r>
        <w:t xml:space="preserve">51</w:t>
        <w:noBreakHyphen/>
        <w:t xml:space="preserve">11</w:t>
        <w:noBreakHyphen/>
        <w:t xml:space="preserve">4(d)⁠(10)</w:t>
      </w:r>
      <w:r>
        <w:t xml:space="preserve">   </w:t>
      </w:r>
      <w:r>
        <w:tab/>
      </w:r>
      <w:r>
        <w:t xml:space="preserve">4</w:t>
      </w:r>
    </w:p>
    <w:p>
      <w:pPr>
        <w:keepLines/>
        <w:tabs>
          <w:tab w:val="right" w:leader="dot" w:pos="9360"/>
        </w:tabs>
        <w:spacing w:before="192" w:after="0" w:line="276" w:lineRule="exact"/>
        <w:ind w:left="720" w:right="1120" w:hanging="720"/>
      </w:pPr>
      <w:r>
        <w:t xml:space="preserve">W.</w:t>
      </w:r>
      <w:r>
        <w:t xml:space="preserve"> </w:t>
      </w:r>
      <w:r>
        <w:t xml:space="preserve">Va.</w:t>
      </w:r>
      <w:r>
        <w:t xml:space="preserve"> </w:t>
      </w:r>
      <w:r>
        <w:t xml:space="preserve">Code</w:t>
      </w:r>
      <w:r>
        <w:t xml:space="preserve"> </w:t>
      </w:r>
      <w:r>
        <w:t xml:space="preserve">§</w:t>
      </w:r>
      <w:r>
        <w:t xml:space="preserve"> </w:t>
      </w:r>
      <w:r>
        <w:t xml:space="preserve">53</w:t>
        <w:noBreakHyphen/>
        <w:t xml:space="preserve">1</w:t>
        <w:noBreakHyphen/>
        <w:t xml:space="preserve">1</w:t>
      </w:r>
      <w:r>
        <w:t xml:space="preserve"> </w:t>
      </w:r>
      <w:r>
        <w:t xml:space="preserve">et</w:t>
      </w:r>
      <w:r>
        <w:t xml:space="preserve"> </w:t>
      </w:r>
      <w:r>
        <w:t xml:space="preserve">seq.</w:t>
      </w:r>
      <w:r>
        <w:t xml:space="preserve">   </w:t>
      </w:r>
      <w:r>
        <w:tab/>
      </w:r>
      <w:r>
        <w:t xml:space="preserve">4</w:t>
      </w:r>
    </w:p>
    <w:p>
      <w:pPr>
        <w:keepLines/>
        <w:tabs>
          <w:tab w:val="right" w:leader="dot" w:pos="9360"/>
        </w:tabs>
        <w:spacing w:before="192" w:after="0" w:line="276" w:lineRule="exact"/>
        <w:ind w:left="720" w:right="1120" w:hanging="720"/>
      </w:pPr>
      <w:r>
        <w:t xml:space="preserve">W.</w:t>
      </w:r>
      <w:r>
        <w:t xml:space="preserve"> </w:t>
      </w:r>
      <w:r>
        <w:t xml:space="preserve">Va.</w:t>
      </w:r>
      <w:r>
        <w:t xml:space="preserve"> </w:t>
      </w:r>
      <w:r>
        <w:t xml:space="preserve">Code</w:t>
      </w:r>
      <w:r>
        <w:t xml:space="preserve"> </w:t>
      </w:r>
      <w:r>
        <w:t xml:space="preserve">§</w:t>
      </w:r>
      <w:r>
        <w:t xml:space="preserve"> </w:t>
      </w:r>
      <w:r>
        <w:t xml:space="preserve">53</w:t>
        <w:noBreakHyphen/>
        <w:t xml:space="preserve">3</w:t>
        <w:noBreakHyphen/>
        <w:t xml:space="preserve">2</w:t>
      </w:r>
      <w:r>
        <w:t xml:space="preserve">   </w:t>
      </w:r>
      <w:r>
        <w:tab/>
      </w:r>
      <w:r>
        <w:t xml:space="preserve">4</w:t>
      </w:r>
    </w:p>
    <w:p>
      <w:pPr>
        <w:keepNext/>
        <w:keepLines/>
        <w:spacing w:before="288" w:after="48" w:line="276" w:lineRule="exact"/>
        <w:ind w:left="0" w:firstLine="0"/>
        <w:jc w:val="left"/>
      </w:pPr>
      <w:r>
        <w:rPr>
          <w:b/>
          <w:bCs/>
        </w:rPr>
        <w:t xml:space="preserve">Rules</w:t>
      </w:r>
    </w:p>
    <w:p>
      <w:pPr>
        <w:keepLines/>
        <w:tabs>
          <w:tab w:val="right" w:leader="dot" w:pos="9360"/>
        </w:tabs>
        <w:spacing w:before="192" w:after="0" w:line="276" w:lineRule="exact"/>
        <w:ind w:left="720" w:right="1120" w:hanging="720"/>
      </w:pPr>
      <w:r>
        <w:t xml:space="preserve">Fla.</w:t>
      </w:r>
      <w:r>
        <w:t xml:space="preserve"> </w:t>
      </w:r>
      <w:r>
        <w:t xml:space="preserve">R.</w:t>
      </w:r>
      <w:r>
        <w:t xml:space="preserve"> </w:t>
      </w:r>
      <w:r>
        <w:t xml:space="preserve">App.</w:t>
      </w:r>
      <w:r>
        <w:t xml:space="preserve"> </w:t>
      </w:r>
      <w:r>
        <w:t xml:space="preserve">P.</w:t>
      </w:r>
      <w:r>
        <w:t xml:space="preserve"> </w:t>
      </w:r>
      <w:r>
        <w:t xml:space="preserve">9.040(b)⁠(1)</w:t>
      </w:r>
      <w:r>
        <w:t xml:space="preserve">   </w:t>
      </w:r>
      <w:r>
        <w:tab/>
      </w:r>
      <w:r>
        <w:t xml:space="preserve">6</w:t>
      </w:r>
    </w:p>
    <w:p>
      <w:pPr>
        <w:keepLines/>
        <w:tabs>
          <w:tab w:val="right" w:leader="dot" w:pos="9360"/>
        </w:tabs>
        <w:spacing w:before="192" w:after="0" w:line="276" w:lineRule="exact"/>
        <w:ind w:left="720" w:right="1120" w:hanging="720"/>
      </w:pPr>
      <w:r>
        <w:t xml:space="preserve">Ky.</w:t>
      </w:r>
      <w:r>
        <w:t xml:space="preserve"> </w:t>
      </w:r>
      <w:r>
        <w:t xml:space="preserve">R.</w:t>
      </w:r>
      <w:r>
        <w:t xml:space="preserve"> </w:t>
      </w:r>
      <w:r>
        <w:t xml:space="preserve">App.</w:t>
      </w:r>
      <w:r>
        <w:t xml:space="preserve"> </w:t>
      </w:r>
      <w:r>
        <w:t xml:space="preserve">P.</w:t>
      </w:r>
      <w:r>
        <w:t xml:space="preserve"> </w:t>
      </w:r>
      <w:r>
        <w:t xml:space="preserve">17(G)</w:t>
      </w:r>
      <w:r>
        <w:t xml:space="preserve">   </w:t>
      </w:r>
      <w:r>
        <w:tab/>
      </w:r>
      <w:r>
        <w:t xml:space="preserve">6</w:t>
      </w:r>
    </w:p>
    <w:p>
      <w:pPr>
        <w:keepLines/>
        <w:tabs>
          <w:tab w:val="right" w:leader="dot" w:pos="9360"/>
        </w:tabs>
        <w:spacing w:before="192" w:after="0" w:line="276" w:lineRule="exact"/>
        <w:ind w:left="720" w:right="1120" w:hanging="720"/>
      </w:pPr>
      <w:r>
        <w:t xml:space="preserve">W.</w:t>
      </w:r>
      <w:r>
        <w:t xml:space="preserve"> </w:t>
      </w:r>
      <w:r>
        <w:t xml:space="preserve">Va.</w:t>
      </w:r>
      <w:r>
        <w:t xml:space="preserve"> </w:t>
      </w:r>
      <w:r>
        <w:t xml:space="preserve">R.</w:t>
      </w:r>
      <w:r>
        <w:t xml:space="preserve"> </w:t>
      </w:r>
      <w:r>
        <w:t xml:space="preserve">App.</w:t>
      </w:r>
      <w:r>
        <w:t xml:space="preserve"> </w:t>
      </w:r>
      <w:r>
        <w:t xml:space="preserve">P.</w:t>
      </w:r>
      <w:r>
        <w:t xml:space="preserve"> </w:t>
      </w:r>
      <w:r>
        <w:t xml:space="preserve">1(b)</w:t>
      </w:r>
      <w:r>
        <w:t xml:space="preserve">   </w:t>
      </w:r>
      <w:r>
        <w:tab/>
      </w:r>
      <w:r>
        <w:t xml:space="preserve">3, 4, 5</w:t>
      </w:r>
    </w:p>
    <w:p>
      <w:pPr>
        <w:keepLines/>
        <w:tabs>
          <w:tab w:val="right" w:leader="dot" w:pos="9360"/>
        </w:tabs>
        <w:spacing w:before="192" w:after="0" w:line="276" w:lineRule="exact"/>
        <w:ind w:left="720" w:right="1120" w:hanging="720"/>
      </w:pPr>
      <w:r>
        <w:t xml:space="preserve">W.</w:t>
      </w:r>
      <w:r>
        <w:t xml:space="preserve"> </w:t>
      </w:r>
      <w:r>
        <w:t xml:space="preserve">Va.</w:t>
      </w:r>
      <w:r>
        <w:t xml:space="preserve"> </w:t>
      </w:r>
      <w:r>
        <w:t xml:space="preserve">R.</w:t>
      </w:r>
      <w:r>
        <w:t xml:space="preserve"> </w:t>
      </w:r>
      <w:r>
        <w:t xml:space="preserve">App.</w:t>
      </w:r>
      <w:r>
        <w:t xml:space="preserve"> </w:t>
      </w:r>
      <w:r>
        <w:t xml:space="preserve">P.</w:t>
      </w:r>
      <w:r>
        <w:t xml:space="preserve"> </w:t>
      </w:r>
      <w:r>
        <w:t xml:space="preserve">2</w:t>
      </w:r>
      <w:r>
        <w:t xml:space="preserve">   </w:t>
      </w:r>
      <w:r>
        <w:tab/>
      </w:r>
      <w:r>
        <w:t xml:space="preserve">4, 5</w:t>
      </w:r>
    </w:p>
    <w:p>
      <w:pPr>
        <w:keepLines/>
        <w:tabs>
          <w:tab w:val="right" w:leader="dot" w:pos="9360"/>
        </w:tabs>
        <w:spacing w:before="192" w:after="0" w:line="276" w:lineRule="exact"/>
        <w:ind w:left="720" w:right="1120" w:hanging="720"/>
      </w:pPr>
      <w:r>
        <w:t xml:space="preserve">SCACR</w:t>
      </w:r>
      <w:r>
        <w:t xml:space="preserve"> </w:t>
      </w:r>
      <w:r>
        <w:t xml:space="preserve">204(1)</w:t>
      </w:r>
      <w:r>
        <w:t xml:space="preserve">   </w:t>
      </w:r>
      <w:r>
        <w:tab/>
      </w:r>
      <w:r>
        <w:t xml:space="preserve">6</w:t>
      </w:r>
    </w:p>
    <w:p>
      <w:pPr>
        <w:keepLines/>
        <w:tabs>
          <w:tab w:val="right" w:leader="dot" w:pos="9360"/>
        </w:tabs>
        <w:spacing w:before="192" w:after="0" w:line="276" w:lineRule="exact"/>
        <w:ind w:left="720" w:right="1120" w:hanging="720"/>
      </w:pPr>
      <w:r>
        <w:t xml:space="preserve">UDO</w:t>
      </w:r>
      <w:r>
        <w:t xml:space="preserve"> </w:t>
      </w:r>
      <w:r>
        <w:t xml:space="preserve">§</w:t>
      </w:r>
      <w:r>
        <w:t xml:space="preserve"> </w:t>
      </w:r>
      <w:r>
        <w:t xml:space="preserve">2.3</w:t>
      </w:r>
      <w:r>
        <w:t xml:space="preserve">   </w:t>
      </w:r>
      <w:r>
        <w:tab/>
      </w:r>
      <w:r>
        <w:t xml:space="preserve">13</w:t>
      </w:r>
    </w:p>
    <w:p>
      <w:pPr>
        <w:keepLines/>
        <w:tabs>
          <w:tab w:val="right" w:leader="dot" w:pos="9360"/>
        </w:tabs>
        <w:spacing w:before="192" w:after="0" w:line="276" w:lineRule="exact"/>
        <w:ind w:left="720" w:right="1120" w:hanging="720"/>
      </w:pPr>
      <w:r>
        <w:t xml:space="preserve">UDO</w:t>
      </w:r>
      <w:r>
        <w:t xml:space="preserve"> </w:t>
      </w:r>
      <w:r>
        <w:t xml:space="preserve">§</w:t>
      </w:r>
      <w:r>
        <w:t xml:space="preserve"> </w:t>
      </w:r>
      <w:r>
        <w:t xml:space="preserve">3.6.3.1</w:t>
      </w:r>
      <w:r>
        <w:t xml:space="preserve">   </w:t>
      </w:r>
      <w:r>
        <w:tab/>
      </w:r>
      <w:r>
        <w:t xml:space="preserve">9, 16</w:t>
      </w:r>
    </w:p>
    <w:p>
      <w:pPr>
        <w:keepLines/>
        <w:tabs>
          <w:tab w:val="right" w:leader="dot" w:pos="9360"/>
        </w:tabs>
        <w:spacing w:before="192" w:after="0" w:line="276" w:lineRule="exact"/>
        <w:ind w:left="720" w:right="1120" w:hanging="720"/>
      </w:pPr>
      <w:r>
        <w:t xml:space="preserve">UDO</w:t>
      </w:r>
      <w:r>
        <w:t xml:space="preserve"> </w:t>
      </w:r>
      <w:r>
        <w:t xml:space="preserve">§</w:t>
      </w:r>
      <w:r>
        <w:t xml:space="preserve"> </w:t>
      </w:r>
      <w:r>
        <w:t xml:space="preserve">10.2</w:t>
      </w:r>
      <w:r>
        <w:t xml:space="preserve">   </w:t>
      </w:r>
      <w:r>
        <w:tab/>
      </w:r>
      <w:r>
        <w:t xml:space="preserve">13</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w:t>
      </w:r>
      <w:r>
        <w:rPr>
          <w:b/>
          <w:bCs/>
        </w:rPr>
        <w:t xml:space="preserve"> </w:t>
      </w:r>
      <w:r>
        <w:rPr>
          <w:b/>
          <w:bCs/>
        </w:rPr>
        <w:t xml:space="preserve">INTRODUCTION</w:t>
      </w:r>
    </w:p>
    <w:p>
      <w:pPr>
        <w:pStyle w:val="BodyTextNote"/>
      </w:pPr>
      <w:r>
        <w:t xml:space="preserve">In its latest attempt to prevent any appellate court from reviewing the BZA’s blatantly illegal conduct and decision in this matter, the City</w:t>
      </w:r>
      <w:r>
        <w:rPr>
          <w:rStyle w:val="FootnoteReference"/>
        </w:rPr>
        <w:footnoteReference w:id="9"/>
      </w:r>
      <w:r>
        <w:t xml:space="preserve"> </w:t>
      </w:r>
      <w:r>
        <w:t xml:space="preserve">in its Response Brief takes the paradoxical position that this Court is both the only Court in West Virginia that has jurisdiction to hear the merits of SWN’s appeal, but that this Court should nevertheless refuse to hear the merits of the case. The City advances its disingenuous position of form over substance, even though SWN’s appeal was timely filed with the same Clerk and through the same electronic filing system used for both the ICA and this Court. As SWN asserted in its Opening Brief, the ICA did in fact have jurisdiction to hear this appeal under the newly adopted West Virginia Appellate Reorganization Act (“Reorganization Act”). However, SWN nevertheless requests that this Court assume jurisdiction over the merits of this appeal, rather than remanding the case back to the ICA.</w:t>
      </w:r>
    </w:p>
    <w:p>
      <w:pPr>
        <w:pStyle w:val="BodyText"/>
      </w:pPr>
      <w:r>
        <w:t xml:space="preserve">With respect to the merits of this matter, the City continues to advance a position that would eviscerate any form of meaningful appellate review of local zoning decisions in West Virginia, rendering the substantial evidence standard entirely meaningless. The City takes the untenable position that a zoning board is vested with complete discretion to deny a conditional use application, provided there is any scintilla of evidence introduced at hearing by the opposition, regardless of its competence. And, as a last resort, the City seeks to arbitrarily limit the evidence considered by this Court because the City is well aware that SWN presented substantial evidence demonstrating compliance with each and every of the UDO’s conditional use criteria. The City’s Response Brief, and the cases cited therein, actually serve to highlight the reasons why SWN’s Application should have been approved by the BZA. SWN thus presents this Reply Brief to correct the City’s factual and legal misrepresentations and to address the fallacies in its arguments.</w:t>
      </w:r>
    </w:p>
    <w:p>
      <w:pPr>
        <w:keepNext/>
        <w:keepLines/>
        <w:spacing w:before="288" w:after="240" w:line="276" w:lineRule="exact"/>
        <w:ind w:left="0" w:firstLine="0"/>
        <w:jc w:val="center"/>
      </w:pPr>
      <w:r>
        <w:rPr>
          <w:b/>
          <w:bCs/>
        </w:rPr>
        <w:t xml:space="preserve">II.</w:t>
      </w:r>
      <w:r>
        <w:rPr>
          <w:b/>
          <w:bCs/>
        </w:rPr>
        <w:t xml:space="preserve"> </w:t>
      </w:r>
      <w:r>
        <w:rPr>
          <w:b/>
          <w:bCs/>
        </w:rPr>
        <w:t xml:space="preserve">ARGUMENT</w:t>
      </w:r>
    </w:p>
    <w:p>
      <w:pPr>
        <w:keepNext/>
        <w:keepLines/>
        <w:spacing w:before="240" w:after="192"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ICA</w:t>
      </w:r>
      <w:r>
        <w:rPr>
          <w:b/>
          <w:bCs/>
        </w:rPr>
        <w:t xml:space="preserve"> </w:t>
      </w:r>
      <w:r>
        <w:rPr>
          <w:b/>
          <w:bCs/>
        </w:rPr>
        <w:t xml:space="preserve">Had</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Hear</w:t>
      </w:r>
      <w:r>
        <w:rPr>
          <w:b/>
          <w:bCs/>
        </w:rPr>
        <w:t xml:space="preserve"> </w:t>
      </w:r>
      <w:r>
        <w:rPr>
          <w:b/>
          <w:bCs/>
        </w:rPr>
        <w:t xml:space="preserve">This</w:t>
      </w:r>
      <w:r>
        <w:rPr>
          <w:b/>
          <w:bCs/>
        </w:rPr>
        <w:t xml:space="preserve"> </w:t>
      </w:r>
      <w:r>
        <w:rPr>
          <w:b/>
          <w:bCs/>
        </w:rPr>
        <w:t xml:space="preserve">Matter</w:t>
      </w:r>
    </w:p>
    <w:p>
      <w:pPr>
        <w:pStyle w:val="BodyTextNote"/>
      </w:pPr>
      <w:r>
        <w:t xml:space="preserve">It is telling that, in its Response brief, the City attempts to gloss over the ICA’s most fundamental basis for the ICA’s subject matter jurisdiction in this case: It was the City who requested that the two matters underlying this case be consolidated into a single civil case, over which the ICA has already asserted subject matter jurisdiction.</w:t>
      </w:r>
      <w:r>
        <w:rPr>
          <w:rStyle w:val="FootnoteReference"/>
        </w:rPr>
        <w:footnoteReference w:id="10"/>
      </w:r>
    </w:p>
    <w:p>
      <w:pPr>
        <w:pStyle w:val="BodyTextNote"/>
      </w:pPr>
      <w:r>
        <w:t xml:space="preserve">On March 15, 2022, upon a motion by the City, the Circuit Court entered an order consolidating the Complaint and Appeal because consolidation “promotes judicial economy by providing efficiencies of a single forum for all parties to brief and for this Court to consider legal issues…The two cases are based upon and arise out of the same transaction or occurrence and consolidation will promote a more efficient process and ensure consistent outcomes in both cases.” (A. 2139</w:t>
      </w:r>
      <w:r>
        <w:noBreakHyphen/>
      </w:r>
      <w:r>
        <w:t xml:space="preserve">44) (emphasis added). The Circuit Court specifically ordered that “Brooke Civil Action No. CC</w:t>
      </w:r>
      <w:r>
        <w:noBreakHyphen/>
      </w:r>
      <w:r>
        <w:t xml:space="preserve">05</w:t>
      </w:r>
      <w:r>
        <w:noBreakHyphen/>
      </w:r>
      <w:r>
        <w:t xml:space="preserve">2021-C</w:t>
      </w:r>
      <w:r>
        <w:noBreakHyphen/>
      </w:r>
      <w:r>
        <w:t xml:space="preserve">71, styled SWN Production Company, LLC v. City of Weirton shall be transferred to this Court and consolidated with Brooke Civil Action No. CC</w:t>
      </w:r>
      <w:r>
        <w:noBreakHyphen/>
      </w:r>
      <w:r>
        <w:t xml:space="preserve">05</w:t>
      </w:r>
      <w:r>
        <w:noBreakHyphen/>
      </w:r>
      <w:r>
        <w:t xml:space="preserve">2021-P</w:t>
      </w:r>
      <w:r>
        <w:noBreakHyphen/>
      </w:r>
      <w:r>
        <w:t xml:space="preserve">35, styled SWN Production Company, LLC v. City of Weirton Board of Zoning Appeals.” Id. As such, both matters underlying this appeal were consolidated into a single civil case.</w:t>
      </w:r>
      <w:r>
        <w:rPr>
          <w:rStyle w:val="FootnoteReference"/>
        </w:rPr>
        <w:footnoteReference w:id="11"/>
      </w:r>
    </w:p>
    <w:p>
      <w:pPr>
        <w:pStyle w:val="BodyTextNote"/>
      </w:pPr>
      <w:r>
        <w:t xml:space="preserve">Therefore, because the matters were consolidated into a single civil case over which the ICA already asserted jurisdiction, the ICA had jurisdiction to consider the appeal. This is especially so, given the ICA’s broad jurisdiction to hear “[f]inal judgments or orders of a circuit court in civil cases” and that Land Use Planning Act’s directive that zoning appeals be heard “in the same manner, and upon the same terms, conditions and limitations as appeals in other civil cases.” See W. Va. Code § 8A-⁠9-⁠7</w:t>
      </w:r>
      <w:r>
        <w:t xml:space="preserve"> </w:t>
      </w:r>
      <w:r>
        <w:t xml:space="preserve">(emphasis added). Indeed, the City did not and cannot cite to a single case where two matters arising out of the same consolidated matter were appealed to separate appellate courts in West Virginia. Thus, it would be illogical and draconian for the Court to affirm the dismissal of this appeal based on lack of subject matter jurisdiction, given the ICA’s prior decision to hear an issue in the same civil case involving the same facts and underlying administrative appeal process.</w:t>
      </w:r>
      <w:r>
        <w:rPr>
          <w:rStyle w:val="FootnoteReference"/>
        </w:rPr>
        <w:footnoteReference w:id="12"/>
      </w:r>
    </w:p>
    <w:p>
      <w:pPr>
        <w:keepNext/>
        <w:keepLines/>
        <w:spacing w:before="240" w:after="192" w:line="276" w:lineRule="exact"/>
        <w:ind w:left="720" w:hanging="720"/>
        <w:jc w:val="left"/>
      </w:pPr>
      <w:r>
        <w:rPr>
          <w:b/>
          <w:bCs/>
        </w:rPr>
        <w:t xml:space="preserve">B.</w:t>
      </w:r>
      <w:r>
        <w:rPr>
          <w:b/>
          <w:bCs/>
        </w:rPr>
        <w:t xml:space="preserve"> </w:t>
      </w:r>
      <w:r>
        <w:rPr>
          <w:b/>
          <w:bCs/>
        </w:rPr>
        <w:t xml:space="preserve">Whether</w:t>
      </w:r>
      <w:r>
        <w:rPr>
          <w:b/>
          <w:bCs/>
        </w:rPr>
        <w:t xml:space="preserve"> </w:t>
      </w:r>
      <w:r>
        <w:rPr>
          <w:b/>
          <w:bCs/>
        </w:rPr>
        <w:t xml:space="preserve">Or</w:t>
      </w:r>
      <w:r>
        <w:rPr>
          <w:b/>
          <w:bCs/>
        </w:rPr>
        <w:t xml:space="preserve"> </w:t>
      </w:r>
      <w:r>
        <w:rPr>
          <w:b/>
          <w:bCs/>
        </w:rPr>
        <w:t xml:space="preserve">Not</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Determines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ICA</w:t>
      </w:r>
      <w:r>
        <w:rPr>
          <w:b/>
          <w:bCs/>
        </w:rPr>
        <w:t xml:space="preserve"> </w:t>
      </w:r>
      <w:r>
        <w:rPr>
          <w:b/>
          <w:bCs/>
        </w:rPr>
        <w:t xml:space="preserve">has</w:t>
      </w:r>
      <w:r>
        <w:rPr>
          <w:b/>
          <w:bCs/>
        </w:rPr>
        <w:t xml:space="preserve"> </w:t>
      </w:r>
      <w:r>
        <w:rPr>
          <w:b/>
          <w:bCs/>
        </w:rPr>
        <w:t xml:space="preserve">Jurisdiction,</w:t>
      </w:r>
      <w:r>
        <w:rPr>
          <w:b/>
          <w:bCs/>
        </w:rPr>
        <w:t xml:space="preserve"> </w:t>
      </w:r>
      <w:r>
        <w:rPr>
          <w:b/>
          <w:bCs/>
        </w:rPr>
        <w:t xml:space="preserve">It</w:t>
      </w:r>
      <w:r>
        <w:rPr>
          <w:b/>
          <w:bCs/>
        </w:rPr>
        <w:t xml:space="preserve"> </w:t>
      </w:r>
      <w:r>
        <w:rPr>
          <w:b/>
          <w:bCs/>
        </w:rPr>
        <w:t xml:space="preserve">Should</w:t>
      </w:r>
      <w:r>
        <w:rPr>
          <w:b/>
          <w:bCs/>
        </w:rPr>
        <w:t xml:space="preserve"> </w:t>
      </w:r>
      <w:r>
        <w:rPr>
          <w:b/>
          <w:bCs/>
        </w:rPr>
        <w:t xml:space="preserve">Obtain</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this</w:t>
      </w:r>
      <w:r>
        <w:rPr>
          <w:b/>
          <w:bCs/>
        </w:rPr>
        <w:t xml:space="preserve"> </w:t>
      </w:r>
      <w:r>
        <w:rPr>
          <w:b/>
          <w:bCs/>
        </w:rPr>
        <w:t xml:space="preserve">Appeal</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Rule</w:t>
      </w:r>
      <w:r>
        <w:rPr>
          <w:b/>
          <w:bCs/>
        </w:rPr>
        <w:t xml:space="preserve"> </w:t>
      </w:r>
      <w:r>
        <w:rPr>
          <w:b/>
          <w:bCs/>
        </w:rPr>
        <w:t xml:space="preserve">1(b)</w:t>
      </w:r>
      <w:r>
        <w:rPr>
          <w:b/>
          <w:bCs/>
        </w:rPr>
        <w:t xml:space="preserve"> </w:t>
      </w:r>
      <w:r>
        <w:rPr>
          <w:b/>
          <w:bCs/>
        </w:rPr>
        <w:t xml:space="preserve">and</w:t>
      </w:r>
      <w:r>
        <w:rPr>
          <w:b/>
          <w:bCs/>
        </w:rPr>
        <w:t xml:space="preserve"> </w:t>
      </w:r>
      <w:r>
        <w:rPr>
          <w:b/>
          <w:bCs/>
        </w:rPr>
        <w:t xml:space="preserve">Rule</w:t>
      </w:r>
      <w:r>
        <w:rPr>
          <w:b/>
          <w:bCs/>
        </w:rPr>
        <w:t xml:space="preserve"> </w:t>
      </w:r>
      <w:r>
        <w:rPr>
          <w:b/>
          <w:bCs/>
        </w:rPr>
        <w:t xml:space="preserve">2</w:t>
      </w:r>
    </w:p>
    <w:p>
      <w:pPr>
        <w:pStyle w:val="BodyTextNote"/>
      </w:pPr>
      <w:r>
        <w:t xml:space="preserve">The ICA had jurisdiction to hear this appeal, both because this is a consolidated case that has already been before the ICA and because the statutory procedure for appealing a zoning decision in this case is “provided for” in the Land Use Planning Act and not in the Extraordinary Remedies Act. However, whether or not this Court determines that the ICA had jurisdiction, SWN respectfully requests that the Court exercise its power under Rule 1(b),</w:t>
      </w:r>
      <w:r>
        <w:t xml:space="preserve"> </w:t>
      </w:r>
      <w:r>
        <w:t xml:space="preserve">Rule 2 and</w:t>
      </w:r>
      <w:r>
        <w:t xml:space="preserve"> </w:t>
      </w:r>
      <w:r>
        <w:t xml:space="preserve">W. Va. Code § 51-⁠11-⁠4(b)⁠(1)</w:t>
      </w:r>
      <w:r>
        <w:t xml:space="preserve"> </w:t>
      </w:r>
      <w:r>
        <w:t xml:space="preserve">to “obtain jurisdiction over any civil case filed in the [ICA].”</w:t>
      </w:r>
      <w:r>
        <w:rPr>
          <w:rStyle w:val="FootnoteReference"/>
        </w:rPr>
        <w:footnoteReference w:id="13"/>
      </w:r>
    </w:p>
    <w:p>
      <w:pPr>
        <w:pStyle w:val="BodyTextNote"/>
      </w:pPr>
      <w:r>
        <w:t xml:space="preserve">As set forth above, SWN has a strong legal position that the ICA had jurisdiction over this consolidated appeal. And, although SWN disagrees with the ICA’s conclusion, there is a legitimate question of statutory interpretation raised by the ICA in its Memorandum Decision as to the ICA’s jurisdiction to hear statutory land use appeals under the recently adopted Appellate Reorganization Act, which has created a lack of clarity for appellants in land use matters.</w:t>
      </w:r>
      <w:r>
        <w:rPr>
          <w:rStyle w:val="FootnoteReference"/>
        </w:rPr>
        <w:footnoteReference w:id="14"/>
      </w:r>
      <w:r>
        <w:t xml:space="preserve"> </w:t>
      </w:r>
      <w:r>
        <w:t xml:space="preserve">Indeed, the Legislature itself has recognized that the first iteration of the Appellate Reorganization Act lacked the sufficient clarity necessary to clearly direct appellants to the correct court. As pointed out by the ICA in its Memorandum Decision, in legislation enacted earlier this year, the Legislature amended W. Va. Code § 51-⁠11-⁠4(d)⁠(10)</w:t>
      </w:r>
      <w:r>
        <w:t xml:space="preserve"> </w:t>
      </w:r>
      <w:r>
        <w:t xml:space="preserve">as follows:</w:t>
      </w:r>
    </w:p>
    <w:p>
      <w:pPr>
        <w:pStyle w:val="XdQuoteFirst"/>
      </w:pPr>
      <w:r>
        <w:t xml:space="preserve">The Intermediate Court of Appeals does not have appellate jurisdiction over…</w:t>
      </w:r>
    </w:p>
    <w:p>
      <w:pPr>
        <w:pStyle w:val="XdQuoteLast"/>
      </w:pPr>
      <w:r>
        <w:t xml:space="preserve">Extraordinary remedies, as provided in §53</w:t>
      </w:r>
      <w:r>
        <w:noBreakHyphen/>
      </w:r>
      <w:r>
        <w:t xml:space="preserve">1</w:t>
      </w:r>
      <w:r>
        <w:noBreakHyphen/>
      </w:r>
      <w:r>
        <w:t xml:space="preserve">1</w:t>
      </w:r>
      <w:r>
        <w:t xml:space="preserve"> </w:t>
      </w:r>
      <w:r>
        <w:t xml:space="preserve">et seq. of this code, and any appeal of a decision or order of another court regarding an extraordinary remedy Judgments or final orders issued in proceedings where the relief sought is one or more of the following extraordinary remedies: writ of prohibition, writ of mandamus, writ of quo warranto, writ of certiorari, writ of habeas corpus, special receivers, arrests in civil cases, and personal safety orders…</w:t>
      </w:r>
    </w:p>
    <w:p>
      <w:pPr>
        <w:pStyle w:val="BodyTextNote"/>
      </w:pPr>
      <w:r>
        <w:t xml:space="preserve">See Enrl. Com. Sub. For S.B. 548 (2024 Regular Session, effective June 6, 2024). Thus, less than two years after its enactment, the Legislature found it necessary to amend the Appellate Reorganization Act to clarify that the ICA’s jurisdiction over appeals not only excludes appeals arising from “extraordinary writs” “provided for” in the Extraordinary Remedies Act, but rather to all appeals involving “writs of certiorari” provided for under any statute.</w:t>
      </w:r>
      <w:r>
        <w:rPr>
          <w:rStyle w:val="FootnoteReference"/>
        </w:rPr>
        <w:footnoteReference w:id="15"/>
      </w:r>
    </w:p>
    <w:p>
      <w:pPr>
        <w:pStyle w:val="BodyTextNote"/>
      </w:pPr>
      <w:r>
        <w:t xml:space="preserve">It would be manifestly unjust for this appeal to be dismissed without consideration on the merits, either by the ICA or this Court, where the Legislature has admitted that the ICA’s jurisdiction was not clear with respect to land use appeals, and where SWN timely filed the ICA Appeal prior to the expiration of the appeal period with the same Clerk and electronic filing system that accepts filings with this Court, and which has been fully briefed by the parties. Thus, whether or not this Court determines that the ICA had jurisdiction, it should utilize its power under Rule 1(b),</w:t>
      </w:r>
      <w:r>
        <w:t xml:space="preserve"> </w:t>
      </w:r>
      <w:r>
        <w:t xml:space="preserve">Rule 2 and</w:t>
      </w:r>
      <w:r>
        <w:t xml:space="preserve"> </w:t>
      </w:r>
      <w:r>
        <w:t xml:space="preserve">W. Va. Code § 51-⁠11-⁠4(b)⁠(1)</w:t>
      </w:r>
      <w:r>
        <w:t xml:space="preserve"> </w:t>
      </w:r>
      <w:r>
        <w:t xml:space="preserve">to obtain jurisdiction over the merits this appeal.</w:t>
      </w:r>
      <w:r>
        <w:rPr>
          <w:rStyle w:val="FootnoteReference"/>
        </w:rPr>
        <w:footnoteReference w:id="16"/>
      </w:r>
    </w:p>
    <w:p>
      <w:pPr>
        <w:keepNext/>
        <w:keepLines/>
        <w:spacing w:before="240" w:after="192"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Correctly</w:t>
      </w:r>
      <w:r>
        <w:rPr>
          <w:b/>
          <w:bCs/>
        </w:rPr>
        <w:t xml:space="preserve"> </w:t>
      </w:r>
      <w:r>
        <w:rPr>
          <w:b/>
          <w:bCs/>
        </w:rPr>
        <w:t xml:space="preserve">Apply</w:t>
      </w:r>
      <w:r>
        <w:rPr>
          <w:b/>
          <w:bCs/>
        </w:rPr>
        <w:t xml:space="preserve"> </w:t>
      </w:r>
      <w:r>
        <w:rPr>
          <w:b/>
          <w:bCs/>
        </w:rPr>
        <w:t xml:space="preserve">the</w:t>
      </w:r>
      <w:r>
        <w:rPr>
          <w:b/>
          <w:bCs/>
        </w:rPr>
        <w:t xml:space="preserve"> </w:t>
      </w:r>
      <w:r>
        <w:rPr>
          <w:b/>
          <w:bCs/>
        </w:rPr>
        <w:t xml:space="preserve">Substantial</w:t>
      </w:r>
      <w:r>
        <w:rPr>
          <w:b/>
          <w:bCs/>
        </w:rPr>
        <w:t xml:space="preserve"> </w:t>
      </w:r>
      <w:r>
        <w:rPr>
          <w:b/>
          <w:bCs/>
        </w:rPr>
        <w:t xml:space="preserve">Evidence</w:t>
      </w:r>
      <w:r>
        <w:rPr>
          <w:b/>
          <w:bCs/>
        </w:rPr>
        <w:t xml:space="preserve"> </w:t>
      </w:r>
      <w:r>
        <w:rPr>
          <w:b/>
          <w:bCs/>
        </w:rPr>
        <w:t xml:space="preserve">Standard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Case</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Substantial</w:t>
      </w:r>
      <w:r>
        <w:rPr>
          <w:b/>
          <w:bCs/>
          <w:i/>
          <w:iCs/>
        </w:rPr>
        <w:t xml:space="preserve"> </w:t>
      </w:r>
      <w:r>
        <w:rPr>
          <w:b/>
          <w:bCs/>
          <w:i/>
          <w:iCs/>
        </w:rPr>
        <w:t xml:space="preserve">Evidence</w:t>
      </w:r>
      <w:r>
        <w:rPr>
          <w:b/>
          <w:bCs/>
          <w:i/>
          <w:iCs/>
        </w:rPr>
        <w:t xml:space="preserve"> </w:t>
      </w:r>
      <w:r>
        <w:rPr>
          <w:b/>
          <w:bCs/>
          <w:i/>
          <w:iCs/>
        </w:rPr>
        <w:t xml:space="preserve">Standard</w:t>
      </w:r>
    </w:p>
    <w:p>
      <w:pPr>
        <w:pStyle w:val="BodyTextNote"/>
      </w:pPr>
      <w:r>
        <w:t xml:space="preserve">With respect to the merits of the BZA’s decision,</w:t>
      </w:r>
      <w:r>
        <w:rPr>
          <w:rStyle w:val="FootnoteReference"/>
        </w:rPr>
        <w:footnoteReference w:id="17"/>
      </w:r>
      <w:r>
        <w:t xml:space="preserve"> </w:t>
      </w:r>
      <w:r>
        <w:t xml:space="preserve">the City correctly states that “the plainly wrong standard of review is a deferential one, which presumes an administrative tribunal’s actions are valid as long as the decision is supported by substantial evidence.” Bd. of Zoning Appeals of Town of Shepherdstown v. Tkacz,</w:t>
      </w:r>
      <w:r>
        <w:t xml:space="preserve"> </w:t>
      </w:r>
      <w:r>
        <w:t xml:space="preserve">764 S.E.2d 532, 538 (W. Va. 2014) (emphasis added). “Substantial evidence,” is “such relevant evidence that a reasonable mind might accept as adequate to support a conclusion.” Maplewood</w:t>
      </w:r>
      <w:r>
        <w:t xml:space="preserve"> </w:t>
      </w:r>
      <w:r>
        <w:t xml:space="preserve">Estates Homeowners Ass’n v. Putnam Cnty. Planning Comm’n, 218 W. Va. 719, 723, 629 S.E.2d 778, 782 (2006) (emphasis added). Where a circuit court fails to apply this standard, it has committed an abuse of discretion that warrants reversal. See Bd. of Zoning Appeals of Town of Shepherdstown v. Tkacz,</w:t>
      </w:r>
      <w:r>
        <w:t xml:space="preserve"> </w:t>
      </w:r>
      <w:r>
        <w:t xml:space="preserve">234 W.Va. 201, 203, 764 S.E.2d 532, 534 (2014).</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Jefferson</w:t>
      </w:r>
      <w:r>
        <w:rPr>
          <w:b/>
          <w:bCs/>
          <w:i/>
          <w:iCs/>
        </w:rPr>
        <w:t xml:space="preserve"> </w:t>
      </w:r>
      <w:r>
        <w:rPr>
          <w:b/>
          <w:bCs/>
          <w:i/>
          <w:iCs/>
        </w:rPr>
        <w:t xml:space="preserve">Supports</w:t>
      </w:r>
      <w:r>
        <w:rPr>
          <w:b/>
          <w:bCs/>
          <w:i/>
          <w:iCs/>
        </w:rPr>
        <w:t xml:space="preserve"> </w:t>
      </w:r>
      <w:r>
        <w:rPr>
          <w:b/>
          <w:bCs/>
          <w:i/>
          <w:iCs/>
        </w:rPr>
        <w:t xml:space="preserve">Reversal</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Board’s</w:t>
      </w:r>
      <w:r>
        <w:rPr>
          <w:b/>
          <w:bCs/>
          <w:i/>
          <w:iCs/>
        </w:rPr>
        <w:t xml:space="preserve"> </w:t>
      </w:r>
      <w:r>
        <w:rPr>
          <w:b/>
          <w:bCs/>
          <w:i/>
          <w:iCs/>
        </w:rPr>
        <w:t xml:space="preserve">Denial</w:t>
      </w:r>
    </w:p>
    <w:p>
      <w:pPr>
        <w:pStyle w:val="BodyTextNote"/>
      </w:pPr>
      <w:r>
        <w:t xml:space="preserve">Although the City acknowledges the substantial evidence standard, it largely ignores it throughout its brief. Instead, the City relies extensively on the Supreme Court of Appeals decision in Jefferson Orchards, Inc. v.</w:t>
      </w:r>
      <w:r>
        <w:t xml:space="preserve"> </w:t>
      </w:r>
      <w:r>
        <w:t xml:space="preserve">Jefferson County Zoning Bd. of Appeals, 225 W. Va. 416, 693 S.E.2d 781 (2010), which is both procedurally and factually distinct from this matter.</w:t>
      </w:r>
      <w:r>
        <w:rPr>
          <w:rStyle w:val="FootnoteReference"/>
        </w:rPr>
        <w:footnoteReference w:id="18"/>
      </w:r>
      <w:r>
        <w:t xml:space="preserve"> </w:t>
      </w:r>
      <w:r>
        <w:t xml:space="preserve">The City’s characterization of Jefferson is essentially that the scope and standard of review of a zoning board’s decision is so deferential that a board is free to deny a conditional use application if any rebuttal evidence is put before it by an objector. However, Jefferson stands for no such proposition.</w:t>
      </w:r>
    </w:p>
    <w:p>
      <w:pPr>
        <w:pStyle w:val="BodyTextNote"/>
      </w:pPr>
      <w:r>
        <w:t xml:space="preserve">The applicant in Jefferson proposed a 201-unit single family development with a density of 0.78 acres per dwelling, which exceeded the ordinance’s minimum limit of three acres per dwelling.</w:t>
      </w:r>
      <w:r>
        <w:rPr>
          <w:rStyle w:val="FootnoteReference"/>
        </w:rPr>
        <w:footnoteReference w:id="19"/>
      </w:r>
      <w:r>
        <w:t xml:space="preserve"> </w:t>
      </w:r>
      <w:r>
        <w:t xml:space="preserve">The applicant in Jefferson submitted its development for LESA scoring to the county, which received a passing score of 57.58 from the County planning office. Id. During the subsequent conditional use hearing to consider unresolved issues from the development review process, both the applicant and objectors presented extensive competing expert witnesses to testify in detail as to the density of development in the surrounding area. Id. at 784. Other than expert testimony regarding density of the surrounding developments, the Applicant in Jefferson did not present any other evidence regarding the compatibility of the development.</w:t>
      </w:r>
    </w:p>
    <w:p>
      <w:pPr>
        <w:pStyle w:val="BodyTextNote"/>
      </w:pPr>
      <w:r>
        <w:t xml:space="preserve">After the hearing, the board of zoning appeals approved the conditional use application, but modified and conditioned the proposal to include a minimum of 3.76 acres per unit, as opposed to the 0.78 acres per unit proposed. Id. The applicant appealed the board’s decision to the Circuit Court, arguing that “other than the LESA scoring requirements, there was no specific substantive criterion governing the decision to deny or issue the permit.” See Jefferson Orchards, Inc v. Jefferson Cnty. Zoning Bd. of Appeals, 2008 WL 8928938</w:t>
      </w:r>
      <w:r>
        <w:t xml:space="preserve"> </w:t>
      </w:r>
      <w:r>
        <w:t xml:space="preserve">(W.Va.Cir.Ct. 2008) (“Jefferson Circuit Court Decision”).</w:t>
      </w:r>
      <w:r>
        <w:rPr>
          <w:rStyle w:val="FootnoteReference"/>
        </w:rPr>
        <w:footnoteReference w:id="20"/>
      </w:r>
    </w:p>
    <w:p>
      <w:pPr>
        <w:pStyle w:val="BodyTextNote"/>
      </w:pPr>
      <w:r>
        <w:t xml:space="preserve">In rejecting the applicant’s appeal and determining that objectors’ testimony was appropriate to support the zoning board’s condition of approval, the circuit court distinguished the matter entirely from the Supreme Court of Appeals decision in Far Away</w:t>
      </w:r>
      <w:r>
        <w:t xml:space="preserve"> </w:t>
      </w:r>
      <w:r>
        <w:t xml:space="preserve">Farm, LLC v. Jefferson County BZA, 222 W. Va. 252, 664 S.E.2d 137 (2008),</w:t>
      </w:r>
      <w:r>
        <w:rPr>
          <w:rStyle w:val="FootnoteReference"/>
        </w:rPr>
        <w:footnoteReference w:id="21"/>
      </w:r>
      <w:r>
        <w:t xml:space="preserve"> </w:t>
      </w:r>
      <w:r>
        <w:t xml:space="preserve">which unlike Jefferson, is almost factually identical to the case at hand:</w:t>
      </w:r>
    </w:p>
    <w:p>
      <w:pPr>
        <w:pStyle w:val="XdQuoteFirst"/>
      </w:pPr>
      <w:r>
        <w:t xml:space="preserve">Though the Supreme Court of Appeals [in Far Away</w:t>
      </w:r>
      <w:r>
        <w:t xml:space="preserve"> </w:t>
      </w:r>
      <w:r>
        <w:t xml:space="preserve">Farms] may not have contemplated a ‘general substantive criterion,’ [for conditional use approval] it is not stating that an applicant only need to submit a complete application and have a passing LESA score to be entitled to its [conditional use permit], as Petitioner seems to insinuate. A passing LESA score does not make a project compatible with the area as Petitioner asserts, or the Compatibility Assessment Meeting and the public hearing would not be necessary. The reason the Supreme Court of Appeals ordered the Planning Commission in Far Away</w:t>
      </w:r>
      <w:r>
        <w:t xml:space="preserve"> </w:t>
      </w:r>
      <w:r>
        <w:t xml:space="preserve">Farm to grant the [conditional use permit] is that ‘[a]necdotal evidence and mere speculation and conjecture about potential traffic problems is simply insufficient to overcome expert testimony. Also, … the record shows that no evidence was presented refuting or contradicting that presented by [the applicant]…’ on the other unresolved issues. That Court emphasized that [the applicant’s] evidence was not refuted. Unlike in Far Away</w:t>
      </w:r>
      <w:r>
        <w:t xml:space="preserve"> </w:t>
      </w:r>
      <w:r>
        <w:t xml:space="preserve">Farm, here Petitioner’s evidence concerning density was refuted by an expert…</w:t>
      </w:r>
    </w:p>
    <w:p>
      <w:pPr>
        <w:pStyle w:val="XdQuote"/>
      </w:pPr>
      <w:r>
        <w:t xml:space="preserve">The Court in Far Away</w:t>
      </w:r>
      <w:r>
        <w:t xml:space="preserve"> </w:t>
      </w:r>
      <w:r>
        <w:t xml:space="preserve">Farm stated that anecdotal evidence is insufficient to overcome expert testimony. It pointed out that unless there is better evidence presented to refute or contradict petitioner’s expert testimony, the expert testimony will prevail. In this case, both Petitioner and the opposition to the [conditional use permit] presented expert testimony about how many lots per acre were appropriate…</w:t>
      </w:r>
    </w:p>
    <w:p>
      <w:pPr>
        <w:pStyle w:val="XdQuoteLast"/>
      </w:pPr>
      <w:r>
        <w:t xml:space="preserve">This case is different in some respects from Far Away</w:t>
      </w:r>
      <w:r>
        <w:t xml:space="preserve"> </w:t>
      </w:r>
      <w:r>
        <w:t xml:space="preserve">Farm. In that case, the BZA outright denied the [conditional use permit]; in this case, the BZA granted a CUP with conditions. Also, importantly, in this case the opposition presented more than anecdotal evidence - it challenged Petitioner’s evidence with its own expert. The BZA heard both experts and Petitioner was given the opportunity to rebut. The BZA relied on Petitioner’s expert for the average lot size - 3.76 acres. This is substantial evidence from an expert. Therefore, the Court cannot find that the BZA was plainly wrong when it limited Petitioner’s project to one lot per 3.76 acres.</w:t>
      </w:r>
    </w:p>
    <w:p>
      <w:pPr>
        <w:pStyle w:val="BodyText"/>
      </w:pPr>
      <w:r>
        <w:t xml:space="preserve">See Jefferson Circuit Court Decision (not paginated) (emphasis added). On appeal from the Circuit Court, this Court held that, because the applicant in Jefferson did not present any evidence of compatibility at hearing except with respect to the density of the surrounding area, and the only evidence it did produce with respect to density was refuted and proved erroneous by the opposition’s expert, the condition of approval was proper. Jefferson, 693 S.E.2d at 787.</w:t>
      </w:r>
    </w:p>
    <w:p>
      <w:pPr>
        <w:pStyle w:val="BodyText"/>
      </w:pPr>
      <w:r>
        <w:t xml:space="preserve">Thus, the City’s continued citation to Jefferson actually serves to highlight why the instant case is almost identical to Far Away</w:t>
      </w:r>
      <w:r>
        <w:t xml:space="preserve"> </w:t>
      </w:r>
      <w:r>
        <w:t xml:space="preserve">Farm, and why the BZA’s decision here should be reversed. Like in Far Away</w:t>
      </w:r>
      <w:r>
        <w:t xml:space="preserve"> </w:t>
      </w:r>
      <w:r>
        <w:t xml:space="preserve">Farm: (1) this case involves an outright denial of a conditional use application, as opposed to a condition of approval; and (2) in this case, the City and objectors provided only anecdotal, not expert, testimony. And unlike in Jefferson: (1) objectors in this case did not provide any expert testimony; (2) SWN was not provided an opportunity to rebut objectors’ testimony at hearing; and (3) as set forth below, SWN provided mountains of substantial evidence demonstrating compliance with the specific terms of the UDO, as well as compliance with the general compatibility factors set forth in Section 3.6.3.1</w:t>
      </w:r>
      <w:r>
        <w:t xml:space="preserve"> </w:t>
      </w:r>
      <w:r>
        <w:t xml:space="preserve">of the UDO.</w:t>
      </w:r>
    </w:p>
    <w:p>
      <w:pPr>
        <w:pStyle w:val="BodyText"/>
      </w:pPr>
      <w:r>
        <w:t xml:space="preserve">While Jefferson may stand for the proposition that compliance with a specific requirement in a zoning ordinance does not always compel the automatic approval of a conditional use application, Jefferson definitely stands for the proposition that an applicant who, like SWN in this case, provides unrefuted expert testimony with respect to all of the zoning ordinance’s specific and general requirements, is entitled to approval of its conditional use application. As the Court in Far Away</w:t>
      </w:r>
      <w:r>
        <w:t xml:space="preserve"> </w:t>
      </w:r>
      <w:r>
        <w:t xml:space="preserve">Farms aptly summarized, “zoning ordinances must be interpreted to balance the rights of individual property owners with the needs of the community. Such ordinances can only be effective if they are applied in an even-handed manner with the utmost adherence to the procedural rights of all parties…[T]he evidence in the record shows that Applicant satisfied all of the requirements necessary to obtain the permit.” Far Away</w:t>
      </w:r>
      <w:r>
        <w:t xml:space="preserve"> </w:t>
      </w:r>
      <w:r>
        <w:t xml:space="preserve">Farm, 664 S.E.2d at 145.</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SWN</w:t>
      </w:r>
      <w:r>
        <w:rPr>
          <w:b/>
          <w:bCs/>
          <w:i/>
          <w:iCs/>
        </w:rPr>
        <w:t xml:space="preserve"> </w:t>
      </w:r>
      <w:r>
        <w:rPr>
          <w:b/>
          <w:bCs/>
          <w:i/>
          <w:iCs/>
        </w:rPr>
        <w:t xml:space="preserve">Provided</w:t>
      </w:r>
      <w:r>
        <w:rPr>
          <w:b/>
          <w:bCs/>
          <w:i/>
          <w:iCs/>
        </w:rPr>
        <w:t xml:space="preserve"> </w:t>
      </w:r>
      <w:r>
        <w:rPr>
          <w:b/>
          <w:bCs/>
          <w:i/>
          <w:iCs/>
        </w:rPr>
        <w:t xml:space="preserve">Substantial</w:t>
      </w:r>
      <w:r>
        <w:rPr>
          <w:b/>
          <w:bCs/>
          <w:i/>
          <w:iCs/>
        </w:rPr>
        <w:t xml:space="preserve"> </w:t>
      </w:r>
      <w:r>
        <w:rPr>
          <w:b/>
          <w:bCs/>
          <w:i/>
          <w:iCs/>
        </w:rPr>
        <w:t xml:space="preserve">Evidence</w:t>
      </w:r>
      <w:r>
        <w:rPr>
          <w:b/>
          <w:bCs/>
          <w:i/>
          <w:iCs/>
        </w:rPr>
        <w:t xml:space="preserve"> </w:t>
      </w:r>
      <w:r>
        <w:rPr>
          <w:b/>
          <w:bCs/>
          <w:i/>
          <w:iCs/>
        </w:rPr>
        <w:t xml:space="preserve">Demonstrating</w:t>
      </w:r>
      <w:r>
        <w:rPr>
          <w:b/>
          <w:bCs/>
          <w:i/>
          <w:iCs/>
        </w:rPr>
        <w:t xml:space="preserve"> </w:t>
      </w:r>
      <w:r>
        <w:rPr>
          <w:b/>
          <w:bCs/>
          <w:i/>
          <w:iCs/>
        </w:rPr>
        <w:t xml:space="preserve">Compliance</w:t>
      </w:r>
      <w:r>
        <w:rPr>
          <w:b/>
          <w:bCs/>
          <w:i/>
          <w:iCs/>
        </w:rPr>
        <w:t xml:space="preserve"> </w:t>
      </w:r>
      <w:r>
        <w:rPr>
          <w:b/>
          <w:bCs/>
          <w:i/>
          <w:iCs/>
        </w:rPr>
        <w:t xml:space="preserve">with</w:t>
      </w:r>
      <w:r>
        <w:rPr>
          <w:b/>
          <w:bCs/>
          <w:i/>
          <w:iCs/>
        </w:rPr>
        <w:t xml:space="preserve"> </w:t>
      </w:r>
      <w:r>
        <w:rPr>
          <w:b/>
          <w:bCs/>
          <w:i/>
          <w:iCs/>
        </w:rPr>
        <w:t xml:space="preserve">all</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UDO’s</w:t>
      </w:r>
      <w:r>
        <w:rPr>
          <w:b/>
          <w:bCs/>
          <w:i/>
          <w:iCs/>
        </w:rPr>
        <w:t xml:space="preserve"> </w:t>
      </w:r>
      <w:r>
        <w:rPr>
          <w:b/>
          <w:bCs/>
          <w:i/>
          <w:iCs/>
        </w:rPr>
        <w:t xml:space="preserve">Specific</w:t>
      </w:r>
      <w:r>
        <w:rPr>
          <w:b/>
          <w:bCs/>
          <w:i/>
          <w:iCs/>
        </w:rPr>
        <w:t xml:space="preserve"> </w:t>
      </w:r>
      <w:r>
        <w:rPr>
          <w:b/>
          <w:bCs/>
          <w:i/>
          <w:iCs/>
        </w:rPr>
        <w:t xml:space="preserve">and</w:t>
      </w:r>
      <w:r>
        <w:rPr>
          <w:b/>
          <w:bCs/>
          <w:i/>
          <w:iCs/>
        </w:rPr>
        <w:t xml:space="preserve"> </w:t>
      </w:r>
      <w:r>
        <w:rPr>
          <w:b/>
          <w:bCs/>
          <w:i/>
          <w:iCs/>
        </w:rPr>
        <w:t xml:space="preserve">General</w:t>
      </w:r>
      <w:r>
        <w:rPr>
          <w:b/>
          <w:bCs/>
          <w:i/>
          <w:iCs/>
        </w:rPr>
        <w:t xml:space="preserve"> </w:t>
      </w:r>
      <w:r>
        <w:rPr>
          <w:b/>
          <w:bCs/>
          <w:i/>
          <w:iCs/>
        </w:rPr>
        <w:t xml:space="preserve">Requirements</w:t>
      </w:r>
    </w:p>
    <w:p>
      <w:pPr>
        <w:pStyle w:val="BodyTextNote"/>
      </w:pPr>
      <w:r>
        <w:t xml:space="preserve">In its Response Brief, the City disingenuously characterizes SWN’s argument regarding compliance with the UDO’s “technical standards,” essentially asserting that it is SWN’s position that compliance with the 200’ setback from residential properties should result in automatic approval of the Application. To be sure, as SWN explained in its Opening Brief, it is SWN’s position that SWN’s compliance with the specific objective “technical standards” in the UDO should, absent sufficient rebuttal through competent testimony, result in a presumption that all of the UDO’s general subjective criteria have been satisfied.</w:t>
      </w:r>
      <w:r>
        <w:rPr>
          <w:rStyle w:val="FootnoteReference"/>
        </w:rPr>
        <w:footnoteReference w:id="22"/>
      </w:r>
      <w:r>
        <w:t xml:space="preserve"> </w:t>
      </w:r>
      <w:r>
        <w:t xml:space="preserve">However, as set forth at length in SWN’s Opening Brief, there was no competent rebuttal evidence offered by objectors. And, even if the initial burden to show compliance with such subjective general compatibility criteria was properly placed on SWN, it nevertheless met its burden to show compliance with each and every such requirement. Although, it would be almost impossible to address each of the City’s misrepresentations of the evidence and testimony provided by SWN in this case, SWN will now address the most egregious of the City’s misstatements.</w:t>
      </w:r>
    </w:p>
    <w:p>
      <w:pPr>
        <w:keepNext/>
        <w:keepLines/>
        <w:spacing w:before="240" w:after="192" w:line="276" w:lineRule="exact"/>
        <w:ind w:left="720" w:hanging="720"/>
        <w:jc w:val="left"/>
      </w:pPr>
      <w:r>
        <w:rPr>
          <w:b/>
          <w:bCs/>
          <w:i/>
          <w:iCs/>
        </w:rPr>
        <w:t xml:space="preserve">i.</w:t>
      </w:r>
      <w:r>
        <w:rPr>
          <w:b/>
          <w:bCs/>
          <w:i/>
          <w:iCs/>
        </w:rPr>
        <w:t xml:space="preserve"> </w:t>
      </w:r>
      <w:r>
        <w:rPr>
          <w:b/>
          <w:bCs/>
          <w:i/>
          <w:iCs/>
        </w:rPr>
        <w:t xml:space="preserve">SWN’s</w:t>
      </w:r>
      <w:r>
        <w:rPr>
          <w:b/>
          <w:bCs/>
          <w:i/>
          <w:iCs/>
        </w:rPr>
        <w:t xml:space="preserve"> </w:t>
      </w:r>
      <w:r>
        <w:rPr>
          <w:b/>
          <w:bCs/>
          <w:i/>
          <w:iCs/>
        </w:rPr>
        <w:t xml:space="preserve">Application</w:t>
      </w:r>
      <w:r>
        <w:rPr>
          <w:b/>
          <w:bCs/>
          <w:i/>
          <w:iCs/>
        </w:rPr>
        <w:t xml:space="preserve"> </w:t>
      </w:r>
      <w:r>
        <w:rPr>
          <w:b/>
          <w:bCs/>
          <w:i/>
          <w:iCs/>
        </w:rPr>
        <w:t xml:space="preserve">Complied</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UDO’s</w:t>
      </w:r>
      <w:r>
        <w:rPr>
          <w:b/>
          <w:bCs/>
          <w:i/>
          <w:iCs/>
        </w:rPr>
        <w:t xml:space="preserve"> </w:t>
      </w:r>
      <w:r>
        <w:rPr>
          <w:b/>
          <w:bCs/>
          <w:i/>
          <w:iCs/>
        </w:rPr>
        <w:t xml:space="preserve">Submission</w:t>
      </w:r>
      <w:r>
        <w:rPr>
          <w:b/>
          <w:bCs/>
          <w:i/>
          <w:iCs/>
        </w:rPr>
        <w:t xml:space="preserve"> </w:t>
      </w:r>
      <w:r>
        <w:rPr>
          <w:b/>
          <w:bCs/>
          <w:i/>
          <w:iCs/>
        </w:rPr>
        <w:t xml:space="preserve">Requirements</w:t>
      </w:r>
    </w:p>
    <w:p>
      <w:pPr>
        <w:pStyle w:val="BodyText"/>
      </w:pPr>
      <w:r>
        <w:t xml:space="preserve">Throughout its Response Brief, the City repeatedly states that SWN’s initial application submission was deficient because it should have included all of the information required for the Board to render its decision, rather than simply satisfying the UDO’s initial submission requirements. See e.g., Response Brief, at p. 28 (“In this case, Petitioner made no attempt to demonstrate compliance with the UDO’s conditional use permit requirements beyond its boilerplate statements in the Application.”); Response Brief, at p. 37(“[SWN’s] application only addressed these Standards for Approval by conclusory statements and attachment of three graphic image renderings”). However, with its initial submission, SWN was only obligated to submit the material referenced in Section 3.6.2.1 of the UDO, which included a site plan and “[a]ny other information deemed helpful by the applicant or necessary by the Board of Zoning Appeals to explain the nature of the proposed use and its consistency with the standards established by this Section for Conditional Use permits.” SWN met these requirements by submitting detailed site plans and providing more than 240 pages of plans, studies and reports in support of the Application. (A. 570</w:t>
      </w:r>
      <w:r>
        <w:noBreakHyphen/>
      </w:r>
      <w:r>
        <w:t xml:space="preserve">892). Indeed, when questioned if he had ever notified SWN that its Application was incomplete in any way prior to the hearings, Mr. Knowlton responded that he had not. (A. 1391).</w:t>
      </w:r>
    </w:p>
    <w:p>
      <w:pPr>
        <w:pStyle w:val="BodyText"/>
      </w:pPr>
      <w:r>
        <w:t xml:space="preserve">The City’s position with respect to SWN’s initial application submission would entirely obviate the need for a public hearing in the first place. As explained in Corliss</w:t>
      </w:r>
      <w:r>
        <w:t xml:space="preserve"> </w:t>
      </w:r>
      <w:r>
        <w:t xml:space="preserve">v. Jefferson County Bd. of Zoning Appeals, 214 W. Va. 535, 591 S.E.2d 93, 101 (2003), the information provided with an initial conditional use application “provides a launching point from which the public can begin to participate in and the Zoning Administrator and the Commission can conduct the multi-stage reviewing process that is involved in any application for a conditional use permit.” Therefore, SWN’s initial Application was merely the starting point, after which SWN presented expert testimony over three days of hearings to demonstrate compliance with each and every of the UDO’s requirements for conditional uses. Accordingly, the litany of substantive deficiencies alleged by the City as to SWN’s initial Application are entirely irrelevant because each item was subsequently addressed at the hearings on this matter. See Response Brief, at pp. 4</w:t>
      </w:r>
      <w:r>
        <w:noBreakHyphen/>
      </w:r>
      <w:r>
        <w:t xml:space="preserve">6.</w:t>
      </w:r>
    </w:p>
    <w:p>
      <w:pPr>
        <w:keepNext/>
        <w:keepLines/>
        <w:spacing w:before="240" w:after="192" w:line="276" w:lineRule="exact"/>
        <w:ind w:left="720" w:hanging="720"/>
        <w:jc w:val="left"/>
      </w:pPr>
      <w:r>
        <w:rPr>
          <w:b/>
          <w:bCs/>
          <w:i/>
          <w:iCs/>
        </w:rPr>
        <w:t xml:space="preserve">ii.</w:t>
      </w:r>
      <w:r>
        <w:rPr>
          <w:b/>
          <w:bCs/>
          <w:i/>
          <w:iCs/>
        </w:rPr>
        <w:t xml:space="preserve"> </w:t>
      </w:r>
      <w:r>
        <w:rPr>
          <w:b/>
          <w:bCs/>
          <w:i/>
          <w:iCs/>
        </w:rPr>
        <w:t xml:space="preserve">SWN</w:t>
      </w:r>
      <w:r>
        <w:rPr>
          <w:b/>
          <w:bCs/>
          <w:i/>
          <w:iCs/>
        </w:rPr>
        <w:t xml:space="preserve"> </w:t>
      </w:r>
      <w:r>
        <w:rPr>
          <w:b/>
          <w:bCs/>
          <w:i/>
          <w:iCs/>
        </w:rPr>
        <w:t xml:space="preserve">Demonstrated</w:t>
      </w:r>
      <w:r>
        <w:rPr>
          <w:b/>
          <w:bCs/>
          <w:i/>
          <w:iCs/>
        </w:rPr>
        <w:t xml:space="preserve"> </w:t>
      </w:r>
      <w:r>
        <w:rPr>
          <w:b/>
          <w:bCs/>
          <w:i/>
          <w:iCs/>
        </w:rPr>
        <w:t xml:space="preserve">Compliance</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UDO’s</w:t>
      </w:r>
      <w:r>
        <w:rPr>
          <w:b/>
          <w:bCs/>
          <w:i/>
          <w:iCs/>
        </w:rPr>
        <w:t xml:space="preserve"> </w:t>
      </w:r>
      <w:r>
        <w:rPr>
          <w:b/>
          <w:bCs/>
          <w:i/>
          <w:iCs/>
        </w:rPr>
        <w:t xml:space="preserve">Express</w:t>
      </w:r>
      <w:r>
        <w:rPr>
          <w:b/>
          <w:bCs/>
          <w:i/>
          <w:iCs/>
        </w:rPr>
        <w:t xml:space="preserve"> </w:t>
      </w:r>
      <w:r>
        <w:rPr>
          <w:b/>
          <w:bCs/>
          <w:i/>
          <w:iCs/>
        </w:rPr>
        <w:t xml:space="preserve">Criteria</w:t>
      </w:r>
      <w:r>
        <w:rPr>
          <w:b/>
          <w:bCs/>
          <w:i/>
          <w:iCs/>
        </w:rPr>
        <w:t xml:space="preserve"> </w:t>
      </w:r>
      <w:r>
        <w:rPr>
          <w:b/>
          <w:bCs/>
          <w:i/>
          <w:iCs/>
        </w:rPr>
        <w:t xml:space="preserve">for</w:t>
      </w:r>
      <w:r>
        <w:rPr>
          <w:b/>
          <w:bCs/>
          <w:i/>
          <w:iCs/>
        </w:rPr>
        <w:t xml:space="preserve"> </w:t>
      </w:r>
      <w:r>
        <w:rPr>
          <w:b/>
          <w:bCs/>
          <w:i/>
          <w:iCs/>
        </w:rPr>
        <w:t xml:space="preserve">Uses</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PDD</w:t>
      </w:r>
      <w:r>
        <w:rPr>
          <w:b/>
          <w:bCs/>
          <w:i/>
          <w:iCs/>
        </w:rPr>
        <w:t xml:space="preserve"> </w:t>
      </w:r>
      <w:r>
        <w:rPr>
          <w:b/>
          <w:bCs/>
          <w:i/>
          <w:iCs/>
        </w:rPr>
        <w:t xml:space="preserve">District</w:t>
      </w:r>
    </w:p>
    <w:p>
      <w:pPr>
        <w:pStyle w:val="BodyTextNote"/>
      </w:pPr>
      <w:r>
        <w:t xml:space="preserve">Despite the fact that it was not a ground for the BZA’s denial, the City now asserts the red herring argument that the Application should have been denied solely because the height of the temporary drill rig does not comply with the PDD District’s maximum 60’ building height requirement. The prominence of this novel assertion in the Response Brief demonstrates how weak its remaining arguments actually are. However, as demonstrated by SWN, the drill rig is a temporary piece of equipment that will only be placed on the site for 13</w:t>
      </w:r>
      <w:r>
        <w:noBreakHyphen/>
      </w:r>
      <w:r>
        <w:t xml:space="preserve">18 days for each of three legs of the wells that are proposed, after which it will be removed. (A. 577). Therefore, the drill rig is not a “building”</w:t>
      </w:r>
      <w:r>
        <w:rPr>
          <w:rStyle w:val="FootnoteReference"/>
        </w:rPr>
        <w:footnoteReference w:id="23"/>
      </w:r>
      <w:r>
        <w:t xml:space="preserve"> </w:t>
      </w:r>
      <w:r>
        <w:t xml:space="preserve">that is subject to the UDO’s maximum “building height”</w:t>
      </w:r>
      <w:r>
        <w:rPr>
          <w:rStyle w:val="FootnoteReference"/>
        </w:rPr>
        <w:footnoteReference w:id="24"/>
      </w:r>
      <w:r>
        <w:t xml:space="preserve"> </w:t>
      </w:r>
      <w:r>
        <w:t xml:space="preserve">requirements. Taken to its logical conclusion, the City’s position would mean that temporary crane equipment could not be utilized to construct buildings in the UDO’s C</w:t>
      </w:r>
      <w:r>
        <w:noBreakHyphen/>
      </w:r>
      <w:r>
        <w:t xml:space="preserve">3 Commercial District, where the maximum building height is also 60’. UDO § 10.2</w:t>
      </w:r>
      <w:r>
        <w:t xml:space="preserve"> </w:t>
      </w:r>
      <w:r>
        <w:t xml:space="preserve">(Table 2). Such a proposition is absurd and should be summarily disregarded.</w:t>
      </w:r>
      <w:r>
        <w:rPr>
          <w:rStyle w:val="FootnoteReference"/>
        </w:rPr>
        <w:footnoteReference w:id="25"/>
      </w:r>
      <w:r>
        <w:t xml:space="preserve"> </w:t>
      </w:r>
      <w:r>
        <w:t xml:space="preserve">And, in any event, the height of the drill rig was not cited as a ground for denial by the BZA or Circuit Court and cannot serve as one now.</w:t>
      </w:r>
    </w:p>
    <w:p>
      <w:pPr>
        <w:keepNext/>
        <w:keepLines/>
        <w:spacing w:before="240" w:after="192" w:line="276" w:lineRule="exact"/>
        <w:ind w:left="720" w:hanging="720"/>
        <w:jc w:val="left"/>
      </w:pPr>
      <w:r>
        <w:rPr>
          <w:b/>
          <w:bCs/>
          <w:i/>
          <w:iCs/>
        </w:rPr>
        <w:t xml:space="preserve">iii.</w:t>
      </w:r>
      <w:r>
        <w:rPr>
          <w:b/>
          <w:bCs/>
          <w:i/>
          <w:iCs/>
        </w:rPr>
        <w:t xml:space="preserve"> </w:t>
      </w:r>
      <w:r>
        <w:rPr>
          <w:b/>
          <w:bCs/>
          <w:i/>
          <w:iCs/>
        </w:rPr>
        <w:t xml:space="preserve">SWN</w:t>
      </w:r>
      <w:r>
        <w:rPr>
          <w:b/>
          <w:bCs/>
          <w:i/>
          <w:iCs/>
        </w:rPr>
        <w:t xml:space="preserve"> </w:t>
      </w:r>
      <w:r>
        <w:rPr>
          <w:b/>
          <w:bCs/>
          <w:i/>
          <w:iCs/>
        </w:rPr>
        <w:t xml:space="preserve">Demonstrated</w:t>
      </w:r>
      <w:r>
        <w:rPr>
          <w:b/>
          <w:bCs/>
          <w:i/>
          <w:iCs/>
        </w:rPr>
        <w:t xml:space="preserve"> </w:t>
      </w:r>
      <w:r>
        <w:rPr>
          <w:b/>
          <w:bCs/>
          <w:i/>
          <w:iCs/>
        </w:rPr>
        <w:t xml:space="preserve">Compliance</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UDO’s</w:t>
      </w:r>
      <w:r>
        <w:rPr>
          <w:b/>
          <w:bCs/>
          <w:i/>
          <w:iCs/>
        </w:rPr>
        <w:t xml:space="preserve"> </w:t>
      </w:r>
      <w:r>
        <w:rPr>
          <w:b/>
          <w:bCs/>
          <w:i/>
          <w:iCs/>
        </w:rPr>
        <w:t xml:space="preserve">General</w:t>
      </w:r>
      <w:r>
        <w:rPr>
          <w:b/>
          <w:bCs/>
          <w:i/>
          <w:iCs/>
        </w:rPr>
        <w:t xml:space="preserve"> </w:t>
      </w:r>
      <w:r>
        <w:rPr>
          <w:b/>
          <w:bCs/>
          <w:i/>
          <w:iCs/>
        </w:rPr>
        <w:t xml:space="preserve">Conditional</w:t>
      </w:r>
      <w:r>
        <w:rPr>
          <w:b/>
          <w:bCs/>
          <w:i/>
          <w:iCs/>
        </w:rPr>
        <w:t xml:space="preserve"> </w:t>
      </w:r>
      <w:r>
        <w:rPr>
          <w:b/>
          <w:bCs/>
          <w:i/>
          <w:iCs/>
        </w:rPr>
        <w:t xml:space="preserve">Use</w:t>
      </w:r>
      <w:r>
        <w:rPr>
          <w:b/>
          <w:bCs/>
          <w:i/>
          <w:iCs/>
        </w:rPr>
        <w:t xml:space="preserve"> </w:t>
      </w:r>
      <w:r>
        <w:rPr>
          <w:b/>
          <w:bCs/>
          <w:i/>
          <w:iCs/>
        </w:rPr>
        <w:t xml:space="preserve">Requirements</w:t>
      </w:r>
      <w:r>
        <w:rPr>
          <w:b/>
          <w:bCs/>
          <w:i/>
          <w:iCs/>
        </w:rPr>
        <w:t xml:space="preserve"> </w:t>
      </w:r>
      <w:r>
        <w:rPr>
          <w:b/>
          <w:bCs/>
          <w:i/>
          <w:iCs/>
        </w:rPr>
        <w:t xml:space="preserve">for</w:t>
      </w:r>
      <w:r>
        <w:rPr>
          <w:b/>
          <w:bCs/>
          <w:i/>
          <w:iCs/>
        </w:rPr>
        <w:t xml:space="preserve"> </w:t>
      </w:r>
      <w:r>
        <w:rPr>
          <w:b/>
          <w:bCs/>
          <w:i/>
          <w:iCs/>
        </w:rPr>
        <w:t xml:space="preserve">Compatibility</w:t>
      </w:r>
    </w:p>
    <w:p>
      <w:pPr>
        <w:pStyle w:val="BodyText"/>
      </w:pPr>
      <w:r>
        <w:t xml:space="preserve">In its Response Brief, the City baldly claims that “[SWN] had advance notice of [the compatibility requirements in Section 3.6.2.1] due to their adoption in the Codified Ordinances of the City of Weirton, and it neglected to substantively address these requirements either in its Application or its presentation to the BZA.” See Response Brief, at p. 36. However, as set forth in Section III.B of SWN’s Opening Brief, the record demonstrates that, throughout the three hearings on this matter, SWN presented substantial and unrebutted evidence that the Brownlee Pad complied with each and every such requirement.</w:t>
      </w:r>
    </w:p>
    <w:p>
      <w:pPr>
        <w:pStyle w:val="BodyTextNote"/>
      </w:pPr>
      <w:r>
        <w:t xml:space="preserve">The City identifies a long list of areas in which is claims that SWN did not demonstrate compliance with the compatibility factors. See City’s Reply Brief, at pp. 36</w:t>
      </w:r>
      <w:r>
        <w:noBreakHyphen/>
      </w:r>
      <w:r>
        <w:t xml:space="preserve">38. However, the City’s contentions can essentially be distilled into two assertions: (1) SWN did not demonstrate that the Brownlee Pad</w:t>
      </w:r>
      <w:r>
        <w:rPr>
          <w:rStyle w:val="FootnoteReference"/>
        </w:rPr>
        <w:footnoteReference w:id="26"/>
      </w:r>
      <w:r>
        <w:t xml:space="preserve"> </w:t>
      </w:r>
      <w:r>
        <w:t xml:space="preserve">would be compatible with development in the surrounding area in the PDD District; and (2) the Brownlee Pad would generate detrimental traffic impacts. Each of the City’s contentions are belied by the record.</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Compatibility</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Surrounding</w:t>
      </w:r>
      <w:r>
        <w:rPr>
          <w:b/>
          <w:bCs/>
          <w:i/>
          <w:iCs/>
        </w:rPr>
        <w:t xml:space="preserve"> </w:t>
      </w:r>
      <w:r>
        <w:rPr>
          <w:b/>
          <w:bCs/>
          <w:i/>
          <w:iCs/>
        </w:rPr>
        <w:t xml:space="preserve">Area</w:t>
      </w:r>
    </w:p>
    <w:p>
      <w:pPr>
        <w:pStyle w:val="BodyText"/>
      </w:pPr>
      <w:r>
        <w:t xml:space="preserve">With respect to compatibility with the area surrounding the Brownlee Pad, SWN provided expert testimony from Mr. DePaolis that he reviewed Objective 2.3 of the City Comp Plan and that in his professional opinion, the traffic associated with the production phase of operations will not worsen traffic congestion nor will it add additional stress on the existing infrastructure in the surrounding area. (A. 1894</w:t>
      </w:r>
      <w:r>
        <w:noBreakHyphen/>
      </w:r>
      <w:r>
        <w:t xml:space="preserve">96). He further testified that the traffic would not negatively affect future development of this area as a mixed-use commercial hub. Id. On cross-examination, Mr. DePaolis was asked if he had reason to doubt the comments of the Fairfield Inn Suites ownership that the Brownlee Pad development would harm their business and the Park Drive development owners’ opinions that they would either not be able to develop or would have difficulty in developing their adjacent developments because of the proposed development. (A. 1913</w:t>
      </w:r>
      <w:r>
        <w:noBreakHyphen/>
      </w:r>
      <w:r>
        <w:t xml:space="preserve">15). Mr. DePaolis answered as follows:</w:t>
      </w:r>
    </w:p>
    <w:p>
      <w:pPr>
        <w:pStyle w:val="XdQuoteFirst"/>
      </w:pPr>
      <w:r>
        <w:t xml:space="preserve">THE WITNESS: Yes, I do have reason to doubt that.</w:t>
      </w:r>
    </w:p>
    <w:p>
      <w:pPr>
        <w:pStyle w:val="XdQuote"/>
      </w:pPr>
      <w:r>
        <w:t xml:space="preserve">BY MR. SIMONTON: What reason is that?</w:t>
      </w:r>
    </w:p>
    <w:p>
      <w:pPr>
        <w:pStyle w:val="XdQuote"/>
      </w:pPr>
      <w:r>
        <w:t xml:space="preserve">THE WITNESS: Because, again, we analyze the actual operation. We analyzed the impacts to the roadways in front which showed that there are negligible impacts on the roadway for, again, a small three-to-four week period. I just do not think that a three-to-four week period is going to negatively impact somebody’s overall business, especially when we’re showing no impact during that three-to-four week period.</w:t>
      </w:r>
    </w:p>
    <w:p>
      <w:pPr>
        <w:pStyle w:val="XdQuoteLast"/>
      </w:pPr>
      <w:r>
        <w:t xml:space="preserve">(A. 1914) (emphasis added).)</w:t>
      </w:r>
    </w:p>
    <w:p>
      <w:pPr>
        <w:pStyle w:val="BodyText"/>
      </w:pPr>
      <w:r>
        <w:t xml:space="preserve">Also, with respect to compatibility, SWN presented evidence that the Brownlee Pad will be located in the outskirts of the City near the center of the large 301.81-acre tract of land that comprises the Subject Property and that the nearest occupied structure is located approximately 1,273 feet away. (A. 1851). With respect to visual impacts on adjacent properties, the Subject Property is not at the same elevation with the other developments along Three Springs and Park Drives. The Pad sits approximately 150’ lower than the other developments located on Park Drive and will not be visible from adjacent properties. (A. 1212</w:t>
      </w:r>
      <w:r>
        <w:noBreakHyphen/>
      </w:r>
      <w:r>
        <w:t xml:space="preserve">13). This is especially so after drilling and completions activities are concluded, at which time there will be no active use of the property, other than periodic maintenance trucks.</w:t>
      </w:r>
    </w:p>
    <w:p>
      <w:pPr>
        <w:pStyle w:val="BodyText"/>
      </w:pPr>
      <w:r>
        <w:t xml:space="preserve">Mr. Webb further testified as to the compatibility of the noise impacts of the proposed Brownlee Pad on the surrounding area. He testified that the noise, without any mitigation measures, would be below the ambient background level. (A. 1223</w:t>
      </w:r>
      <w:r>
        <w:noBreakHyphen/>
      </w:r>
      <w:r>
        <w:t xml:space="preserve">24). Based on all project information provided by SWN and the analysis contained in his expert report, he testified that, within a reasonable degree of engineering certainty, it was his professional opinion that the proposed Pad would comply with the noise regulations. (A. 897). He further testified that the noise effects would be temporary and will be negligible after construction operations, drilling and completions. See UDO § 3.6.3.1</w:t>
      </w:r>
      <w:r>
        <w:t xml:space="preserve"> </w:t>
      </w:r>
      <w:r>
        <w:t xml:space="preserve">(D); (A. 894</w:t>
      </w:r>
      <w:r>
        <w:noBreakHyphen/>
      </w:r>
      <w:r>
        <w:t xml:space="preserve">904).</w:t>
      </w:r>
    </w:p>
    <w:p>
      <w:pPr>
        <w:pStyle w:val="BodyText"/>
      </w:pPr>
      <w:r>
        <w:t xml:space="preserve">With respect to water impacts on the surrounding neighborhood, SWN presented testimony and reports from Mr. Walentosky. (A. 1555). He explained that the Brownlee Pad is hydraulically isolated from the City’s public water supply system because water discharging from the Brownlee Pad drains into the watershed located downstream of the water supply system. (A. 1925</w:t>
      </w:r>
      <w:r>
        <w:noBreakHyphen/>
      </w:r>
      <w:r>
        <w:t xml:space="preserve">26). Further, the center of the proposed Brownlee Pad is located more than 3.3 miles east of the public water supply sources. (A. 1922). The aquifer supplying the Ranney collector well is laterally and topographically separate from the bedrock aquifers through which the Pad gas wells would be installed. Id. As such, in Mr. Walentosky’s expert opinion, there will be no impacts to water supply sources resulting from the proposed natural gas development activities. (A. 1555).</w:t>
      </w:r>
    </w:p>
    <w:p>
      <w:pPr>
        <w:pStyle w:val="BodyText"/>
      </w:pPr>
      <w:r>
        <w:t xml:space="preserve">With respect to lighting, Mr. Laine testified that halo lights would be used at the Brownlee Pad and be pointed downward, which will prevent light from bleeding outside of the Subject Property. Further, all lighting will be temporary and limited to the Subject Property. (A. 1205). All lighting will be directed away from adjacent properties and roadways. Id.</w:t>
      </w:r>
    </w:p>
    <w:p>
      <w:pPr>
        <w:pStyle w:val="BodyText"/>
      </w:pPr>
      <w:r>
        <w:t xml:space="preserve">In sum, SWN provided credible expert testimony that the Brownlee Pad, which is located in the center of a large vacant parcel and not visible from adjacent properties, will be compatible with uses in the surrounding area. Furthermore, once the wells are in production, the Brownlee Pad will be less intense than most, if not all, permitted uses in the PDD District. (A. 1851). Therefore, the City’s argument that SWN did not demonstrate the Brownlee Pad would be compatible with development in the surrounding area is entirely meritless.</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Traffic</w:t>
      </w:r>
      <w:r>
        <w:rPr>
          <w:b/>
          <w:bCs/>
          <w:i/>
          <w:iCs/>
        </w:rPr>
        <w:t xml:space="preserve"> </w:t>
      </w:r>
      <w:r>
        <w:rPr>
          <w:b/>
          <w:bCs/>
          <w:i/>
          <w:iCs/>
        </w:rPr>
        <w:t xml:space="preserve">Impacts</w:t>
      </w:r>
    </w:p>
    <w:p>
      <w:pPr>
        <w:pStyle w:val="BodyText"/>
      </w:pPr>
      <w:r>
        <w:t xml:space="preserve">Regarding potential traffic impacts, at the Evidentiary Hearing, Mr. DePaolis comprehensively and systematically addressed all of the reasons why the Board’s findings with respect to the Traffic Study were erroneous. With respect to the Mr. Colantino’s assertion that Traffic Study was flawed because the temperature was allegedly 8 degrees at some point on February 17, 2021, Mr. DePaolis testified that the temperature does not affect traffic movement counts. (A. 1887</w:t>
      </w:r>
      <w:r>
        <w:noBreakHyphen/>
      </w:r>
      <w:r>
        <w:t xml:space="preserve">88). He further testified that the ITE and the Transportation Research Board’s Highway Capacity Manual do not address the appropriate temperatures that are acceptable to take traffic counts. Id. In his professional opinion, the temperature on February 17, 2021 did not make the traffic count baseline erroneous. Id.</w:t>
      </w:r>
    </w:p>
    <w:p>
      <w:pPr>
        <w:pStyle w:val="BodyText"/>
      </w:pPr>
      <w:r>
        <w:t xml:space="preserve">With respect to the Mr. Colantino’s assertion that the Traffic Study was flawed because of the COVID</w:t>
      </w:r>
      <w:r>
        <w:noBreakHyphen/>
      </w:r>
      <w:r>
        <w:t xml:space="preserve">19 pandemic, Mr. DePaolis testified that there was no stay-at-home order in effect on February 17, 2021. (A. 1888</w:t>
      </w:r>
      <w:r>
        <w:noBreakHyphen/>
      </w:r>
      <w:r>
        <w:t xml:space="preserve">89). He further explained, in general, that he performed several other traffic studies during the COVID pandemic. Id. He explained that the ITE issued guidance on how traffic counts should be conducted, which included the use of historical traffic data were available. Id. As he testified, that is the exact guidance that he used for the Traffic Study. In his professional opinion, the COVID</w:t>
      </w:r>
      <w:r>
        <w:noBreakHyphen/>
      </w:r>
      <w:r>
        <w:t xml:space="preserve">19 pandemic did not make the traffic count baseline erroneous. Id. Mr. DePaolis testified that the Traffic Study did not only rely on the traffic counts taken on February 17, 2021 to determine the capacity calculations at the study intersections. (A. 1890</w:t>
      </w:r>
      <w:r>
        <w:noBreakHyphen/>
      </w:r>
      <w:r>
        <w:t xml:space="preserve">91). He testified that he also used historical WVDOT data from 2017, which was the last time data for the studied intersections was available. Id. The DOH also provided CEC with a background traffic growth rate of 1.082 percent per year. Id. He testified that the 2017 traffic volumes, when applied to the 1.082 growth rate, was consistent with the actual traffic counts taken on February 17, 2021. Id. Mr. DePaolis testified that he also reviewed the City’s Comp Plan, which provided for an annual traffic growth rate for the Three Springs/​Park Drive area of 1.25 percent per year. Id; (A. 1746). He testified that for all intents and purposes, that is consistent with the DOH’s growth rate for the same area. (A. 1890) (“You’re talking about 1.082 percent per year versus 1.25 percent per year, that’s a difference of .17 percent per year or one car or one-and-a-half, two cars, for every thousand cars that goes through the intersection.”). In Mr. DePaolis’s expert opinion, not only were the actual traffic counts consistent with the DOH’s traffic counts and annual growth rate, but also the City’s own projected growth rate for the very same area. Id.</w:t>
      </w:r>
    </w:p>
    <w:p>
      <w:pPr>
        <w:pStyle w:val="BodyText"/>
      </w:pPr>
      <w:r>
        <w:t xml:space="preserve">With respect to the Mr. Colantino’s assertion that the Traffic Study was flawed because Three Springs Crossing, Aldi’s and Big Lots developments occurred after the WVDOT studied the area in 2017, Mr. DePaolis explained that these are the types of developments that are contemplated in the annual growth rates used by both the DOH and the City. In his professional opinion, the traffic associated with the Three Springs Crossing, Aldi’s and Big Lots developments did not render his baseline traffic counts erroneous. (A. 1891</w:t>
      </w:r>
      <w:r>
        <w:noBreakHyphen/>
      </w:r>
      <w:r>
        <w:t xml:space="preserve">92). With respect to the Mr. Colantino’s assertion that the Traffic Study was flawed because the DOH’s timing cards were not reviewed, Mr. DePaolis explained that timing cards are summaries provided by the DOH that indicate the programming inside the cabinet of the traffic signal that controls the operation of the traffic signal. Id. In his professional opinion, the Traffic Study was not flawed because they “used actual observed traffic signal timings at the intersection, which means [CEC] saw the phasing, the green times, the yellow and all red times that were present during the counts” and “not theoretical timings that are shown on the timing card.” As he explained, actual field measurements are more reliable information than the timing cards. Id. As a result of his analysis, Mr. DePaolis concluded that, to a reasonable degree of traffic engineering certainty, the additional traffic generated by the Brownlee Pad during the completions stage would not result in a degradation of level of surface for the affected intersections and that there would be “no significant traffic impact” associated with the Proposed Uses. (A. 1219).</w:t>
      </w:r>
    </w:p>
    <w:p>
      <w:pPr>
        <w:pStyle w:val="BodyText"/>
      </w:pPr>
      <w:r>
        <w:t xml:space="preserve">But, despite Mr. DePaolis’ expert testimony, the Circuit Court specifically found that Mr. Colantonio, a personal injury attorney with no training in traffic engineering, provided substantial evidence to support the Board’s determination that the use would have detrimental impacts on traffic. (A. 25</w:t>
      </w:r>
      <w:r>
        <w:noBreakHyphen/>
      </w:r>
      <w:r>
        <w:t xml:space="preserve">28, 56). However, as in Far Away</w:t>
      </w:r>
      <w:r>
        <w:t xml:space="preserve"> </w:t>
      </w:r>
      <w:r>
        <w:t xml:space="preserve">Farm, the record shows that no evidence other than anecdotal experiences related by some members of the public was presented at the public hearing to contradict SWN’s Traffic Study. As this court has held, such “[a]necdotal evidence and mere speculation and conjecture about potential traffic problems is simply insufficient to overcome expert testimony.” Far Away</w:t>
      </w:r>
      <w:r>
        <w:t xml:space="preserve"> </w:t>
      </w:r>
      <w:r>
        <w:t xml:space="preserve">Farm, 664 S.E.2d at 145 (emphasis added). Accordingly, the Circuit Court erred by finding that the BZA’s decision was supported by substantial evidence, where no “reasonable mind” could possibly find Mr. Colantonio’s testimony adequate to rebut the extensive expert testimony of Mr. DePaolis provided at the BZA hearing and Evidentiary Hearing. See Maplewood</w:t>
      </w:r>
      <w:r>
        <w:t xml:space="preserve"> </w:t>
      </w:r>
      <w:r>
        <w:t xml:space="preserve">Estates, 629 S.E.2d at 782. Nor could a reasonable mind find the lay testimony offered by objectors sufficient to overcome SWN’s other expert testimony on the other compatibility issues.</w:t>
      </w:r>
    </w:p>
    <w:p>
      <w:pPr>
        <w:keepNext/>
        <w:keepLines/>
        <w:spacing w:before="240" w:after="192" w:line="276" w:lineRule="exact"/>
        <w:ind w:left="720" w:hanging="720"/>
        <w:jc w:val="left"/>
      </w:pPr>
      <w:r>
        <w:rPr>
          <w:b/>
          <w:bCs/>
        </w:rPr>
        <w:t xml:space="preserve">D.</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Requires</w:t>
      </w:r>
      <w:r>
        <w:rPr>
          <w:b/>
          <w:bCs/>
        </w:rPr>
        <w:t xml:space="preserve"> </w:t>
      </w:r>
      <w:r>
        <w:rPr>
          <w:b/>
          <w:bCs/>
        </w:rPr>
        <w:t xml:space="preserve">Consideration</w:t>
      </w:r>
      <w:r>
        <w:rPr>
          <w:b/>
          <w:bCs/>
        </w:rPr>
        <w:t xml:space="preserve"> </w:t>
      </w:r>
      <w:r>
        <w:rPr>
          <w:b/>
          <w:bCs/>
        </w:rPr>
        <w:t xml:space="preserve">of</w:t>
      </w:r>
      <w:r>
        <w:rPr>
          <w:b/>
          <w:bCs/>
        </w:rPr>
        <w:t xml:space="preserve"> </w:t>
      </w:r>
      <w:r>
        <w:rPr>
          <w:b/>
          <w:bCs/>
        </w:rPr>
        <w:t xml:space="preserve">all</w:t>
      </w:r>
      <w:r>
        <w:rPr>
          <w:b/>
          <w:bCs/>
        </w:rPr>
        <w:t xml:space="preserve"> </w:t>
      </w:r>
      <w:r>
        <w:rPr>
          <w:b/>
          <w:bCs/>
        </w:rPr>
        <w:t xml:space="preserve">the</w:t>
      </w:r>
      <w:r>
        <w:rPr>
          <w:b/>
          <w:bCs/>
        </w:rPr>
        <w:t xml:space="preserve"> </w:t>
      </w:r>
      <w:r>
        <w:rPr>
          <w:b/>
          <w:bCs/>
        </w:rPr>
        <w:t xml:space="preserve">Testimony</w:t>
      </w:r>
      <w:r>
        <w:rPr>
          <w:b/>
          <w:bCs/>
        </w:rPr>
        <w:t xml:space="preserve"> </w:t>
      </w:r>
      <w:r>
        <w:rPr>
          <w:b/>
          <w:bCs/>
        </w:rPr>
        <w:t xml:space="preserve">and</w:t>
      </w:r>
      <w:r>
        <w:rPr>
          <w:b/>
          <w:bCs/>
        </w:rPr>
        <w:t xml:space="preserve"> </w:t>
      </w:r>
      <w:r>
        <w:rPr>
          <w:b/>
          <w:bCs/>
        </w:rPr>
        <w:t xml:space="preserve">Evidence</w:t>
      </w:r>
      <w:r>
        <w:rPr>
          <w:b/>
          <w:bCs/>
        </w:rPr>
        <w:t xml:space="preserve"> </w:t>
      </w:r>
      <w:r>
        <w:rPr>
          <w:b/>
          <w:bCs/>
        </w:rPr>
        <w:t xml:space="preserve">Introduced</w:t>
      </w:r>
      <w:r>
        <w:rPr>
          <w:b/>
          <w:bCs/>
        </w:rPr>
        <w:t xml:space="preserve"> </w:t>
      </w:r>
      <w:r>
        <w:rPr>
          <w:b/>
          <w:bCs/>
        </w:rPr>
        <w:t xml:space="preserve">by</w:t>
      </w:r>
      <w:r>
        <w:rPr>
          <w:b/>
          <w:bCs/>
        </w:rPr>
        <w:t xml:space="preserve"> </w:t>
      </w:r>
      <w:r>
        <w:rPr>
          <w:b/>
          <w:bCs/>
        </w:rPr>
        <w:t xml:space="preserve">SWN</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Evidentiary</w:t>
      </w:r>
      <w:r>
        <w:rPr>
          <w:b/>
          <w:bCs/>
        </w:rPr>
        <w:t xml:space="preserve"> </w:t>
      </w:r>
      <w:r>
        <w:rPr>
          <w:b/>
          <w:bCs/>
        </w:rPr>
        <w:t xml:space="preserve">Hearing</w:t>
      </w:r>
    </w:p>
    <w:p>
      <w:pPr>
        <w:pStyle w:val="BodyText"/>
      </w:pPr>
      <w:r>
        <w:t xml:space="preserve">Despite again reciting its tome of extra-jurisdictional case law on administrative due process concerns, the City misunderstands SWN’s due process argument in this case. SWN is not asking that the BZA’s decision be reversed because it was deprived of due process. Although SWN maintains it was most certainly deprived its due process rights at the BZA level, that deprivation was cured (at least in part) when the Circuit Court agreed that SWN’s due process rights had been violated and granted SWN’s motion to hold the Evidentiary Hearing. In this appeal, SWN is merely asserting that the Circuit Court abused its discretion by capriciously disregarding substantial evidence that it heard at the Evidentiary Hearing, which was only held because the Circuit Court agreed that the BZA deprived SWN of its due process rights in the first place.</w:t>
      </w:r>
    </w:p>
    <w:p>
      <w:pPr>
        <w:pStyle w:val="BodyText"/>
      </w:pPr>
      <w:r>
        <w:t xml:space="preserve">Regardless, it now appears that the City agrees with SWN that at least some of the evidence introduced by SWN at the Evidentiary Hearing should have been considered by the Circuit Court. See Response Brief, a p. 38 (“[E]ven if Petitioner could establish some due process right beyond the procedures clearly provided by the BZA, the Circuit Court granted Petitioner unfettered opportunity to present any additional evidence…”) (emphasis added); Response Brief, a p. 45 (“Nor can Petitioner establish violation of a due process requirement for administrative zoning hearing when…the Circuit Court offered Petitioner an additional opportunity to submit testimony and evidence.”). The only disagreement between SWN and the City now appears to be the scope of the evidence at the Evidentiary Hearing that should have been considered by the Circuit Cout.</w:t>
      </w:r>
    </w:p>
    <w:p>
      <w:pPr>
        <w:pStyle w:val="BodyText"/>
      </w:pPr>
      <w:r>
        <w:t xml:space="preserve">The City maintains that only the rebuttal testimony of Mr. Walentosky relating to hydrogeological issues should be considered in the substantial evidence analysis. See Response Brief, at p. 41</w:t>
      </w:r>
      <w:r>
        <w:noBreakHyphen/>
      </w:r>
      <w:r>
        <w:t xml:space="preserve">42 (“In particular, Petitioner argues that it should have been permitted to offer a geology report and testimony of a geologist at the September 7, 2021, hearing before the BZA or be permitted to continue the hearing to a third hearing date to offer rebuttal evidence.”); Response Brief, at p. 40 (“Petitioner contends that it was denied due process because it was denied the opportunity to present a geologist report in rebuttal to testimony presented to the BZA at the second hearing the BZA held”). The reason for the City’s position is obvious: When SWN was finally offered a full and fair opportunity at the Evidentiary Hearing to rebut the unsubstantiated testimony of the public regarding traffic and other compatibility concerns, SWN’s experts systematically dismantled the BZA’s asserted reasons for denial.</w:t>
      </w:r>
    </w:p>
    <w:p>
      <w:pPr>
        <w:pStyle w:val="BodyText"/>
      </w:pPr>
      <w:r>
        <w:t xml:space="preserve">The City’s argument that SWN only requested rebuttal testimony with respect to hydrogeological concerns (and as a result the Circuit Court’s consideration should have been limited to such) is more than disingenuous. Rather, it is outright deceitful and belied by the record. SWN’s counsel, on multiple occasions, asked for an additional hearing to provide rebuttal evidence. See (A. 1540) (“As I had mentioned earlier, we will be here next month, and we would like the opportunity to present a rebuttal case at next month’s zoning hearing.”) (emphasis added); (A. 1542) (“We’re not asking for 40 hearings. There’s always a right to rebuttal. It’s our application. There are a lot of issues that were just raised for the first time today. And how would we – anticipate everything that’s going to be raised?”) (A. 1543) (“[W]e put on our case, you put on your case, we have a chance to respond to it. We’re going to be here next [] month.”) (emphasis added); (A. 1550). Thus, it is more than clear SWN’s counsel requested a continuance to allow for rebuttal to the myriad of unsubstantiated concerns raised by the public and City.</w:t>
      </w:r>
    </w:p>
    <w:p>
      <w:pPr>
        <w:pStyle w:val="BodyText"/>
      </w:pPr>
      <w:r>
        <w:t xml:space="preserve">Because the Circuit Court granted SWN’s motion to hold the Evidentiary Hearing and then arbitrarily chose to consider only some of the evidence presented by SWN, while capriciously disregarding the remainder of the substantial evidence presented to it, the Circuit Court abused its discretion. Therefore, this Court should consider all of the evidence presented by SWN at the Evidentiary Hearing in evaluating the Circuit Court’s substantial evidence analysis, which evidence demonstrates that SWN complied with all of the UDO’s criteria for conditional uses.</w:t>
      </w:r>
    </w:p>
    <w:p>
      <w:pPr>
        <w:keepNext/>
        <w:keepLines/>
        <w:spacing w:before="288" w:after="240" w:line="276" w:lineRule="exact"/>
        <w:ind w:left="0" w:firstLine="0"/>
        <w:jc w:val="center"/>
      </w:pPr>
      <w:r>
        <w:rPr>
          <w:b/>
          <w:bCs/>
        </w:rPr>
        <w:t xml:space="preserve">III.</w:t>
      </w:r>
      <w:r>
        <w:rPr>
          <w:b/>
          <w:bCs/>
        </w:rPr>
        <w:t xml:space="preserve"> </w:t>
      </w:r>
      <w:r>
        <w:rPr>
          <w:b/>
          <w:bCs/>
        </w:rPr>
        <w:t xml:space="preserve">CONCLUSION</w:t>
      </w:r>
    </w:p>
    <w:p>
      <w:pPr>
        <w:pStyle w:val="BodyTextNote"/>
      </w:pPr>
      <w:r>
        <w:t xml:space="preserve">If this case does not represent a set of facts where a zoning board’s denial is not supported by substantial evidence, it is difficult to imagine a scenario where a denial could ever be overturned by an appellate court.</w:t>
      </w:r>
      <w:r>
        <w:rPr>
          <w:rStyle w:val="FootnoteReference"/>
        </w:rPr>
        <w:footnoteReference w:id="27"/>
      </w:r>
      <w:r>
        <w:t xml:space="preserve"> </w:t>
      </w:r>
      <w:r>
        <w:t xml:space="preserve">Accordingly, SWN respectfully requests that this Honorable Court reverse the ICA Memorandum Decision, but nevertheless assume jurisdiction over the merits of this appeal and order that the City and BZA immediately issue the conditional use permit requested by SWN.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September</w:t>
            </w:r>
            <w:r>
              <w:t xml:space="preserve"> </w:t>
            </w:r>
            <w:r>
              <w:t xml:space="preserve">9,</w:t>
            </w:r>
            <w:r>
              <w:t xml:space="preserve"> </w:t>
            </w:r>
            <w:r>
              <w:t xml:space="preserve">2024</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rPr>
                      <w:b/>
                      <w:bCs/>
                    </w:rPr>
                    <w:t xml:space="preserve">Buchanan</w:t>
                  </w:r>
                  <w:r>
                    <w:rPr>
                      <w:b/>
                      <w:bCs/>
                    </w:rPr>
                    <w:t xml:space="preserve"> </w:t>
                  </w:r>
                  <w:r>
                    <w:rPr>
                      <w:b/>
                      <w:bCs/>
                    </w:rPr>
                    <w:t xml:space="preserve">Ingersoll</w:t>
                  </w:r>
                  <w:r>
                    <w:rPr>
                      <w:b/>
                      <w:bCs/>
                    </w:rPr>
                    <w:t xml:space="preserve"> </w:t>
                  </w:r>
                  <w:r>
                    <w:rPr>
                      <w:b/>
                      <w:bCs/>
                    </w:rPr>
                    <w:t xml:space="preserve">&amp;</w:t>
                  </w:r>
                  <w:r>
                    <w:rPr>
                      <w:b/>
                      <w:bCs/>
                    </w:rPr>
                    <w:t xml:space="preserve"> </w:t>
                  </w:r>
                  <w:r>
                    <w:rPr>
                      <w:b/>
                      <w:bCs/>
                    </w:rPr>
                    <w:t xml:space="preserve">Rooney</w:t>
                  </w:r>
                  <w:r>
                    <w:rPr>
                      <w:b/>
                      <w:bCs/>
                    </w:rPr>
                    <w:t xml:space="preserve"> </w:t>
                  </w:r>
                  <w:r>
                    <w:rPr>
                      <w:b/>
                      <w:bCs/>
                    </w:rPr>
                    <w:t xml:space="preserve">LLP</w:t>
                  </w:r>
                </w:p>
                <w:p>
                  <w:pPr>
                    <w:spacing w:before="240" w:after="0" w:line="276" w:lineRule="exact"/>
                    <w:ind w:left="4608" w:firstLine="0"/>
                    <w:jc w:val="left"/>
                  </w:pPr>
                  <w:r>
                    <w:rPr>
                      <w:u w:val="single"/>
                    </w:rPr>
                    <w:t xml:space="preserve">/s/</w:t>
                  </w:r>
                  <w:r>
                    <w:rPr>
                      <w:u w:val="single"/>
                    </w:rPr>
                    <w:t xml:space="preserve"> </w:t>
                  </w:r>
                  <w:r>
                    <w:rPr>
                      <w:i/>
                      <w:iCs/>
                      <w:u w:val="single"/>
                    </w:rPr>
                    <w:t xml:space="preserve">Shawn</w:t>
                  </w:r>
                  <w:r>
                    <w:rPr>
                      <w:i/>
                      <w:iCs/>
                      <w:u w:val="single"/>
                    </w:rPr>
                    <w:t xml:space="preserve"> </w:t>
                  </w:r>
                  <w:r>
                    <w:rPr>
                      <w:i/>
                      <w:iCs/>
                      <w:u w:val="single"/>
                    </w:rPr>
                    <w:t xml:space="preserve">N.</w:t>
                  </w:r>
                  <w:r>
                    <w:rPr>
                      <w:i/>
                      <w:iCs/>
                      <w:u w:val="single"/>
                    </w:rPr>
                    <w:t xml:space="preserve"> </w:t>
                  </w:r>
                  <w:r>
                    <w:rPr>
                      <w:i/>
                      <w:iCs/>
                      <w:u w:val="single"/>
                    </w:rPr>
                    <w:t xml:space="preserve">Gallagher</w:t>
                  </w:r>
                </w:p>
                <w:p>
                  <w:pPr>
                    <w:spacing w:before="0" w:after="0" w:line="276" w:lineRule="exact"/>
                    <w:ind w:left="4608" w:firstLine="0"/>
                    <w:jc w:val="left"/>
                  </w:pPr>
                  <w:r>
                    <w:t xml:space="preserve">Shawn</w:t>
                  </w:r>
                  <w:r>
                    <w:t xml:space="preserve"> </w:t>
                  </w:r>
                  <w:r>
                    <w:t xml:space="preserve">N.</w:t>
                  </w:r>
                  <w:r>
                    <w:t xml:space="preserve"> </w:t>
                  </w:r>
                  <w:r>
                    <w:t xml:space="preserve">Gallagher</w:t>
                  </w:r>
                </w:p>
                <w:p>
                  <w:pPr>
                    <w:spacing w:before="0" w:after="0" w:line="276" w:lineRule="exact"/>
                    <w:ind w:left="4608" w:firstLine="0"/>
                    <w:jc w:val="left"/>
                  </w:pPr>
                  <w:r>
                    <w:t xml:space="preserve">WV</w:t>
                  </w:r>
                  <w:r>
                    <w:t xml:space="preserve"> </w:t>
                  </w:r>
                  <w:r>
                    <w:t xml:space="preserve">I.D.</w:t>
                  </w:r>
                  <w:r>
                    <w:t xml:space="preserve"> </w:t>
                  </w:r>
                  <w:r>
                    <w:t xml:space="preserve">No.</w:t>
                  </w:r>
                  <w:r>
                    <w:t xml:space="preserve"> </w:t>
                  </w:r>
                  <w:r>
                    <w:t xml:space="preserve">12853</w:t>
                  </w:r>
                </w:p>
                <w:p>
                  <w:pPr>
                    <w:spacing w:before="240" w:after="0" w:line="276" w:lineRule="exact"/>
                    <w:ind w:left="4608" w:firstLine="0"/>
                    <w:jc w:val="left"/>
                  </w:pPr>
                  <w:r>
                    <w:rPr>
                      <w:u w:val="single"/>
                    </w:rPr>
                    <w:t xml:space="preserve">/s/</w:t>
                  </w:r>
                  <w:r>
                    <w:rPr>
                      <w:u w:val="single"/>
                    </w:rPr>
                    <w:t xml:space="preserve"> </w:t>
                  </w:r>
                  <w:r>
                    <w:rPr>
                      <w:i/>
                      <w:iCs/>
                      <w:u w:val="single"/>
                    </w:rPr>
                    <w:t xml:space="preserve">Kathleen</w:t>
                  </w:r>
                  <w:r>
                    <w:rPr>
                      <w:i/>
                      <w:iCs/>
                      <w:u w:val="single"/>
                    </w:rPr>
                    <w:t xml:space="preserve"> </w:t>
                  </w:r>
                  <w:r>
                    <w:rPr>
                      <w:i/>
                      <w:iCs/>
                      <w:u w:val="single"/>
                    </w:rPr>
                    <w:t xml:space="preserve">J.</w:t>
                  </w:r>
                  <w:r>
                    <w:rPr>
                      <w:i/>
                      <w:iCs/>
                      <w:u w:val="single"/>
                    </w:rPr>
                    <w:t xml:space="preserve"> </w:t>
                  </w:r>
                  <w:r>
                    <w:rPr>
                      <w:i/>
                      <w:iCs/>
                      <w:u w:val="single"/>
                    </w:rPr>
                    <w:t xml:space="preserve">Goldman</w:t>
                  </w:r>
                </w:p>
                <w:p>
                  <w:pPr>
                    <w:spacing w:before="0" w:after="0" w:line="276" w:lineRule="exact"/>
                    <w:ind w:left="4608" w:firstLine="0"/>
                    <w:jc w:val="left"/>
                  </w:pPr>
                  <w:r>
                    <w:t xml:space="preserve">Kathleen</w:t>
                  </w:r>
                  <w:r>
                    <w:t xml:space="preserve"> </w:t>
                  </w:r>
                  <w:r>
                    <w:t xml:space="preserve">J.</w:t>
                  </w:r>
                  <w:r>
                    <w:t xml:space="preserve"> </w:t>
                  </w:r>
                  <w:r>
                    <w:t xml:space="preserve">Goldman</w:t>
                  </w:r>
                </w:p>
                <w:p>
                  <w:pPr>
                    <w:spacing w:before="0" w:after="0" w:line="276" w:lineRule="exact"/>
                    <w:ind w:left="4608" w:firstLine="0"/>
                    <w:jc w:val="left"/>
                  </w:pPr>
                  <w:r>
                    <w:t xml:space="preserve">WV</w:t>
                  </w:r>
                  <w:r>
                    <w:t xml:space="preserve"> </w:t>
                  </w:r>
                  <w:r>
                    <w:t xml:space="preserve">I.D.</w:t>
                  </w:r>
                  <w:r>
                    <w:t xml:space="preserve"> </w:t>
                  </w:r>
                  <w:r>
                    <w:t xml:space="preserve">No.</w:t>
                  </w:r>
                  <w:r>
                    <w:t xml:space="preserve"> </w:t>
                  </w:r>
                  <w:r>
                    <w:t xml:space="preserve">6917</w:t>
                  </w:r>
                </w:p>
                <w:p>
                  <w:pPr>
                    <w:spacing w:before="192" w:after="0" w:line="276" w:lineRule="exact"/>
                    <w:ind w:left="4608" w:firstLine="0"/>
                    <w:jc w:val="left"/>
                  </w:pPr>
                  <w:r>
                    <w:t xml:space="preserve">Union</w:t>
                  </w:r>
                  <w:r>
                    <w:t xml:space="preserve"> </w:t>
                  </w:r>
                  <w:r>
                    <w:t xml:space="preserve">Trust</w:t>
                  </w:r>
                  <w:r>
                    <w:t xml:space="preserve"> </w:t>
                  </w:r>
                  <w:r>
                    <w:t xml:space="preserve">Building,</w:t>
                  </w:r>
                  <w:r>
                    <w:t xml:space="preserve"> </w:t>
                  </w:r>
                  <w:r>
                    <w:t xml:space="preserve">Suite</w:t>
                  </w:r>
                  <w:r>
                    <w:t xml:space="preserve"> </w:t>
                  </w:r>
                  <w:r>
                    <w:t xml:space="preserve">200</w:t>
                  </w:r>
                </w:p>
                <w:p>
                  <w:pPr>
                    <w:spacing w:before="0" w:after="0" w:line="276" w:lineRule="exact"/>
                    <w:ind w:left="4608" w:firstLine="0"/>
                    <w:jc w:val="left"/>
                  </w:pPr>
                  <w:r>
                    <w:t xml:space="preserve">501</w:t>
                  </w:r>
                  <w:r>
                    <w:t xml:space="preserve"> </w:t>
                  </w:r>
                  <w:r>
                    <w:t xml:space="preserve">Grant</w:t>
                  </w:r>
                  <w:r>
                    <w:t xml:space="preserve"> </w:t>
                  </w:r>
                  <w:r>
                    <w:t xml:space="preserve">Street</w:t>
                  </w:r>
                </w:p>
                <w:p>
                  <w:pPr>
                    <w:spacing w:before="0" w:after="0" w:line="276" w:lineRule="exact"/>
                    <w:ind w:left="4608" w:firstLine="0"/>
                    <w:jc w:val="left"/>
                  </w:pPr>
                  <w:r>
                    <w:t xml:space="preserve">Pittsburgh,</w:t>
                  </w:r>
                  <w:r>
                    <w:t xml:space="preserve"> </w:t>
                  </w:r>
                  <w:r>
                    <w:t xml:space="preserve">PA</w:t>
                  </w:r>
                  <w:r>
                    <w:t xml:space="preserve"> </w:t>
                  </w:r>
                  <w:r>
                    <w:t xml:space="preserve">15219</w:t>
                  </w:r>
                </w:p>
                <w:p>
                  <w:pPr>
                    <w:spacing w:before="0" w:after="0" w:line="276" w:lineRule="exact"/>
                    <w:ind w:left="4608" w:firstLine="0"/>
                    <w:jc w:val="left"/>
                  </w:pPr>
                  <w:r>
                    <w:t xml:space="preserve">(412)</w:t>
                  </w:r>
                  <w:r>
                    <w:t xml:space="preserve"> </w:t>
                  </w:r>
                  <w:r>
                    <w:t xml:space="preserve">562</w:t>
                    <w:noBreakHyphen/>
                    <w:t xml:space="preserve">8362</w:t>
                  </w:r>
                </w:p>
                <w:p>
                  <w:pPr>
                    <w:spacing w:before="0" w:after="0" w:line="276" w:lineRule="exact"/>
                    <w:ind w:left="4608" w:firstLine="0"/>
                    <w:jc w:val="left"/>
                  </w:pPr>
                  <w:r>
                    <w:t xml:space="preserve">Counsel</w:t>
                  </w:r>
                  <w:r>
                    <w:t xml:space="preserve"> </w:t>
                  </w:r>
                  <w:r>
                    <w:t xml:space="preserve">for</w:t>
                  </w:r>
                  <w:r>
                    <w:t xml:space="preserve"> </w:t>
                  </w:r>
                  <w:r>
                    <w:t xml:space="preserve">Petitioner</w:t>
                  </w:r>
                </w:p>
              </w:tc>
            </w:tr>
          </w:tbl>
          <w:p>
            <w:pPr>
              <w:spacing w:before="0" w:after="0" w:line="1" w:lineRule="exact"/>
            </w:pPr>
          </w:p>
        </w:tc>
      </w:tr>
    </w:tbl>
    <w:p>
      <w:pPr>
        <w:pageBreakBefore/>
        <w:spacing w:before="0" w:after="0" w:line="1" w:lineRule="exact"/>
      </w:pPr>
    </w:p>
    <w:p>
      <w:pPr>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9th</w:t>
      </w:r>
      <w:r>
        <w:t xml:space="preserve"> </w:t>
      </w:r>
      <w:r>
        <w:t xml:space="preserve">day</w:t>
      </w:r>
      <w:r>
        <w:t xml:space="preserve"> </w:t>
      </w:r>
      <w:r>
        <w:t xml:space="preserve">of</w:t>
      </w:r>
      <w:r>
        <w:t xml:space="preserve"> </w:t>
      </w:r>
      <w:r>
        <w:t xml:space="preserve">September,</w:t>
      </w:r>
      <w:r>
        <w:t xml:space="preserve"> </w:t>
      </w:r>
      <w:r>
        <w:t xml:space="preserve">2024,</w:t>
      </w:r>
      <w:r>
        <w:t xml:space="preserve"> </w:t>
      </w:r>
      <w:r>
        <w:t xml:space="preserve">I</w:t>
      </w:r>
      <w:r>
        <w:t xml:space="preserve"> </w:t>
      </w:r>
      <w:r>
        <w:t xml:space="preserve">served</w:t>
      </w:r>
      <w:r>
        <w:t xml:space="preserve"> </w:t>
      </w:r>
      <w:r>
        <w:t xml:space="preserve">the</w:t>
      </w:r>
      <w:r>
        <w:t xml:space="preserve"> </w:t>
      </w:r>
      <w:r>
        <w:t xml:space="preserve">foregoing</w:t>
      </w:r>
      <w:r>
        <w:t xml:space="preserve"> </w:t>
      </w:r>
      <w:r>
        <w:t xml:space="preserve">Reply</w:t>
      </w:r>
      <w:r>
        <w:t xml:space="preserve"> </w:t>
      </w:r>
      <w:r>
        <w:t xml:space="preserve">Brief</w:t>
      </w:r>
      <w:r>
        <w:t xml:space="preserve"> </w:t>
      </w:r>
      <w:r>
        <w:t xml:space="preserve">of</w:t>
      </w:r>
      <w:r>
        <w:t xml:space="preserve"> </w:t>
      </w:r>
      <w:r>
        <w:t xml:space="preserve">Petitioner</w:t>
      </w:r>
      <w:r>
        <w:t xml:space="preserve"> </w:t>
      </w:r>
      <w:r>
        <w:t xml:space="preserve">upon</w:t>
      </w:r>
      <w:r>
        <w:t xml:space="preserve"> </w:t>
      </w:r>
      <w:r>
        <w:t xml:space="preserve">the</w:t>
      </w:r>
      <w:r>
        <w:t xml:space="preserve"> </w:t>
      </w:r>
      <w:r>
        <w:t xml:space="preserve">Respondents’</w:t>
      </w:r>
      <w:r>
        <w:t xml:space="preserve"> </w:t>
      </w:r>
      <w:r>
        <w:t xml:space="preserve">counsel</w:t>
      </w:r>
      <w:r>
        <w:t xml:space="preserve"> </w:t>
      </w:r>
      <w:r>
        <w:t xml:space="preserve">via</w:t>
      </w:r>
      <w:r>
        <w:t xml:space="preserve"> </w:t>
      </w:r>
      <w:r>
        <w:t xml:space="preserve">the</w:t>
      </w:r>
      <w:r>
        <w:t xml:space="preserve"> </w:t>
      </w:r>
      <w:r>
        <w:t xml:space="preserve">West</w:t>
      </w:r>
      <w:r>
        <w:t xml:space="preserve"> </w:t>
      </w:r>
      <w:r>
        <w:t xml:space="preserve">Virginia</w:t>
      </w:r>
      <w:r>
        <w:t xml:space="preserve"> </w:t>
      </w:r>
      <w:r>
        <w:t xml:space="preserve">E-Filing</w:t>
      </w:r>
      <w:r>
        <w:t xml:space="preserve"> </w:t>
      </w:r>
      <w:r>
        <w:t xml:space="preserve">System</w:t>
      </w:r>
      <w:r>
        <w:t xml:space="preserve"> </w:t>
      </w:r>
      <w:r>
        <w:t xml:space="preserve">(File</w:t>
      </w:r>
      <w:r>
        <w:t xml:space="preserve"> </w:t>
      </w:r>
      <w:r>
        <w:t xml:space="preserve">&amp;</w:t>
      </w:r>
      <w:r>
        <w:t xml:space="preserve"> </w:t>
      </w:r>
      <w:r>
        <w:t xml:space="preserve">Serve</w:t>
      </w:r>
      <w:r>
        <w:t xml:space="preserve"> </w:t>
      </w:r>
      <w:r>
        <w:t xml:space="preserve">Express),</w:t>
      </w:r>
      <w:r>
        <w:t xml:space="preserve"> </w:t>
      </w:r>
      <w:r>
        <w:t xml:space="preserve">to</w:t>
      </w:r>
      <w:r>
        <w:t xml:space="preserve"> </w:t>
      </w:r>
      <w:r>
        <w:t xml:space="preserve">the</w:t>
      </w:r>
      <w:r>
        <w:t xml:space="preserve"> </w:t>
      </w:r>
      <w:r>
        <w:t xml:space="preserve">following:</w:t>
      </w:r>
    </w:p>
    <w:p>
      <w:pPr>
        <w:spacing w:before="192" w:after="0" w:line="276" w:lineRule="exact"/>
        <w:ind w:left="1440" w:firstLine="0"/>
        <w:jc w:val="left"/>
      </w:pPr>
      <w:r>
        <w:t xml:space="preserve">Vincent</w:t>
      </w:r>
      <w:r>
        <w:t xml:space="preserve"> </w:t>
      </w:r>
      <w:r>
        <w:t xml:space="preserve">S.</w:t>
      </w:r>
      <w:r>
        <w:t xml:space="preserve"> </w:t>
      </w:r>
      <w:r>
        <w:t xml:space="preserve">Gurrera,</w:t>
      </w:r>
      <w:r>
        <w:t xml:space="preserve"> </w:t>
      </w:r>
      <w:r>
        <w:t xml:space="preserve">Esq.</w:t>
      </w:r>
    </w:p>
    <w:p>
      <w:pPr>
        <w:spacing w:before="0" w:after="0" w:line="276" w:lineRule="exact"/>
        <w:ind w:left="1440" w:firstLine="0"/>
        <w:jc w:val="left"/>
      </w:pPr>
      <w:r>
        <w:t xml:space="preserve">Gurrera</w:t>
      </w:r>
      <w:r>
        <w:t xml:space="preserve"> </w:t>
      </w:r>
      <w:r>
        <w:t xml:space="preserve">Law</w:t>
      </w:r>
      <w:r>
        <w:t xml:space="preserve"> </w:t>
      </w:r>
      <w:r>
        <w:t xml:space="preserve">Offices,</w:t>
      </w:r>
      <w:r>
        <w:t xml:space="preserve"> </w:t>
      </w:r>
      <w:r>
        <w:t xml:space="preserve">PLLC</w:t>
      </w:r>
    </w:p>
    <w:p>
      <w:pPr>
        <w:spacing w:before="0" w:after="0" w:line="276" w:lineRule="exact"/>
        <w:ind w:left="1440" w:firstLine="0"/>
        <w:jc w:val="left"/>
      </w:pPr>
      <w:r>
        <w:t xml:space="preserve">P.O.</w:t>
      </w:r>
      <w:r>
        <w:t xml:space="preserve"> </w:t>
      </w:r>
      <w:r>
        <w:t xml:space="preserve">Box</w:t>
      </w:r>
      <w:r>
        <w:t xml:space="preserve"> </w:t>
      </w:r>
      <w:r>
        <w:t xml:space="preserve">2308</w:t>
      </w:r>
    </w:p>
    <w:p>
      <w:pPr>
        <w:spacing w:before="0" w:after="0" w:line="276" w:lineRule="exact"/>
        <w:ind w:left="1440" w:firstLine="0"/>
        <w:jc w:val="left"/>
      </w:pPr>
      <w:r>
        <w:t xml:space="preserve">Weirton,</w:t>
      </w:r>
      <w:r>
        <w:t xml:space="preserve"> </w:t>
      </w:r>
      <w:r>
        <w:t xml:space="preserve">WV</w:t>
      </w:r>
      <w:r>
        <w:t xml:space="preserve"> </w:t>
      </w:r>
      <w:r>
        <w:t xml:space="preserve">26062</w:t>
      </w:r>
    </w:p>
    <w:p>
      <w:pPr>
        <w:spacing w:before="192" w:after="0" w:line="276" w:lineRule="exact"/>
        <w:ind w:left="1440" w:firstLine="0"/>
        <w:jc w:val="left"/>
      </w:pPr>
      <w:r>
        <w:t xml:space="preserve">Daniel</w:t>
      </w:r>
      <w:r>
        <w:t xml:space="preserve"> </w:t>
      </w:r>
      <w:r>
        <w:t xml:space="preserve">J.</w:t>
      </w:r>
      <w:r>
        <w:t xml:space="preserve"> </w:t>
      </w:r>
      <w:r>
        <w:t xml:space="preserve">Guida,</w:t>
      </w:r>
      <w:r>
        <w:t xml:space="preserve"> </w:t>
      </w:r>
      <w:r>
        <w:t xml:space="preserve">Esq.</w:t>
      </w:r>
    </w:p>
    <w:p>
      <w:pPr>
        <w:spacing w:before="0" w:after="0" w:line="276" w:lineRule="exact"/>
        <w:ind w:left="1440" w:firstLine="0"/>
        <w:jc w:val="left"/>
      </w:pPr>
      <w:r>
        <w:t xml:space="preserve">Guida</w:t>
      </w:r>
      <w:r>
        <w:t xml:space="preserve"> </w:t>
      </w:r>
      <w:r>
        <w:t xml:space="preserve">Law</w:t>
      </w:r>
      <w:r>
        <w:t xml:space="preserve"> </w:t>
      </w:r>
      <w:r>
        <w:t xml:space="preserve">Offices</w:t>
      </w:r>
    </w:p>
    <w:p>
      <w:pPr>
        <w:spacing w:before="0" w:after="0" w:line="276" w:lineRule="exact"/>
        <w:ind w:left="1440" w:firstLine="0"/>
        <w:jc w:val="left"/>
      </w:pPr>
      <w:r>
        <w:t xml:space="preserve">3374</w:t>
      </w:r>
      <w:r>
        <w:t xml:space="preserve"> </w:t>
      </w:r>
      <w:r>
        <w:t xml:space="preserve">Main</w:t>
      </w:r>
      <w:r>
        <w:t xml:space="preserve"> </w:t>
      </w:r>
      <w:r>
        <w:t xml:space="preserve">Street</w:t>
      </w:r>
    </w:p>
    <w:p>
      <w:pPr>
        <w:spacing w:before="0" w:after="0" w:line="276" w:lineRule="exact"/>
        <w:ind w:left="1440" w:firstLine="0"/>
        <w:jc w:val="left"/>
      </w:pPr>
      <w:r>
        <w:t xml:space="preserve">Weirton,</w:t>
      </w:r>
      <w:r>
        <w:t xml:space="preserve"> </w:t>
      </w:r>
      <w:r>
        <w:t xml:space="preserve">WV</w:t>
      </w:r>
      <w:r>
        <w:t xml:space="preserve"> </w:t>
      </w:r>
      <w:r>
        <w:t xml:space="preserve">26062</w:t>
      </w:r>
    </w:p>
    <w:p>
      <w:pPr>
        <w:spacing w:before="192" w:after="0" w:line="276" w:lineRule="exact"/>
        <w:ind w:left="1440" w:firstLine="0"/>
        <w:jc w:val="left"/>
      </w:pPr>
      <w:r>
        <w:t xml:space="preserve">Ryan</w:t>
      </w:r>
      <w:r>
        <w:t xml:space="preserve"> </w:t>
      </w:r>
      <w:r>
        <w:t xml:space="preserve">P.</w:t>
      </w:r>
      <w:r>
        <w:t xml:space="preserve"> </w:t>
      </w:r>
      <w:r>
        <w:t xml:space="preserve">Simonton,</w:t>
      </w:r>
      <w:r>
        <w:t xml:space="preserve"> </w:t>
      </w:r>
      <w:r>
        <w:t xml:space="preserve">Esq.</w:t>
      </w:r>
    </w:p>
    <w:p>
      <w:pPr>
        <w:spacing w:before="0" w:after="0" w:line="276" w:lineRule="exact"/>
        <w:ind w:left="1440" w:firstLine="0"/>
        <w:jc w:val="left"/>
      </w:pPr>
      <w:r>
        <w:t xml:space="preserve">Margaret</w:t>
      </w:r>
      <w:r>
        <w:t xml:space="preserve"> </w:t>
      </w:r>
      <w:r>
        <w:t xml:space="preserve">E.</w:t>
      </w:r>
      <w:r>
        <w:t xml:space="preserve"> </w:t>
      </w:r>
      <w:r>
        <w:t xml:space="preserve">Lewis,</w:t>
      </w:r>
      <w:r>
        <w:t xml:space="preserve"> </w:t>
      </w:r>
      <w:r>
        <w:t xml:space="preserve">Esq.</w:t>
      </w:r>
    </w:p>
    <w:p>
      <w:pPr>
        <w:spacing w:before="0" w:after="0" w:line="276" w:lineRule="exact"/>
        <w:ind w:left="1440" w:firstLine="0"/>
        <w:jc w:val="left"/>
      </w:pPr>
      <w:r>
        <w:t xml:space="preserve">Kay</w:t>
      </w:r>
      <w:r>
        <w:t xml:space="preserve"> </w:t>
      </w:r>
      <w:r>
        <w:t xml:space="preserve">Casto</w:t>
      </w:r>
      <w:r>
        <w:t xml:space="preserve"> </w:t>
      </w:r>
      <w:r>
        <w:t xml:space="preserve">&amp;</w:t>
      </w:r>
      <w:r>
        <w:t xml:space="preserve"> </w:t>
      </w:r>
      <w:r>
        <w:t xml:space="preserve">Chaney,</w:t>
      </w:r>
      <w:r>
        <w:t xml:space="preserve"> </w:t>
      </w:r>
      <w:r>
        <w:t xml:space="preserve">PLLC</w:t>
      </w:r>
    </w:p>
    <w:p>
      <w:pPr>
        <w:spacing w:before="0" w:after="0" w:line="276" w:lineRule="exact"/>
        <w:ind w:left="1440" w:firstLine="0"/>
        <w:jc w:val="left"/>
      </w:pPr>
      <w:r>
        <w:t xml:space="preserve">150</w:t>
      </w:r>
      <w:r>
        <w:t xml:space="preserve"> </w:t>
      </w:r>
      <w:r>
        <w:t xml:space="preserve">Clay</w:t>
      </w:r>
      <w:r>
        <w:t xml:space="preserve"> </w:t>
      </w:r>
      <w:r>
        <w:t xml:space="preserve">Street,</w:t>
      </w:r>
      <w:r>
        <w:t xml:space="preserve"> </w:t>
      </w:r>
      <w:r>
        <w:t xml:space="preserve">Suite</w:t>
      </w:r>
      <w:r>
        <w:t xml:space="preserve"> </w:t>
      </w:r>
      <w:r>
        <w:t xml:space="preserve">100</w:t>
      </w:r>
    </w:p>
    <w:p>
      <w:pPr>
        <w:spacing w:before="0" w:after="0" w:line="276" w:lineRule="exact"/>
        <w:ind w:left="1440" w:firstLine="0"/>
        <w:jc w:val="left"/>
      </w:pPr>
      <w:r>
        <w:t xml:space="preserve">Morgantown,</w:t>
      </w:r>
      <w:r>
        <w:t xml:space="preserve"> </w:t>
      </w:r>
      <w:r>
        <w:t xml:space="preserve">WV</w:t>
      </w:r>
      <w:r>
        <w:t xml:space="preserve"> </w:t>
      </w:r>
      <w:r>
        <w:t xml:space="preserve">26505</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rPr>
                <w:b/>
                <w:bCs/>
              </w:rPr>
              <w:t xml:space="preserve">Buchanan</w:t>
            </w:r>
            <w:r>
              <w:rPr>
                <w:b/>
                <w:bCs/>
              </w:rPr>
              <w:t xml:space="preserve"> </w:t>
            </w:r>
            <w:r>
              <w:rPr>
                <w:b/>
                <w:bCs/>
              </w:rPr>
              <w:t xml:space="preserve">Ingersoll</w:t>
            </w:r>
            <w:r>
              <w:rPr>
                <w:b/>
                <w:bCs/>
              </w:rPr>
              <w:t xml:space="preserve"> </w:t>
            </w:r>
            <w:r>
              <w:rPr>
                <w:b/>
                <w:bCs/>
              </w:rPr>
              <w:t xml:space="preserve">&amp;</w:t>
            </w:r>
            <w:r>
              <w:rPr>
                <w:b/>
                <w:bCs/>
              </w:rPr>
              <w:t xml:space="preserve"> </w:t>
            </w:r>
            <w:r>
              <w:rPr>
                <w:b/>
                <w:bCs/>
              </w:rPr>
              <w:t xml:space="preserve">Rooney</w:t>
            </w:r>
            <w:r>
              <w:rPr>
                <w:b/>
                <w:bCs/>
              </w:rPr>
              <w:t xml:space="preserve"> </w:t>
            </w:r>
            <w:r>
              <w:rPr>
                <w:b/>
                <w:bCs/>
              </w:rPr>
              <w:t xml:space="preserve">LLP</w:t>
            </w:r>
          </w:p>
          <w:p>
            <w:pPr>
              <w:spacing w:before="240" w:after="0" w:line="276" w:lineRule="exact"/>
              <w:ind w:left="4608" w:firstLine="0"/>
              <w:jc w:val="left"/>
            </w:pPr>
            <w:r>
              <w:rPr>
                <w:u w:val="single"/>
              </w:rPr>
              <w:t xml:space="preserve">/s/</w:t>
            </w:r>
            <w:r>
              <w:rPr>
                <w:u w:val="single"/>
              </w:rPr>
              <w:t xml:space="preserve"> </w:t>
            </w:r>
            <w:r>
              <w:rPr>
                <w:i/>
                <w:iCs/>
                <w:u w:val="single"/>
              </w:rPr>
              <w:t xml:space="preserve">Shawn</w:t>
            </w:r>
            <w:r>
              <w:rPr>
                <w:i/>
                <w:iCs/>
                <w:u w:val="single"/>
              </w:rPr>
              <w:t xml:space="preserve"> </w:t>
            </w:r>
            <w:r>
              <w:rPr>
                <w:i/>
                <w:iCs/>
                <w:u w:val="single"/>
              </w:rPr>
              <w:t xml:space="preserve">N.</w:t>
            </w:r>
            <w:r>
              <w:rPr>
                <w:i/>
                <w:iCs/>
                <w:u w:val="single"/>
              </w:rPr>
              <w:t xml:space="preserve"> </w:t>
            </w:r>
            <w:r>
              <w:rPr>
                <w:i/>
                <w:iCs/>
                <w:u w:val="single"/>
              </w:rPr>
              <w:t xml:space="preserve">Gallagher</w:t>
            </w:r>
          </w:p>
          <w:p>
            <w:pPr>
              <w:spacing w:before="0" w:after="0" w:line="276" w:lineRule="exact"/>
              <w:ind w:left="4608" w:firstLine="0"/>
              <w:jc w:val="left"/>
            </w:pPr>
            <w:r>
              <w:t xml:space="preserve">Shawn</w:t>
            </w:r>
            <w:r>
              <w:t xml:space="preserve"> </w:t>
            </w:r>
            <w:r>
              <w:t xml:space="preserve">N.</w:t>
            </w:r>
            <w:r>
              <w:t xml:space="preserve"> </w:t>
            </w:r>
            <w:r>
              <w:t xml:space="preserve">Gallagher</w:t>
            </w:r>
          </w:p>
          <w:p>
            <w:pPr>
              <w:spacing w:before="0" w:after="0" w:line="276" w:lineRule="exact"/>
              <w:ind w:left="4608" w:firstLine="0"/>
              <w:jc w:val="left"/>
            </w:pPr>
            <w:r>
              <w:t xml:space="preserve">WV</w:t>
            </w:r>
            <w:r>
              <w:t xml:space="preserve"> </w:t>
            </w:r>
            <w:r>
              <w:t xml:space="preserve">I.D.</w:t>
            </w:r>
            <w:r>
              <w:t xml:space="preserve"> </w:t>
            </w:r>
            <w:r>
              <w:t xml:space="preserve">No.</w:t>
            </w:r>
            <w:r>
              <w:t xml:space="preserve"> </w:t>
            </w:r>
            <w:r>
              <w:t xml:space="preserve">12853</w:t>
            </w:r>
          </w:p>
          <w:p>
            <w:pPr>
              <w:spacing w:before="240" w:after="0" w:line="276" w:lineRule="exact"/>
              <w:ind w:left="4608" w:firstLine="0"/>
              <w:jc w:val="left"/>
            </w:pPr>
            <w:r>
              <w:rPr>
                <w:u w:val="single"/>
              </w:rPr>
              <w:t xml:space="preserve">/s/</w:t>
            </w:r>
            <w:r>
              <w:rPr>
                <w:u w:val="single"/>
              </w:rPr>
              <w:t xml:space="preserve"> </w:t>
            </w:r>
            <w:r>
              <w:rPr>
                <w:i/>
                <w:iCs/>
                <w:u w:val="single"/>
              </w:rPr>
              <w:t xml:space="preserve">Kathleen</w:t>
            </w:r>
            <w:r>
              <w:rPr>
                <w:i/>
                <w:iCs/>
                <w:u w:val="single"/>
              </w:rPr>
              <w:t xml:space="preserve"> </w:t>
            </w:r>
            <w:r>
              <w:rPr>
                <w:i/>
                <w:iCs/>
                <w:u w:val="single"/>
              </w:rPr>
              <w:t xml:space="preserve">J.</w:t>
            </w:r>
            <w:r>
              <w:rPr>
                <w:i/>
                <w:iCs/>
                <w:u w:val="single"/>
              </w:rPr>
              <w:t xml:space="preserve"> </w:t>
            </w:r>
            <w:r>
              <w:rPr>
                <w:i/>
                <w:iCs/>
                <w:u w:val="single"/>
              </w:rPr>
              <w:t xml:space="preserve">Goldman</w:t>
            </w:r>
          </w:p>
          <w:p>
            <w:pPr>
              <w:spacing w:before="0" w:after="0" w:line="276" w:lineRule="exact"/>
              <w:ind w:left="4608" w:firstLine="0"/>
              <w:jc w:val="left"/>
            </w:pPr>
            <w:r>
              <w:t xml:space="preserve">Kathleen</w:t>
            </w:r>
            <w:r>
              <w:t xml:space="preserve"> </w:t>
            </w:r>
            <w:r>
              <w:t xml:space="preserve">J.</w:t>
            </w:r>
            <w:r>
              <w:t xml:space="preserve"> </w:t>
            </w:r>
            <w:r>
              <w:t xml:space="preserve">Goldman</w:t>
            </w:r>
          </w:p>
          <w:p>
            <w:pPr>
              <w:spacing w:before="0" w:after="0" w:line="276" w:lineRule="exact"/>
              <w:ind w:left="4608" w:firstLine="0"/>
              <w:jc w:val="left"/>
            </w:pPr>
            <w:r>
              <w:t xml:space="preserve">WV</w:t>
            </w:r>
            <w:r>
              <w:t xml:space="preserve"> </w:t>
            </w:r>
            <w:r>
              <w:t xml:space="preserve">I.D.</w:t>
            </w:r>
            <w:r>
              <w:t xml:space="preserve"> </w:t>
            </w:r>
            <w:r>
              <w:t xml:space="preserve">No.</w:t>
            </w:r>
            <w:r>
              <w:t xml:space="preserve"> </w:t>
            </w:r>
            <w:r>
              <w:t xml:space="preserve">6917</w:t>
            </w:r>
          </w:p>
          <w:p>
            <w:pPr>
              <w:spacing w:before="192" w:after="0" w:line="276" w:lineRule="exact"/>
              <w:ind w:left="4608" w:firstLine="0"/>
              <w:jc w:val="left"/>
            </w:pPr>
            <w:r>
              <w:t xml:space="preserve">Union</w:t>
            </w:r>
            <w:r>
              <w:t xml:space="preserve"> </w:t>
            </w:r>
            <w:r>
              <w:t xml:space="preserve">Trust</w:t>
            </w:r>
            <w:r>
              <w:t xml:space="preserve"> </w:t>
            </w:r>
            <w:r>
              <w:t xml:space="preserve">Building,</w:t>
            </w:r>
            <w:r>
              <w:t xml:space="preserve"> </w:t>
            </w:r>
            <w:r>
              <w:t xml:space="preserve">Suite</w:t>
            </w:r>
            <w:r>
              <w:t xml:space="preserve"> </w:t>
            </w:r>
            <w:r>
              <w:t xml:space="preserve">200</w:t>
            </w:r>
          </w:p>
          <w:p>
            <w:pPr>
              <w:spacing w:before="0" w:after="0" w:line="276" w:lineRule="exact"/>
              <w:ind w:left="4608" w:firstLine="0"/>
              <w:jc w:val="left"/>
            </w:pPr>
            <w:r>
              <w:t xml:space="preserve">501</w:t>
            </w:r>
            <w:r>
              <w:t xml:space="preserve"> </w:t>
            </w:r>
            <w:r>
              <w:t xml:space="preserve">Grant</w:t>
            </w:r>
            <w:r>
              <w:t xml:space="preserve"> </w:t>
            </w:r>
            <w:r>
              <w:t xml:space="preserve">Street</w:t>
            </w:r>
          </w:p>
          <w:p>
            <w:pPr>
              <w:spacing w:before="0" w:after="0" w:line="276" w:lineRule="exact"/>
              <w:ind w:left="4608" w:firstLine="0"/>
              <w:jc w:val="left"/>
            </w:pPr>
            <w:r>
              <w:t xml:space="preserve">Pittsburgh,</w:t>
            </w:r>
            <w:r>
              <w:t xml:space="preserve"> </w:t>
            </w:r>
            <w:r>
              <w:t xml:space="preserve">PA</w:t>
            </w:r>
            <w:r>
              <w:t xml:space="preserve"> </w:t>
            </w:r>
            <w:r>
              <w:t xml:space="preserve">15219</w:t>
            </w:r>
          </w:p>
          <w:p>
            <w:pPr>
              <w:spacing w:before="0" w:after="0" w:line="276" w:lineRule="exact"/>
              <w:ind w:left="4608" w:firstLine="0"/>
              <w:jc w:val="left"/>
            </w:pPr>
            <w:r>
              <w:t xml:space="preserve">(412)</w:t>
            </w:r>
            <w:r>
              <w:t xml:space="preserve"> </w:t>
            </w:r>
            <w:r>
              <w:t xml:space="preserve">562</w:t>
              <w:noBreakHyphen/>
              <w:t xml:space="preserve">8362</w:t>
            </w:r>
          </w:p>
          <w:p>
            <w:pPr>
              <w:spacing w:before="0" w:after="0" w:line="276" w:lineRule="exact"/>
              <w:ind w:left="4608" w:firstLine="0"/>
              <w:jc w:val="left"/>
            </w:pPr>
            <w:r>
              <w:t xml:space="preserve">Counsel</w:t>
            </w:r>
            <w:r>
              <w:t xml:space="preserve"> </w:t>
            </w:r>
            <w:r>
              <w:t xml:space="preserve">for</w:t>
            </w:r>
            <w:r>
              <w:t xml:space="preserve"> </w:t>
            </w:r>
            <w:r>
              <w:t xml:space="preserve">Petitioner</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Capitalized terms not defined herein have the meaning ascribed to them in SWN’s Opening Brief.</w:t>
      </w:r>
    </w:p>
  </w:footnote>
  <w:footnote w:id="10">
    <w:p>
      <w:pPr>
        <w:pStyle w:val="FootnoteText"/>
      </w:pPr>
      <w:r>
        <w:rPr>
          <w:rStyle w:val="FootnoteReference"/>
        </w:rPr>
        <w:footnoteRef/>
      </w:r>
      <w:r>
        <w:t xml:space="preserve"> </w:t>
      </w:r>
      <w:r>
        <w:t xml:space="preserve">The City’s argument that SWN waived its right to argue the jurisdictional issue in this matter is meritless. SWN, citing to various statutory provisions, made its argument on the second page of its Opening Brief that the ICA clearly had jurisdiction to hear this matter because of the consolidated nature of the case. The City’s assertion that “Petitioner’s brief fails to include any authority, argument, or analysis of the ICA’s jurisdiction to hear Petitioner’s appeal” is simply not true. See Response Brief, at p. 22.</w:t>
      </w:r>
    </w:p>
  </w:footnote>
  <w:footnote w:id="11">
    <w:p>
      <w:pPr>
        <w:pStyle w:val="FootnoteText"/>
      </w:pPr>
      <w:r>
        <w:rPr>
          <w:rStyle w:val="FootnoteReference"/>
        </w:rPr>
        <w:footnoteRef/>
      </w:r>
      <w:r>
        <w:t xml:space="preserve"> </w:t>
      </w:r>
      <w:r>
        <w:t xml:space="preserve">In the ICA Preemption Opinion reversing the Circuit Court’s Decision in the consolidated pre-emption matter (attached as Exhibit A), the ICA expressly recognized that the preemption issue in that matter and the BZA’s denial of SWN’s conditional use application in this appeal were inextricably intertwined. Id. at p. 17</w:t>
      </w:r>
      <w:r>
        <w:noBreakHyphen/>
      </w:r>
      <w:r>
        <w:t xml:space="preserve">18 (“Here, the objective terms of the Horizontal Well Act directly conflict with the additional requirements of the City’s ordinance. On October 1, 2021, the Board issued its written decision denying SWN’s application. The Board reasoned that ‘SWN has failed to prove that the proposed conditional use is compatible with the goals of the Comprehensive Plan, including objective 2.3, which provides, in part, that future development in the Three Springs Drive area should be managed ‘to avoid worsening traffic congestion and additional stress on other existing infrastructure.’ The City’s approval scheme is in direct conflict with the Horizontal Well Act which vests WVDEP with “sole and exclusive authority” to regulate the “permitting” and “location” of horizontal gas wells. See W. Va. Code § 22-⁠6A-⁠8(b).</w:t>
      </w:r>
      <w:r>
        <w:t xml:space="preserve"> </w:t>
      </w:r>
      <w:r>
        <w:t xml:space="preserve">This language cannot be reconciled with the City’s position that a municipality retains the authority to require zoning approval for an oil or gas well that has already been approved under the state’s permitting program.”).</w:t>
      </w:r>
    </w:p>
  </w:footnote>
  <w:footnote w:id="12">
    <w:p>
      <w:pPr>
        <w:pStyle w:val="FootnoteText"/>
      </w:pPr>
      <w:r>
        <w:rPr>
          <w:rStyle w:val="FootnoteReference"/>
        </w:rPr>
        <w:footnoteRef/>
      </w:r>
      <w:r>
        <w:t xml:space="preserve"> </w:t>
      </w:r>
      <w:r>
        <w:t xml:space="preserve">Furthermore, even discounting the consolidation at issue here, while the ICA was correct that “[t]he Intermediate Court of Appeals does not have appellate jurisdiction over…[e]xtraordinary remedies, as provided in § 53-⁠1-⁠1</w:t>
      </w:r>
      <w:r>
        <w:t xml:space="preserve"> </w:t>
      </w:r>
      <w:r>
        <w:t xml:space="preserve">et seq. of this code, and any appeal of a decision or order of another court regarding an extraordinary remedy[,]” the statutory process for zoning appeals, though styled as a “writ of certiorari” is not “provided in § 53-⁠1-⁠1</w:t>
      </w:r>
      <w:r>
        <w:t xml:space="preserve"> </w:t>
      </w:r>
      <w:r>
        <w:t xml:space="preserve">et seq.” (“Extraordinary Remedies Act”). See W. Va. Code § 51-⁠11-⁠4(d)⁠(10).</w:t>
      </w:r>
      <w:r>
        <w:t xml:space="preserve"> </w:t>
      </w:r>
      <w:r>
        <w:t xml:space="preserve">Rather, in the Land Use Planning Act, the Legislature plainly provides a separate statutory appeal procedure for zoning proceedings that is not “provided in” the Extraordinary Remedies Act. Indeed, the Extraordinary Remedies Act specifically provides that the remedy of certiorari contained therein is not available “where authority is or may be given by law to the circuit court, or the judge thereof in vacation, to review such judgment or order on motion, or on appeal…” See W. Va. Code § 53-⁠3-⁠2</w:t>
      </w:r>
      <w:r>
        <w:t xml:space="preserve"> </w:t>
      </w:r>
      <w:r>
        <w:t xml:space="preserve">(emphasis added). Here, in the Land Use Planning Act, the legislature plainly provided a separate statutory appeal procedure for zoning proceedings that gives “authority…to the circuit court…to review such judgment…on appeal.” Id. Thus, although the statutory appeal procedure under the Land Use Planning Act involves a review process styled as “certiorari,” that procedure is separate and distinct from the procedure for obtaining a writ of certiorari under the Extraordinary Remedies Act, which is only available where there is no statutory appeal process.</w:t>
      </w:r>
    </w:p>
  </w:footnote>
  <w:footnote w:id="13">
    <w:p>
      <w:pPr>
        <w:pStyle w:val="FootnoteText"/>
      </w:pPr>
      <w:r>
        <w:rPr>
          <w:rStyle w:val="FootnoteReference"/>
        </w:rPr>
        <w:footnoteRef/>
      </w:r>
      <w:r>
        <w:t xml:space="preserve"> </w:t>
      </w:r>
      <w:r>
        <w:t xml:space="preserve">Out of an abundance of caution, SWN also filed a “Motion Requesting that the Supreme Court of Appeals Obtain Jurisdiction Over Appeal Filed in the Intermediate Court of Appeals,” separately docketed with this Court at No. 24</w:t>
      </w:r>
      <w:r>
        <w:noBreakHyphen/>
      </w:r>
      <w:r>
        <w:t xml:space="preserve">753, which requested the same relief sought herein, and which was refused by this Court without an opinion on August 20, 2024.</w:t>
      </w:r>
    </w:p>
  </w:footnote>
  <w:footnote w:id="14">
    <w:p>
      <w:pPr>
        <w:pStyle w:val="FootnoteText"/>
      </w:pPr>
      <w:r>
        <w:rPr>
          <w:rStyle w:val="FootnoteReference"/>
        </w:rPr>
        <w:footnoteRef/>
      </w:r>
      <w:r>
        <w:t xml:space="preserve"> </w:t>
      </w:r>
      <w:r>
        <w:t xml:space="preserve">Only three appeals from Circuit Court decisions involving municipal land use appeals have been filed since the Reorganization Act became effective: (1) the instant case, SWN Production Company, LLC v. City of Weirton Board of Zoning Appeals et al. (ICA Docket No. 23-ICA</w:t>
      </w:r>
      <w:r>
        <w:noBreakHyphen/>
      </w:r>
      <w:r>
        <w:t xml:space="preserve">405);</w:t>
      </w:r>
      <w:r>
        <w:t xml:space="preserve"> </w:t>
      </w:r>
      <w:r>
        <w:t xml:space="preserve">(2) Huntington Realty</w:t>
      </w:r>
      <w:r>
        <w:t xml:space="preserve"> </w:t>
      </w:r>
      <w:r>
        <w:t xml:space="preserve">Corporation v. The City of Huntington Board of Zoning Appeals et al. (ICA Docket No. 22-ICA</w:t>
      </w:r>
      <w:r>
        <w:noBreakHyphen/>
      </w:r>
      <w:r>
        <w:t xml:space="preserve">239); and (3) Rockwell</w:t>
      </w:r>
      <w:r>
        <w:t xml:space="preserve"> </w:t>
      </w:r>
      <w:r>
        <w:t xml:space="preserve">v. Jefferson County Board of Zoning Appeals et al. (Supreme Court of Appeals Docket No. 23</w:t>
      </w:r>
      <w:r>
        <w:noBreakHyphen/>
      </w:r>
      <w:r>
        <w:t xml:space="preserve">369). Two of those three cases were initially filed with the ICA. This demonstrates that Reorganization Act lacked sufficient clarity regarding jurisdiction over appeals involving municipal land use decisions.</w:t>
      </w:r>
    </w:p>
  </w:footnote>
  <w:footnote w:id="15">
    <w:p>
      <w:pPr>
        <w:pStyle w:val="FootnoteText"/>
      </w:pPr>
      <w:r>
        <w:rPr>
          <w:rStyle w:val="FootnoteReference"/>
        </w:rPr>
        <w:footnoteRef/>
      </w:r>
      <w:r>
        <w:t xml:space="preserve"> </w:t>
      </w:r>
      <w:r>
        <w:t xml:space="preserve">Though this is contrary to SWN’s position that the Legislature did not intend local land use appeals to be heard directly by this Court, it nevertheless demonstrates the Legislature’s recognition of the statute’s ambiguous language.</w:t>
      </w:r>
    </w:p>
  </w:footnote>
  <w:footnote w:id="16">
    <w:p>
      <w:pPr>
        <w:pStyle w:val="FootnoteText"/>
      </w:pPr>
      <w:r>
        <w:rPr>
          <w:rStyle w:val="FootnoteReference"/>
        </w:rPr>
        <w:footnoteRef/>
      </w:r>
      <w:r>
        <w:t xml:space="preserve"> </w:t>
      </w:r>
      <w:r>
        <w:t xml:space="preserve">Furthermore, it should be noted that almost all jurisdictions with more than one appellate court provide for the transfer of an appeal to the correct court in the event an appeal is improvidently docketed. See, e.g. 28 U.S.C.</w:t>
      </w:r>
      <w:r>
        <w:t xml:space="preserve"> </w:t>
      </w:r>
      <w:r>
        <w:t xml:space="preserve">§ 1631; 210 Pa. Code</w:t>
      </w:r>
      <w:r>
        <w:t xml:space="preserve"> </w:t>
      </w:r>
      <w:r>
        <w:t xml:space="preserve">§ 751; 10 Del. C.</w:t>
      </w:r>
      <w:r>
        <w:t xml:space="preserve"> </w:t>
      </w:r>
      <w:r>
        <w:t xml:space="preserve">§ 1902; Fla. R. App. P. 9.040(b)⁠(1);</w:t>
      </w:r>
      <w:r>
        <w:t xml:space="preserve"> </w:t>
      </w:r>
      <w:r>
        <w:t xml:space="preserve">Ky. R. App. P. 17(G);</w:t>
      </w:r>
      <w:r>
        <w:t xml:space="preserve"> </w:t>
      </w:r>
      <w:r>
        <w:t xml:space="preserve">SCACR 204(1);</w:t>
      </w:r>
      <w:r>
        <w:t xml:space="preserve"> </w:t>
      </w:r>
      <w:r>
        <w:t xml:space="preserve">Ala. Code</w:t>
      </w:r>
      <w:r>
        <w:t xml:space="preserve"> </w:t>
      </w:r>
      <w:r>
        <w:t xml:space="preserve">§ 12-⁠1-⁠4.</w:t>
      </w:r>
    </w:p>
  </w:footnote>
  <w:footnote w:id="17">
    <w:p>
      <w:pPr>
        <w:pStyle w:val="FootnoteText"/>
      </w:pPr>
      <w:r>
        <w:rPr>
          <w:rStyle w:val="FootnoteReference"/>
        </w:rPr>
        <w:footnoteRef/>
      </w:r>
      <w:r>
        <w:t xml:space="preserve"> </w:t>
      </w:r>
      <w:r>
        <w:t xml:space="preserve">The City claims that this Court is barred from hearing the underlying merits of this appeal because this Court has held that it “will not consider questions non-jurisdictional in their nature, not acted upon by the circuit court as an intermediate appellate court.” See Response Brief, at p. 26. Here, however, the Circuit Court did in fact act upon the issues raised by SWN in the instant appeal. And, to the extent the City is arguing that the ICA is akin to a Circuit Court acting in its intermediate appellate capacity prior to the Appellate Reorganization Act, this Court has held that “[t]his statement describes the Court’s general practice, not the ambit of the Court’s constitutional authority. Indeed, nothing in the text of these cases suggests, let alone compels, the conclusion that this Court is prohibited from noticing plain error, or raising an issue sua sponte, in the interest of justice.” In re Timber M.,</w:t>
      </w:r>
      <w:r>
        <w:t xml:space="preserve"> </w:t>
      </w:r>
      <w:r>
        <w:t xml:space="preserve">231 W.Va. 44, 64, 743 S.E.2d 352, 372 (2013). Here, the consolidated nature of this appeal and the uncertain jurisdiction created by the n Appellate Reorganization Act require the merits of this case to be heard by this Court “in the interest of justice.” Id.</w:t>
      </w:r>
    </w:p>
  </w:footnote>
  <w:footnote w:id="18">
    <w:p>
      <w:pPr>
        <w:pStyle w:val="FootnoteText"/>
      </w:pPr>
      <w:r>
        <w:rPr>
          <w:rStyle w:val="FootnoteReference"/>
        </w:rPr>
        <w:footnoteRef/>
      </w:r>
      <w:r>
        <w:t xml:space="preserve"> </w:t>
      </w:r>
      <w:r>
        <w:t xml:space="preserve">Jefferson involved the approval of a conditional use application with conditions, rather than an outright denial, as here.</w:t>
      </w:r>
    </w:p>
  </w:footnote>
  <w:footnote w:id="19">
    <w:p>
      <w:pPr>
        <w:pStyle w:val="FootnoteText"/>
      </w:pPr>
      <w:r>
        <w:rPr>
          <w:rStyle w:val="FootnoteReference"/>
        </w:rPr>
        <w:footnoteRef/>
      </w:r>
      <w:r>
        <w:t xml:space="preserve"> </w:t>
      </w:r>
      <w:r>
        <w:t xml:space="preserve">In Jefferson, the zoning ordinance allowed a property owner “to create one (1) lot for every ten (10) acres with a minimum lot size of three (3) acres.” Id. at 783. The ordinance, however, included a Development Review System, which “does allow for higher density” with regard to projects such as residential subdivisions, if the owner obtains a conditional use permit. Id. The ordinance’s Development Review System provided that a “Land Evaluation and Site Assessment, or LESA [to be conducted by county planning staff]…score of 60 points or lower indicates that the agricultural potential of the property is less appropriate or less advantageous than the development of the property.” Id (emphasis added).</w:t>
      </w:r>
    </w:p>
  </w:footnote>
  <w:footnote w:id="20">
    <w:p>
      <w:pPr>
        <w:pStyle w:val="FootnoteText"/>
      </w:pPr>
      <w:r>
        <w:rPr>
          <w:rStyle w:val="FootnoteReference"/>
        </w:rPr>
        <w:footnoteRef/>
      </w:r>
      <w:r>
        <w:t xml:space="preserve"> </w:t>
      </w:r>
      <w:r>
        <w:t xml:space="preserve">A copy of the Jefferson Circuit Court Decision is attached hereto as Exhibit B.</w:t>
      </w:r>
    </w:p>
  </w:footnote>
  <w:footnote w:id="21">
    <w:p>
      <w:pPr>
        <w:pStyle w:val="FootnoteText"/>
      </w:pPr>
      <w:r>
        <w:rPr>
          <w:rStyle w:val="FootnoteReference"/>
        </w:rPr>
        <w:footnoteRef/>
      </w:r>
      <w:r>
        <w:t xml:space="preserve"> </w:t>
      </w:r>
      <w:r>
        <w:t xml:space="preserve">SWN recites the facts and substance of Far Away</w:t>
      </w:r>
      <w:r>
        <w:t xml:space="preserve"> </w:t>
      </w:r>
      <w:r>
        <w:t xml:space="preserve">Farms at length in its Opening Brief.</w:t>
      </w:r>
    </w:p>
  </w:footnote>
  <w:footnote w:id="22">
    <w:p>
      <w:pPr>
        <w:pStyle w:val="FootnoteText"/>
      </w:pPr>
      <w:r>
        <w:rPr>
          <w:rStyle w:val="FootnoteReference"/>
        </w:rPr>
        <w:footnoteRef/>
      </w:r>
      <w:r>
        <w:t xml:space="preserve"> </w:t>
      </w:r>
      <w:r>
        <w:t xml:space="preserve">Because of the relatively few number of municipalities in West Virginia that have enacted zoning ordinances, West Virginia does not have very extensive or well-developed case law with respect to the burdens required of an applicant and objectors during a conditional use proceeding. However, the general rule followed in most jurisdictions is that the applicant has the initial burden of demonstrating compliance with the specific objective terms of the zoning ordinance, at which time it is presumed to have satisfied the conditional use criteria related to the general welfare. If the applicant meets that burden, then the burden shifts to the objectors to demonstrate with a high degree of probability that the use will cause detrimental effects on the community beyond those normally associated with the use. See, e.g., Northampton</w:t>
      </w:r>
      <w:r>
        <w:t xml:space="preserve"> </w:t>
      </w:r>
      <w:r>
        <w:t xml:space="preserve">Area Sch. Dist. v. E. Allen Twp. Bd. of Sup’rs, 824 A.2d 372, 377; Habitat</w:t>
      </w:r>
      <w:r>
        <w:t xml:space="preserve"> </w:t>
      </w:r>
      <w:r>
        <w:t xml:space="preserve">for Humanity of Moore County, Inc. v. Board of Com’rs of the Town of Pinebluff, 187 N.C. A. 764, 653 S.E.2d 886 (2007).</w:t>
      </w:r>
    </w:p>
  </w:footnote>
  <w:footnote w:id="23">
    <w:p>
      <w:pPr>
        <w:pStyle w:val="FootnoteText"/>
      </w:pPr>
      <w:r>
        <w:rPr>
          <w:rStyle w:val="FootnoteReference"/>
        </w:rPr>
        <w:footnoteRef/>
      </w:r>
      <w:r>
        <w:t xml:space="preserve"> </w:t>
      </w:r>
      <w:r>
        <w:t xml:space="preserve">“Building” is defined as “A Structure having a roof supported by columns or walls, for the shelter, support, enclosure, or protection of persons, animals, chattels or property. When separated by party walls, without opening through such walls, each portion of such a Building shall be considered a separate structure.” UDO § 2.3</w:t>
      </w:r>
      <w:r>
        <w:t xml:space="preserve"> </w:t>
      </w:r>
      <w:r>
        <w:t xml:space="preserve">(emphasis added).</w:t>
      </w:r>
    </w:p>
  </w:footnote>
  <w:footnote w:id="24">
    <w:p>
      <w:pPr>
        <w:pStyle w:val="FootnoteText"/>
      </w:pPr>
      <w:r>
        <w:rPr>
          <w:rStyle w:val="FootnoteReference"/>
        </w:rPr>
        <w:footnoteRef/>
      </w:r>
      <w:r>
        <w:t xml:space="preserve"> </w:t>
      </w:r>
      <w:r>
        <w:t xml:space="preserve">“Building height” is defined as “The vertical distance measured from the lot ground level to the highest point of the roof for a flat roof, to the deck line of a mansard roof, and to the mean height between eaves and ridges of gable, hip, and gambrel roofs. On lots with topographic elevation changes, the lot ground level shall be construed to mean the halfway point between the highest and lowest elevations of the Building Footprint.” UDO § 2.3</w:t>
      </w:r>
      <w:r>
        <w:t xml:space="preserve"> </w:t>
      </w:r>
      <w:r>
        <w:t xml:space="preserve">(emphasis added).</w:t>
      </w:r>
    </w:p>
  </w:footnote>
  <w:footnote w:id="25">
    <w:p>
      <w:pPr>
        <w:pStyle w:val="FootnoteText"/>
      </w:pPr>
      <w:r>
        <w:rPr>
          <w:rStyle w:val="FootnoteReference"/>
        </w:rPr>
        <w:footnoteRef/>
      </w:r>
      <w:r>
        <w:t xml:space="preserve"> </w:t>
      </w:r>
      <w:r>
        <w:t xml:space="preserve">The only portion of the Brownlee Pad that is arguably subject to the UDO’s 60’ “building height” requirements are the permanent condensate holding tanks, which are 20’ in height. (A. 1850).</w:t>
      </w:r>
    </w:p>
  </w:footnote>
  <w:footnote w:id="26">
    <w:p>
      <w:pPr>
        <w:pStyle w:val="FootnoteText"/>
      </w:pPr>
      <w:r>
        <w:rPr>
          <w:rStyle w:val="FootnoteReference"/>
        </w:rPr>
        <w:footnoteRef/>
      </w:r>
      <w:r>
        <w:t xml:space="preserve"> </w:t>
      </w:r>
      <w:r>
        <w:t xml:space="preserve">The City repeatedly attempts to classify the Brownlee Pad as an “industrial” use, which it declares is not compatible with development in the PDD District. However, the record is clear that, after construction and drilling operations are completed, the Brownlee Pad will be an almost entirely passive use that is much less intense than almost any other use permitted in the PDD District. (A. 1851).</w:t>
      </w:r>
    </w:p>
  </w:footnote>
  <w:footnote w:id="27">
    <w:p>
      <w:pPr>
        <w:pStyle w:val="FootnoteText"/>
      </w:pPr>
      <w:r>
        <w:rPr>
          <w:rStyle w:val="FootnoteReference"/>
        </w:rPr>
        <w:footnoteRef/>
      </w:r>
      <w:r>
        <w:t xml:space="preserve"> </w:t>
      </w:r>
      <w:r>
        <w:t xml:space="preserve">Here, instead of basing its decision on SWN’s expert evidence and testimony, the BZA and Circuit Court relied entirely on lay testimony, giving the most weight to: (1) a personal injury attorney who opined on traffic issues and; (2) a former security guard that opined on land use, property value, and compatibility issues. The City’s position that a zoning board’s duty to consider a conditional use application is entirely discretionary flies in the face of this Court’s mandate that “ordinances can only be effective if they are applied in an even-handed manner with the utmost adherence to the procedural rights of all parties.” Far Away</w:t>
      </w:r>
      <w:r>
        <w:t xml:space="preserve"> </w:t>
      </w:r>
      <w:r>
        <w:t xml:space="preserve">Farm, 664 S.E.2d at 145.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