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Court</w:t>
      </w:r>
      <w:r>
        <w:t xml:space="preserve"> </w:t>
      </w:r>
      <w:r>
        <w:t xml:space="preserve">of</w:t>
      </w:r>
      <w:r>
        <w:t xml:space="preserve"> </w:t>
      </w:r>
      <w:r>
        <w:t xml:space="preserve">Appeals</w:t>
      </w:r>
    </w:p>
    <w:p>
      <w:pPr>
        <w:spacing w:before="432" w:after="0" w:line="276" w:lineRule="exact"/>
        <w:ind w:left="0" w:firstLine="0"/>
        <w:jc w:val="center"/>
      </w:pPr>
      <w:r>
        <w:t xml:space="preserve">APPEAL</w:t>
      </w:r>
      <w:r>
        <w:t xml:space="preserve"> </w:t>
      </w:r>
      <w:r>
        <w:t xml:space="preserve">FROM</w:t>
      </w:r>
      <w:r>
        <w:t xml:space="preserve"> </w:t>
      </w:r>
      <w:r>
        <w:t xml:space="preserve">SUMTER</w:t>
      </w:r>
      <w:r>
        <w:t xml:space="preserve"> </w:t>
      </w:r>
      <w:r>
        <w:t xml:space="preserve">COUNTY</w:t>
      </w:r>
    </w:p>
    <w:p>
      <w:pPr>
        <w:spacing w:before="0" w:after="0" w:line="276" w:lineRule="exact"/>
        <w:ind w:left="0" w:firstLine="0"/>
        <w:jc w:val="center"/>
      </w:pPr>
      <w:r>
        <w:t xml:space="preserve">Honorable</w:t>
      </w:r>
      <w:r>
        <w:t xml:space="preserve"> </w:t>
      </w:r>
      <w:r>
        <w:t xml:space="preserve">R.</w:t>
      </w:r>
      <w:r>
        <w:t xml:space="preserve"> </w:t>
      </w:r>
      <w:r>
        <w:t xml:space="preserve">Kirk</w:t>
      </w:r>
      <w:r>
        <w:t xml:space="preserve"> </w:t>
      </w:r>
      <w:r>
        <w:t xml:space="preserve">Griffin,</w:t>
      </w:r>
      <w:r>
        <w:t xml:space="preserve"> </w:t>
      </w:r>
      <w:r>
        <w:t xml:space="preserve">Circuit</w:t>
      </w:r>
      <w:r>
        <w:t xml:space="preserve"> </w:t>
      </w:r>
      <w:r>
        <w:t xml:space="preserve">Court</w:t>
      </w:r>
      <w:r>
        <w:t xml:space="preserve"> </w:t>
      </w:r>
      <w:r>
        <w:t xml:space="preserve">Judge</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2022</w:t>
        <w:noBreakHyphen/>
        <w:t xml:space="preserve">001444</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The</w:t>
            </w:r>
            <w:r>
              <w:t xml:space="preserve"> </w:t>
            </w:r>
            <w:r>
              <w:t xml:space="preserve">State</w:t>
            </w:r>
          </w:p>
        </w:tc>
        <w:tc>
          <w:tcPr>
            <w:tcW w:w="3120" w:type="dxa"/>
            <w:tcMar>
              <w:left w:w="240" w:type="dxa"/>
            </w:tcMar>
            <w:vAlign w:val="center"/>
          </w:tcPr>
          <w:p>
            <w:pPr>
              <w:spacing w:before="0" w:after="0" w:line="276" w:lineRule="exact"/>
              <w:ind w:left="0" w:firstLine="0"/>
              <w:jc w:val="right"/>
            </w:pPr>
            <w:r>
              <w:t xml:space="preserve">Respondent.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Brittany</w:t>
            </w:r>
            <w:r>
              <w:t xml:space="preserve"> </w:t>
            </w:r>
            <w:r>
              <w:t xml:space="preserve">Martin</w:t>
            </w:r>
          </w:p>
        </w:tc>
        <w:tc>
          <w:tcPr>
            <w:tcW w:w="3120" w:type="dxa"/>
            <w:tcMar>
              <w:left w:w="240" w:type="dxa"/>
            </w:tcMar>
            <w:vAlign w:val="center"/>
          </w:tcPr>
          <w:p>
            <w:pPr>
              <w:spacing w:before="0" w:after="0" w:line="276" w:lineRule="exact"/>
              <w:ind w:left="0" w:firstLine="0"/>
              <w:jc w:val="right"/>
            </w:pPr>
            <w:r>
              <w:t xml:space="preserve">Appellant.</w:t>
            </w:r>
          </w:p>
        </w:tc>
      </w:tr>
    </w:tbl>
    <w:p>
      <w:pPr>
        <w:spacing w:before="0" w:after="0" w:line="2076" w:lineRule="exact"/>
      </w:pPr>
    </w:p>
    <w:p>
      <w:pPr>
        <w:spacing w:before="0"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2076" w:lineRule="exact"/>
      </w:pPr>
    </w:p>
    <w:p>
      <w:pPr>
        <w:spacing w:before="0" w:after="0" w:line="276" w:lineRule="exact"/>
        <w:ind w:left="4608" w:firstLine="0"/>
        <w:jc w:val="left"/>
      </w:pPr>
      <w:r>
        <w:rPr>
          <w:b/>
          <w:bCs/>
        </w:rPr>
        <w:t xml:space="preserve">Meredith</w:t>
      </w:r>
      <w:r>
        <w:rPr>
          <w:b/>
          <w:bCs/>
        </w:rPr>
        <w:t xml:space="preserve"> </w:t>
      </w:r>
      <w:r>
        <w:rPr>
          <w:b/>
          <w:bCs/>
        </w:rPr>
        <w:t xml:space="preserve">Dyer</w:t>
      </w:r>
      <w:r>
        <w:rPr>
          <w:b/>
          <w:bCs/>
        </w:rPr>
        <w:t xml:space="preserve"> </w:t>
      </w:r>
      <w:r>
        <w:rPr>
          <w:b/>
          <w:bCs/>
        </w:rPr>
        <w:t xml:space="preserve">McPhail,</w:t>
      </w:r>
      <w:r>
        <w:rPr>
          <w:b/>
          <w:bCs/>
        </w:rPr>
        <w:t xml:space="preserve"> </w:t>
      </w:r>
      <w:r>
        <w:rPr>
          <w:b/>
          <w:bCs/>
        </w:rPr>
        <w:t xml:space="preserve">#104551</w:t>
      </w:r>
    </w:p>
    <w:p>
      <w:pPr>
        <w:spacing w:before="0" w:after="0" w:line="276" w:lineRule="exact"/>
        <w:ind w:left="4608" w:firstLine="0"/>
        <w:jc w:val="left"/>
      </w:pPr>
      <w:r>
        <w:rPr>
          <w:b/>
          <w:bCs/>
        </w:rPr>
        <w:t xml:space="preserve">David</w:t>
      </w:r>
      <w:r>
        <w:rPr>
          <w:b/>
          <w:bCs/>
        </w:rPr>
        <w:t xml:space="preserve"> </w:t>
      </w:r>
      <w:r>
        <w:rPr>
          <w:b/>
          <w:bCs/>
        </w:rPr>
        <w:t xml:space="preserve">Allen</w:t>
      </w:r>
      <w:r>
        <w:rPr>
          <w:b/>
          <w:bCs/>
        </w:rPr>
        <w:t xml:space="preserve"> </w:t>
      </w:r>
      <w:r>
        <w:rPr>
          <w:b/>
          <w:bCs/>
        </w:rPr>
        <w:t xml:space="preserve">Chaney,</w:t>
      </w:r>
      <w:r>
        <w:rPr>
          <w:b/>
          <w:bCs/>
        </w:rPr>
        <w:t xml:space="preserve"> </w:t>
      </w:r>
      <w:r>
        <w:rPr>
          <w:b/>
          <w:bCs/>
        </w:rPr>
        <w:t xml:space="preserve">Jr.,</w:t>
      </w:r>
      <w:r>
        <w:rPr>
          <w:b/>
          <w:bCs/>
        </w:rPr>
        <w:t xml:space="preserve"> </w:t>
      </w:r>
      <w:r>
        <w:rPr>
          <w:b/>
          <w:bCs/>
        </w:rPr>
        <w:t xml:space="preserve">#104038</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w:t>
      </w:r>
      <w:r>
        <w:t xml:space="preserve"> </w:t>
      </w:r>
      <w:r>
        <w:t xml:space="preserve">CAROLINA</w:t>
      </w:r>
    </w:p>
    <w:p>
      <w:pPr>
        <w:spacing w:before="0" w:after="0" w:line="276" w:lineRule="exact"/>
        <w:ind w:left="4608" w:firstLine="0"/>
        <w:jc w:val="left"/>
      </w:pPr>
      <w:r>
        <w:t xml:space="preserve">P.O.</w:t>
      </w:r>
      <w:r>
        <w:t xml:space="preserve"> </w:t>
      </w:r>
      <w:r>
        <w:t xml:space="preserve">Box</w:t>
      </w:r>
      <w:r>
        <w:t xml:space="preserve"> </w:t>
      </w:r>
      <w:r>
        <w:t xml:space="preserve">1668</w:t>
      </w:r>
    </w:p>
    <w:p>
      <w:pPr>
        <w:spacing w:before="0" w:after="0" w:line="276" w:lineRule="exact"/>
        <w:ind w:left="4608" w:firstLine="0"/>
        <w:jc w:val="left"/>
      </w:pPr>
      <w:r>
        <w:t xml:space="preserve">Columbia,</w:t>
      </w:r>
      <w:r>
        <w:t xml:space="preserve"> </w:t>
      </w:r>
      <w:r>
        <w:t xml:space="preserve">SC</w:t>
      </w:r>
      <w:r>
        <w:t xml:space="preserve"> </w:t>
      </w:r>
      <w:r>
        <w:t xml:space="preserve">29202</w:t>
      </w:r>
    </w:p>
    <w:p>
      <w:pPr>
        <w:spacing w:before="0" w:after="0" w:line="276" w:lineRule="exact"/>
        <w:ind w:left="4608" w:firstLine="0"/>
        <w:jc w:val="left"/>
      </w:pPr>
      <w:r>
        <w:t xml:space="preserve">(843)</w:t>
      </w:r>
      <w:r>
        <w:t xml:space="preserve"> </w:t>
      </w:r>
      <w:r>
        <w:t xml:space="preserve">259</w:t>
        <w:noBreakHyphen/>
        <w:t xml:space="preserve">2925</w:t>
      </w:r>
    </w:p>
    <w:p>
      <w:pPr>
        <w:spacing w:before="0" w:after="0" w:line="276" w:lineRule="exact"/>
        <w:ind w:left="4608" w:firstLine="0"/>
        <w:jc w:val="left"/>
      </w:pPr>
      <w:r>
        <w:t xml:space="preserve">mmcphail@aclusc.org</w:t>
      </w:r>
    </w:p>
    <w:p>
      <w:pPr>
        <w:spacing w:before="144" w:after="0" w:line="276" w:lineRule="exact"/>
        <w:ind w:left="4608" w:firstLine="0"/>
        <w:jc w:val="left"/>
      </w:pPr>
      <w:r>
        <w:rPr>
          <w:b/>
          <w:bCs/>
        </w:rPr>
        <w:t xml:space="preserve">Dr.</w:t>
      </w:r>
      <w:r>
        <w:rPr>
          <w:b/>
          <w:bCs/>
        </w:rPr>
        <w:t xml:space="preserve"> </w:t>
      </w:r>
      <w:r>
        <w:rPr>
          <w:b/>
          <w:bCs/>
        </w:rPr>
        <w:t xml:space="preserve">Sybil</w:t>
      </w:r>
      <w:r>
        <w:rPr>
          <w:b/>
          <w:bCs/>
        </w:rPr>
        <w:t xml:space="preserve"> </w:t>
      </w:r>
      <w:r>
        <w:rPr>
          <w:b/>
          <w:bCs/>
        </w:rPr>
        <w:t xml:space="preserve">Rosado,</w:t>
      </w:r>
      <w:r>
        <w:rPr>
          <w:b/>
          <w:bCs/>
        </w:rPr>
        <w:t xml:space="preserve"> </w:t>
      </w:r>
      <w:r>
        <w:rPr>
          <w:b/>
          <w:bCs/>
        </w:rPr>
        <w:t xml:space="preserve">#104422</w:t>
      </w:r>
    </w:p>
    <w:p>
      <w:pPr>
        <w:spacing w:before="0" w:after="0" w:line="276" w:lineRule="exact"/>
        <w:ind w:left="4608" w:firstLine="0"/>
        <w:jc w:val="left"/>
      </w:pPr>
      <w:r>
        <w:t xml:space="preserve">THE</w:t>
      </w:r>
      <w:r>
        <w:t xml:space="preserve"> </w:t>
      </w:r>
      <w:r>
        <w:t xml:space="preserve">LAW</w:t>
      </w:r>
      <w:r>
        <w:t xml:space="preserve"> </w:t>
      </w:r>
      <w:r>
        <w:t xml:space="preserve">OFFICE</w:t>
      </w:r>
      <w:r>
        <w:t xml:space="preserve"> </w:t>
      </w:r>
      <w:r>
        <w:t xml:space="preserve">OF</w:t>
      </w:r>
      <w:r>
        <w:t xml:space="preserve"> </w:t>
      </w:r>
      <w:r>
        <w:t xml:space="preserve">SYBIL</w:t>
      </w:r>
      <w:r>
        <w:t xml:space="preserve"> </w:t>
      </w:r>
      <w:r>
        <w:t xml:space="preserve">D.</w:t>
      </w:r>
      <w:r>
        <w:t xml:space="preserve"> </w:t>
      </w:r>
      <w:r>
        <w:t xml:space="preserve">ROSADO,</w:t>
      </w:r>
      <w:r>
        <w:t xml:space="preserve"> </w:t>
      </w:r>
      <w:r>
        <w:t xml:space="preserve">LLC</w:t>
      </w:r>
    </w:p>
    <w:p>
      <w:pPr>
        <w:spacing w:before="0" w:after="0" w:line="276" w:lineRule="exact"/>
        <w:ind w:left="4608" w:firstLine="0"/>
        <w:jc w:val="left"/>
      </w:pPr>
      <w:r>
        <w:t xml:space="preserve">2429</w:t>
      </w:r>
      <w:r>
        <w:t xml:space="preserve"> </w:t>
      </w:r>
      <w:r>
        <w:t xml:space="preserve">Haskell</w:t>
      </w:r>
      <w:r>
        <w:t xml:space="preserve"> </w:t>
      </w:r>
      <w:r>
        <w:t xml:space="preserve">Ave.</w:t>
      </w:r>
    </w:p>
    <w:p>
      <w:pPr>
        <w:spacing w:before="0" w:after="0" w:line="276" w:lineRule="exact"/>
        <w:ind w:left="4608" w:firstLine="0"/>
        <w:jc w:val="left"/>
      </w:pPr>
      <w:r>
        <w:t xml:space="preserve">Columbia,</w:t>
      </w:r>
      <w:r>
        <w:t xml:space="preserve"> </w:t>
      </w:r>
      <w:r>
        <w:t xml:space="preserve">SC</w:t>
      </w:r>
      <w:r>
        <w:t xml:space="preserve"> </w:t>
      </w:r>
      <w:r>
        <w:t xml:space="preserve">29204</w:t>
      </w:r>
    </w:p>
    <w:p>
      <w:pPr>
        <w:spacing w:before="0" w:after="0" w:line="276" w:lineRule="exact"/>
        <w:ind w:left="4608" w:firstLine="0"/>
        <w:jc w:val="left"/>
      </w:pPr>
      <w:r>
        <w:t xml:space="preserve">(803)</w:t>
      </w:r>
      <w:r>
        <w:t xml:space="preserve"> </w:t>
      </w:r>
      <w:r>
        <w:t xml:space="preserve">999</w:t>
        <w:noBreakHyphen/>
        <w:t xml:space="preserve">2029</w:t>
      </w:r>
    </w:p>
    <w:p>
      <w:pPr>
        <w:spacing w:before="0" w:after="0" w:line="276" w:lineRule="exact"/>
        <w:ind w:left="4608" w:firstLine="0"/>
        <w:jc w:val="left"/>
      </w:pPr>
      <w:r>
        <w:t xml:space="preserve">sybil@rosado.law</w:t>
      </w:r>
    </w:p>
    <w:p>
      <w:pPr>
        <w:spacing w:before="0" w:after="0" w:line="276" w:lineRule="exact"/>
        <w:ind w:left="4608" w:firstLine="0"/>
        <w:jc w:val="left"/>
      </w:pPr>
      <w:r>
        <w:t xml:space="preserve">Attorneys</w:t>
      </w:r>
      <w:r>
        <w:t xml:space="preserve"> </w:t>
      </w:r>
      <w:r>
        <w:t xml:space="preserve">for</w:t>
      </w:r>
      <w:r>
        <w:t xml:space="preserve"> </w:t>
      </w:r>
      <w:r>
        <w:t xml:space="preserve">Appellant</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ARGUMENT</w:t>
      </w:r>
      <w:r>
        <w:t xml:space="preserve">   </w:t>
      </w:r>
      <w:r>
        <w:tab/>
      </w:r>
      <w:r>
        <w:t xml:space="preserve">1</w:t>
      </w:r>
    </w:p>
    <w:p>
      <w:pPr>
        <w:keepLines/>
        <w:tabs>
          <w:tab w:val="right" w:leader="dot" w:pos="9360"/>
        </w:tabs>
        <w:spacing w:before="216" w:after="0" w:line="276" w:lineRule="exact"/>
        <w:ind w:left="720" w:right="720" w:hanging="360"/>
      </w:pPr>
      <w:r>
        <w:t xml:space="preserve">I.</w:t>
      </w:r>
      <w:r>
        <w:t xml:space="preserve"> </w:t>
      </w:r>
      <w:r>
        <w:t xml:space="preserve">Martin’s</w:t>
      </w:r>
      <w:r>
        <w:t xml:space="preserve"> </w:t>
      </w:r>
      <w:r>
        <w:t xml:space="preserve">conviction</w:t>
      </w:r>
      <w:r>
        <w:t xml:space="preserve"> </w:t>
      </w:r>
      <w:r>
        <w:t xml:space="preserve">for</w:t>
      </w:r>
      <w:r>
        <w:t xml:space="preserve"> </w:t>
      </w:r>
      <w:r>
        <w:t xml:space="preserve">BOPHAN</w:t>
      </w:r>
      <w:r>
        <w:t xml:space="preserve"> </w:t>
      </w:r>
      <w:r>
        <w:t xml:space="preserve">violates</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must</w:t>
      </w:r>
      <w:r>
        <w:t xml:space="preserve"> </w:t>
      </w:r>
      <w:r>
        <w:t xml:space="preserve">be</w:t>
      </w:r>
      <w:r>
        <w:t xml:space="preserve"> </w:t>
      </w:r>
      <w:r>
        <w:t xml:space="preserve">vacated.</w:t>
      </w:r>
      <w:r>
        <w:t xml:space="preserve">   </w:t>
      </w:r>
      <w:r>
        <w:tab/>
      </w:r>
      <w:r>
        <w:t xml:space="preserve">1</w:t>
      </w:r>
    </w:p>
    <w:p>
      <w:pPr>
        <w:keepLines/>
        <w:tabs>
          <w:tab w:val="right" w:leader="dot" w:pos="9360"/>
        </w:tabs>
        <w:spacing w:before="216" w:after="0" w:line="276" w:lineRule="exact"/>
        <w:ind w:left="1080" w:right="720" w:hanging="360"/>
      </w:pPr>
      <w:r>
        <w:t xml:space="preserve">A.</w:t>
      </w:r>
      <w:r>
        <w:t xml:space="preserve"> </w:t>
      </w:r>
      <w:r>
        <w:t xml:space="preserve">Independent</w:t>
      </w:r>
      <w:r>
        <w:t xml:space="preserve"> </w:t>
      </w:r>
      <w:r>
        <w:t xml:space="preserve">review</w:t>
      </w:r>
      <w:r>
        <w:t xml:space="preserve"> </w:t>
      </w:r>
      <w:r>
        <w:t xml:space="preserve">to</w:t>
      </w:r>
      <w:r>
        <w:t xml:space="preserve"> </w:t>
      </w:r>
      <w:r>
        <w:t xml:space="preserve">protect</w:t>
      </w:r>
      <w:r>
        <w:t xml:space="preserve"> </w:t>
      </w:r>
      <w:r>
        <w:t xml:space="preserve">the</w:t>
      </w:r>
      <w:r>
        <w:t xml:space="preserve"> </w:t>
      </w:r>
      <w:r>
        <w:t xml:space="preserve">First</w:t>
      </w:r>
      <w:r>
        <w:t xml:space="preserve"> </w:t>
      </w:r>
      <w:r>
        <w:t xml:space="preserve">Amendment</w:t>
      </w:r>
      <w:r>
        <w:t xml:space="preserve"> </w:t>
      </w:r>
      <w:r>
        <w:t xml:space="preserve">is</w:t>
      </w:r>
      <w:r>
        <w:t xml:space="preserve"> </w:t>
      </w:r>
      <w:r>
        <w:t xml:space="preserve">distinct</w:t>
      </w:r>
      <w:r>
        <w:t xml:space="preserve"> </w:t>
      </w:r>
      <w:r>
        <w:t xml:space="preserve">from</w:t>
      </w:r>
      <w:r>
        <w:t xml:space="preserve"> </w:t>
      </w:r>
      <w:r>
        <w:t xml:space="preserve">review</w:t>
      </w:r>
      <w:r>
        <w:t xml:space="preserve"> </w:t>
      </w:r>
      <w:r>
        <w:t xml:space="preserve">to</w:t>
      </w:r>
      <w:r>
        <w:t xml:space="preserve"> </w:t>
      </w:r>
      <w:r>
        <w:t xml:space="preserve">ensure</w:t>
      </w:r>
      <w:r>
        <w:t xml:space="preserve"> </w:t>
      </w:r>
      <w:r>
        <w:t xml:space="preserve">the</w:t>
      </w:r>
      <w:r>
        <w:t xml:space="preserve"> </w:t>
      </w:r>
      <w:r>
        <w:t xml:space="preserve">sufficiency</w:t>
      </w:r>
      <w:r>
        <w:t xml:space="preserve"> </w:t>
      </w:r>
      <w:r>
        <w:t xml:space="preserve">of</w:t>
      </w:r>
      <w:r>
        <w:t xml:space="preserve"> </w:t>
      </w:r>
      <w:r>
        <w:t xml:space="preserve">the</w:t>
      </w:r>
      <w:r>
        <w:t xml:space="preserve"> </w:t>
      </w:r>
      <w:r>
        <w:t xml:space="preserve">evidence.</w:t>
      </w:r>
      <w:r>
        <w:t xml:space="preserve">   </w:t>
      </w:r>
      <w:r>
        <w:tab/>
      </w:r>
      <w:r>
        <w:t xml:space="preserve">2</w:t>
      </w:r>
    </w:p>
    <w:p>
      <w:pPr>
        <w:keepLines/>
        <w:tabs>
          <w:tab w:val="right" w:leader="dot" w:pos="9360"/>
        </w:tabs>
        <w:spacing w:before="216" w:after="0" w:line="276" w:lineRule="exact"/>
        <w:ind w:left="1080" w:right="720" w:hanging="360"/>
      </w:pPr>
      <w:r>
        <w:t xml:space="preserve">B.</w:t>
      </w:r>
      <w:r>
        <w:t xml:space="preserve"> </w:t>
      </w:r>
      <w:r>
        <w:t xml:space="preserve">This</w:t>
      </w:r>
      <w:r>
        <w:t xml:space="preserve"> </w:t>
      </w:r>
      <w:r>
        <w:t xml:space="preserve">issue</w:t>
      </w:r>
      <w:r>
        <w:t xml:space="preserve"> </w:t>
      </w:r>
      <w:r>
        <w:t xml:space="preserve">is</w:t>
      </w:r>
      <w:r>
        <w:t xml:space="preserve"> </w:t>
      </w:r>
      <w:r>
        <w:t xml:space="preserve">properly</w:t>
      </w:r>
      <w:r>
        <w:t xml:space="preserve"> </w:t>
      </w:r>
      <w:r>
        <w:t xml:space="preserve">before</w:t>
      </w:r>
      <w:r>
        <w:t xml:space="preserve"> </w:t>
      </w:r>
      <w:r>
        <w:t xml:space="preserve">the</w:t>
      </w:r>
      <w:r>
        <w:t xml:space="preserve"> </w:t>
      </w:r>
      <w:r>
        <w:t xml:space="preserve">court.</w:t>
      </w:r>
      <w:r>
        <w:t xml:space="preserve">   </w:t>
      </w:r>
      <w:r>
        <w:tab/>
      </w:r>
      <w:r>
        <w:t xml:space="preserve">3</w:t>
      </w:r>
    </w:p>
    <w:p>
      <w:pPr>
        <w:keepLines/>
        <w:tabs>
          <w:tab w:val="right" w:leader="dot" w:pos="9360"/>
        </w:tabs>
        <w:spacing w:before="216" w:after="0" w:line="276" w:lineRule="exact"/>
        <w:ind w:left="1080" w:right="720" w:hanging="360"/>
      </w:pPr>
      <w:r>
        <w:t xml:space="preserve">C.</w:t>
      </w:r>
      <w:r>
        <w:t xml:space="preserve"> </w:t>
      </w:r>
      <w:r>
        <w:t xml:space="preserve">Because</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clearly</w:t>
      </w:r>
      <w:r>
        <w:t xml:space="preserve"> </w:t>
      </w:r>
      <w:r>
        <w:t xml:space="preserve">define</w:t>
      </w:r>
      <w:r>
        <w:t xml:space="preserve"> </w:t>
      </w:r>
      <w:r>
        <w:t xml:space="preserve">what</w:t>
      </w:r>
      <w:r>
        <w:t xml:space="preserve"> </w:t>
      </w:r>
      <w:r>
        <w:t xml:space="preserve">conduct</w:t>
      </w:r>
      <w:r>
        <w:t xml:space="preserve"> </w:t>
      </w:r>
      <w:r>
        <w:t xml:space="preserve">supported</w:t>
      </w:r>
      <w:r>
        <w:t xml:space="preserve"> </w:t>
      </w:r>
      <w:r>
        <w:t xml:space="preserve">Ms.</w:t>
      </w:r>
      <w:r>
        <w:t xml:space="preserve"> </w:t>
      </w:r>
      <w:r>
        <w:t xml:space="preserve">Martin’s</w:t>
      </w:r>
      <w:r>
        <w:t xml:space="preserve"> </w:t>
      </w:r>
      <w:r>
        <w:t xml:space="preserve">conviction,</w:t>
      </w:r>
      <w:r>
        <w:t xml:space="preserve"> </w:t>
      </w:r>
      <w:r>
        <w:t xml:space="preserve">this</w:t>
      </w:r>
      <w:r>
        <w:t xml:space="preserve"> </w:t>
      </w:r>
      <w:r>
        <w:t xml:space="preserve">Court</w:t>
      </w:r>
      <w:r>
        <w:t xml:space="preserve"> </w:t>
      </w:r>
      <w:r>
        <w:t xml:space="preserve">is</w:t>
      </w:r>
      <w:r>
        <w:t xml:space="preserve"> </w:t>
      </w:r>
      <w:r>
        <w:t xml:space="preserve">unable</w:t>
      </w:r>
      <w:r>
        <w:t xml:space="preserve"> </w:t>
      </w:r>
      <w:r>
        <w:t xml:space="preserve">to</w:t>
      </w:r>
      <w:r>
        <w:t xml:space="preserve"> </w:t>
      </w:r>
      <w:r>
        <w:t xml:space="preserve">ensure</w:t>
      </w:r>
      <w:r>
        <w:t xml:space="preserve"> </w:t>
      </w:r>
      <w:r>
        <w:t xml:space="preserve">“the</w:t>
      </w:r>
      <w:r>
        <w:t xml:space="preserve"> </w:t>
      </w:r>
      <w:r>
        <w:t xml:space="preserve">judgment</w:t>
      </w:r>
      <w:r>
        <w:t xml:space="preserve"> </w:t>
      </w:r>
      <w:r>
        <w:t xml:space="preserve">d[id]</w:t>
      </w:r>
      <w:r>
        <w:t xml:space="preserve"> </w:t>
      </w:r>
      <w:r>
        <w:t xml:space="preserve">not</w:t>
      </w:r>
      <w:r>
        <w:t xml:space="preserve"> </w:t>
      </w:r>
      <w:r>
        <w:t xml:space="preserve">constitute</w:t>
      </w:r>
      <w:r>
        <w:t xml:space="preserve"> </w:t>
      </w:r>
      <w:r>
        <w:t xml:space="preserve">a</w:t>
      </w:r>
      <w:r>
        <w:t xml:space="preserve"> </w:t>
      </w:r>
      <w:r>
        <w:t xml:space="preserve">forbidden</w:t>
      </w:r>
      <w:r>
        <w:t xml:space="preserve"> </w:t>
      </w:r>
      <w:r>
        <w:t xml:space="preserve">intrusion</w:t>
      </w:r>
      <w:r>
        <w:t xml:space="preserve"> </w:t>
      </w:r>
      <w:r>
        <w:t xml:space="preserve">on</w:t>
      </w:r>
      <w:r>
        <w:t xml:space="preserve"> </w:t>
      </w:r>
      <w:r>
        <w:t xml:space="preserve">the</w:t>
      </w:r>
      <w:r>
        <w:t xml:space="preserve"> </w:t>
      </w:r>
      <w:r>
        <w:t xml:space="preserve">field</w:t>
      </w:r>
      <w:r>
        <w:t xml:space="preserve"> </w:t>
      </w:r>
      <w:r>
        <w:t xml:space="preserve">of</w:t>
      </w:r>
      <w:r>
        <w:t xml:space="preserve"> </w:t>
      </w:r>
      <w:r>
        <w:t xml:space="preserve">free</w:t>
      </w:r>
      <w:r>
        <w:t xml:space="preserve"> </w:t>
      </w:r>
      <w:r>
        <w:t xml:space="preserve">expression.”</w:t>
      </w:r>
      <w:r>
        <w:t xml:space="preserve">   </w:t>
      </w:r>
      <w:r>
        <w:tab/>
      </w:r>
      <w:r>
        <w:t xml:space="preserve">4</w:t>
      </w:r>
    </w:p>
    <w:p>
      <w:pPr>
        <w:keepLines/>
        <w:tabs>
          <w:tab w:val="right" w:leader="dot" w:pos="9360"/>
        </w:tabs>
        <w:spacing w:before="216" w:after="0" w:line="276" w:lineRule="exact"/>
        <w:ind w:left="1080" w:right="720" w:hanging="360"/>
      </w:pPr>
      <w:r>
        <w:t xml:space="preserve">D.</w:t>
      </w:r>
      <w:r>
        <w:t xml:space="preserve"> </w:t>
      </w:r>
      <w:r>
        <w:t xml:space="preserve">Independent</w:t>
      </w:r>
      <w:r>
        <w:t xml:space="preserve"> </w:t>
      </w:r>
      <w:r>
        <w:t xml:space="preserve">examination</w:t>
      </w:r>
      <w:r>
        <w:t xml:space="preserve"> </w:t>
      </w:r>
      <w:r>
        <w:t xml:space="preserve">of</w:t>
      </w:r>
      <w:r>
        <w:t xml:space="preserve"> </w:t>
      </w:r>
      <w:r>
        <w:t xml:space="preserve">the</w:t>
      </w:r>
      <w:r>
        <w:t xml:space="preserve"> </w:t>
      </w:r>
      <w:r>
        <w:t xml:space="preserve">record,</w:t>
      </w:r>
      <w:r>
        <w:t xml:space="preserve"> </w:t>
      </w:r>
      <w:r>
        <w:t xml:space="preserve">to</w:t>
      </w:r>
      <w:r>
        <w:t xml:space="preserve"> </w:t>
      </w:r>
      <w:r>
        <w:t xml:space="preserve">the</w:t>
      </w:r>
      <w:r>
        <w:t xml:space="preserve"> </w:t>
      </w:r>
      <w:r>
        <w:t xml:space="preserve">degree</w:t>
      </w:r>
      <w:r>
        <w:t xml:space="preserve"> </w:t>
      </w:r>
      <w:r>
        <w:t xml:space="preserve">it</w:t>
      </w:r>
      <w:r>
        <w:t xml:space="preserve"> </w:t>
      </w:r>
      <w:r>
        <w:t xml:space="preserve">is</w:t>
      </w:r>
      <w:r>
        <w:t xml:space="preserve"> </w:t>
      </w:r>
      <w:r>
        <w:t xml:space="preserve">possible,</w:t>
      </w:r>
      <w:r>
        <w:t xml:space="preserve"> </w:t>
      </w:r>
      <w:r>
        <w:t xml:space="preserve">reveals</w:t>
      </w:r>
      <w:r>
        <w:t xml:space="preserve"> </w:t>
      </w:r>
      <w:r>
        <w:t xml:space="preserve">Appellant’s</w:t>
      </w:r>
      <w:r>
        <w:t xml:space="preserve"> </w:t>
      </w:r>
      <w:r>
        <w:t xml:space="preserve">conviction</w:t>
      </w:r>
      <w:r>
        <w:t xml:space="preserve"> </w:t>
      </w:r>
      <w:r>
        <w:t xml:space="preserve">violated</w:t>
      </w:r>
      <w:r>
        <w:t xml:space="preserve"> </w:t>
      </w:r>
      <w:r>
        <w:t xml:space="preserve">the</w:t>
      </w:r>
      <w:r>
        <w:t xml:space="preserve"> </w:t>
      </w:r>
      <w:r>
        <w:t xml:space="preserve">First</w:t>
      </w:r>
      <w:r>
        <w:t xml:space="preserve"> </w:t>
      </w:r>
      <w:r>
        <w:t xml:space="preserve">Amendment.</w:t>
      </w:r>
      <w:r>
        <w:t xml:space="preserve">   </w:t>
      </w:r>
      <w:r>
        <w:tab/>
      </w:r>
      <w:r>
        <w:t xml:space="preserve">4</w:t>
      </w:r>
    </w:p>
    <w:p>
      <w:pPr>
        <w:keepLines/>
        <w:tabs>
          <w:tab w:val="right" w:leader="dot" w:pos="9360"/>
        </w:tabs>
        <w:spacing w:before="216" w:after="0" w:line="276" w:lineRule="exact"/>
        <w:ind w:left="720" w:right="720" w:hanging="360"/>
      </w:pPr>
      <w:r>
        <w:t xml:space="preserve">II.</w:t>
      </w:r>
      <w:r>
        <w:t xml:space="preserve"> </w:t>
      </w:r>
      <w:r>
        <w:t xml:space="preserve">Martin’s</w:t>
      </w:r>
      <w:r>
        <w:t xml:space="preserve"> </w:t>
      </w:r>
      <w:r>
        <w:t xml:space="preserve">conviction</w:t>
      </w:r>
      <w:r>
        <w:t xml:space="preserve"> </w:t>
      </w:r>
      <w:r>
        <w:t xml:space="preserve">for</w:t>
      </w:r>
      <w:r>
        <w:t xml:space="preserve"> </w:t>
      </w:r>
      <w:r>
        <w:t xml:space="preserve">BOPHAN</w:t>
      </w:r>
      <w:r>
        <w:t xml:space="preserve"> </w:t>
      </w:r>
      <w:r>
        <w:t xml:space="preserve">must</w:t>
      </w:r>
      <w:r>
        <w:t xml:space="preserve"> </w:t>
      </w:r>
      <w:r>
        <w:t xml:space="preserve">be</w:t>
      </w:r>
      <w:r>
        <w:t xml:space="preserve"> </w:t>
      </w:r>
      <w:r>
        <w:t xml:space="preserve">reversed</w:t>
      </w:r>
      <w:r>
        <w:t xml:space="preserve"> </w:t>
      </w:r>
      <w:r>
        <w:t xml:space="preserve">because</w:t>
      </w:r>
      <w:r>
        <w:t xml:space="preserve"> </w:t>
      </w:r>
      <w:r>
        <w:t xml:space="preserve">the</w:t>
      </w:r>
      <w:r>
        <w:t xml:space="preserve"> </w:t>
      </w:r>
      <w:r>
        <w:t xml:space="preserve">trial</w:t>
      </w:r>
      <w:r>
        <w:t xml:space="preserve"> </w:t>
      </w:r>
      <w:r>
        <w:t xml:space="preserve">court</w:t>
      </w:r>
      <w:r>
        <w:t xml:space="preserve"> </w:t>
      </w:r>
      <w:r>
        <w:t xml:space="preserve">failed</w:t>
      </w:r>
      <w:r>
        <w:t xml:space="preserve"> </w:t>
      </w:r>
      <w:r>
        <w:t xml:space="preserve">to</w:t>
      </w:r>
      <w:r>
        <w:t xml:space="preserve"> </w:t>
      </w:r>
      <w:r>
        <w:t xml:space="preserve">instruct</w:t>
      </w:r>
      <w:r>
        <w:t xml:space="preserve"> </w:t>
      </w:r>
      <w:r>
        <w:t xml:space="preserve">the</w:t>
      </w:r>
      <w:r>
        <w:t xml:space="preserve"> </w:t>
      </w:r>
      <w:r>
        <w:t xml:space="preserve">jury</w:t>
      </w:r>
      <w:r>
        <w:t xml:space="preserve"> </w:t>
      </w:r>
      <w:r>
        <w:t xml:space="preserve">about</w:t>
      </w:r>
      <w:r>
        <w:t xml:space="preserve"> </w:t>
      </w:r>
      <w:r>
        <w:t xml:space="preserve">her</w:t>
      </w:r>
      <w:r>
        <w:t xml:space="preserve"> </w:t>
      </w:r>
      <w:r>
        <w:t xml:space="preserve">First</w:t>
      </w:r>
      <w:r>
        <w:t xml:space="preserve"> </w:t>
      </w:r>
      <w:r>
        <w:t xml:space="preserve">Amendment</w:t>
      </w:r>
      <w:r>
        <w:t xml:space="preserve"> </w:t>
      </w:r>
      <w:r>
        <w:t xml:space="preserve">defense.</w:t>
      </w:r>
      <w:r>
        <w:t xml:space="preserve">   </w:t>
      </w:r>
      <w:r>
        <w:tab/>
      </w:r>
      <w:r>
        <w:t xml:space="preserve">6</w:t>
      </w:r>
    </w:p>
    <w:p>
      <w:pPr>
        <w:keepLines/>
        <w:tabs>
          <w:tab w:val="right" w:leader="dot" w:pos="9360"/>
        </w:tabs>
        <w:spacing w:before="216" w:after="0" w:line="276" w:lineRule="exact"/>
        <w:ind w:left="1080" w:right="720" w:hanging="360"/>
      </w:pPr>
      <w:r>
        <w:t xml:space="preserve">A.</w:t>
      </w:r>
      <w:r>
        <w:t xml:space="preserve"> </w:t>
      </w:r>
      <w:r>
        <w:t xml:space="preserve">This</w:t>
      </w:r>
      <w:r>
        <w:t xml:space="preserve"> </w:t>
      </w:r>
      <w:r>
        <w:t xml:space="preserve">issue</w:t>
      </w:r>
      <w:r>
        <w:t xml:space="preserve"> </w:t>
      </w:r>
      <w:r>
        <w:t xml:space="preserve">was</w:t>
      </w:r>
      <w:r>
        <w:t xml:space="preserve"> </w:t>
      </w:r>
      <w:r>
        <w:t xml:space="preserve">properly</w:t>
      </w:r>
      <w:r>
        <w:t xml:space="preserve"> </w:t>
      </w:r>
      <w:r>
        <w:t xml:space="preserve">preserved</w:t>
      </w:r>
      <w:r>
        <w:t xml:space="preserve"> </w:t>
      </w:r>
      <w:r>
        <w:t xml:space="preserve">for</w:t>
      </w:r>
      <w:r>
        <w:t xml:space="preserve"> </w:t>
      </w:r>
      <w:r>
        <w:t xml:space="preserve">appellate</w:t>
      </w:r>
      <w:r>
        <w:t xml:space="preserve"> </w:t>
      </w:r>
      <w:r>
        <w:t xml:space="preserve">review.</w:t>
      </w:r>
      <w:r>
        <w:t xml:space="preserve">   </w:t>
      </w:r>
      <w:r>
        <w:tab/>
      </w:r>
      <w:r>
        <w:t xml:space="preserve">7</w:t>
      </w:r>
    </w:p>
    <w:p>
      <w:pPr>
        <w:keepLines/>
        <w:tabs>
          <w:tab w:val="right" w:leader="dot" w:pos="9360"/>
        </w:tabs>
        <w:spacing w:before="216" w:after="0" w:line="276" w:lineRule="exact"/>
        <w:ind w:left="1080" w:right="720" w:hanging="360"/>
      </w:pPr>
      <w:r>
        <w:t xml:space="preserve">B.</w:t>
      </w:r>
      <w:r>
        <w:t xml:space="preserve"> </w:t>
      </w:r>
      <w:r>
        <w:t xml:space="preserve">Reversal</w:t>
      </w:r>
      <w:r>
        <w:t xml:space="preserve"> </w:t>
      </w:r>
      <w:r>
        <w:t xml:space="preserve">is</w:t>
      </w:r>
      <w:r>
        <w:t xml:space="preserve"> </w:t>
      </w:r>
      <w:r>
        <w:t xml:space="preserve">warranted</w:t>
      </w:r>
      <w:r>
        <w:t xml:space="preserve"> </w:t>
      </w:r>
      <w:r>
        <w:t xml:space="preserve">because</w:t>
      </w:r>
      <w:r>
        <w:t xml:space="preserve"> </w:t>
      </w:r>
      <w:r>
        <w:t xml:space="preserve">the</w:t>
      </w:r>
      <w:r>
        <w:t xml:space="preserve"> </w:t>
      </w:r>
      <w:r>
        <w:t xml:space="preserve">instructions</w:t>
      </w:r>
      <w:r>
        <w:t xml:space="preserve"> </w:t>
      </w:r>
      <w:r>
        <w:t xml:space="preserve">were</w:t>
      </w:r>
      <w:r>
        <w:t xml:space="preserve"> </w:t>
      </w:r>
      <w:r>
        <w:t xml:space="preserve">erroneous</w:t>
      </w:r>
      <w:r>
        <w:t xml:space="preserve"> </w:t>
      </w:r>
      <w:r>
        <w:t xml:space="preserve">and</w:t>
      </w:r>
      <w:r>
        <w:t xml:space="preserve"> </w:t>
      </w:r>
      <w:r>
        <w:t xml:space="preserve">prejudicial.</w:t>
      </w:r>
      <w:r>
        <w:t xml:space="preserve">   </w:t>
      </w:r>
      <w:r>
        <w:tab/>
      </w:r>
      <w:r>
        <w:t xml:space="preserve">9</w:t>
      </w:r>
    </w:p>
    <w:p>
      <w:pPr>
        <w:keepLines/>
        <w:tabs>
          <w:tab w:val="right" w:leader="dot" w:pos="9360"/>
        </w:tabs>
        <w:spacing w:before="216" w:after="0" w:line="276" w:lineRule="exact"/>
        <w:ind w:left="720" w:right="720" w:hanging="360"/>
      </w:pPr>
      <w:r>
        <w:t xml:space="preserve">III.</w:t>
      </w:r>
      <w:r>
        <w:t xml:space="preserve"> </w:t>
      </w:r>
      <w:r>
        <w:t xml:space="preserve">Martin’s</w:t>
      </w:r>
      <w:r>
        <w:t xml:space="preserve"> </w:t>
      </w:r>
      <w:r>
        <w:t xml:space="preserve">four-year</w:t>
      </w:r>
      <w:r>
        <w:t xml:space="preserve"> </w:t>
      </w:r>
      <w:r>
        <w:t xml:space="preserve">prison</w:t>
      </w:r>
      <w:r>
        <w:t xml:space="preserve"> </w:t>
      </w:r>
      <w:r>
        <w:t xml:space="preserve">sentence</w:t>
      </w:r>
      <w:r>
        <w:t xml:space="preserve"> </w:t>
      </w:r>
      <w:r>
        <w:t xml:space="preserve">for</w:t>
      </w:r>
      <w:r>
        <w:t xml:space="preserve"> </w:t>
      </w:r>
      <w:r>
        <w:t xml:space="preserve">nonviolent</w:t>
      </w:r>
      <w:r>
        <w:t xml:space="preserve"> </w:t>
      </w:r>
      <w:r>
        <w:t xml:space="preserve">and</w:t>
      </w:r>
      <w:r>
        <w:t xml:space="preserve"> </w:t>
      </w:r>
      <w:r>
        <w:t xml:space="preserve">nondestructive</w:t>
      </w:r>
      <w:r>
        <w:t xml:space="preserve"> </w:t>
      </w:r>
      <w:r>
        <w:t xml:space="preserve">conduct</w:t>
      </w:r>
      <w:r>
        <w:t xml:space="preserve"> </w:t>
      </w:r>
      <w:r>
        <w:t xml:space="preserve">is</w:t>
      </w:r>
      <w:r>
        <w:t xml:space="preserve"> </w:t>
      </w:r>
      <w:r>
        <w:t xml:space="preserve">grossly</w:t>
      </w:r>
      <w:r>
        <w:t xml:space="preserve"> </w:t>
      </w:r>
      <w:r>
        <w:t xml:space="preserve">disproportionate</w:t>
      </w:r>
      <w:r>
        <w:t xml:space="preserve"> </w:t>
      </w:r>
      <w:r>
        <w:t xml:space="preserve">and</w:t>
      </w:r>
      <w:r>
        <w:t xml:space="preserve"> </w:t>
      </w:r>
      <w:r>
        <w:t xml:space="preserve">violates</w:t>
      </w:r>
      <w:r>
        <w:t xml:space="preserve"> </w:t>
      </w:r>
      <w:r>
        <w:t xml:space="preserve">the</w:t>
      </w:r>
      <w:r>
        <w:t xml:space="preserve"> </w:t>
      </w:r>
      <w:r>
        <w:t xml:space="preserve">Eighth</w:t>
      </w:r>
      <w:r>
        <w:t xml:space="preserve"> </w:t>
      </w:r>
      <w:r>
        <w:t xml:space="preserve">Amendment.</w:t>
      </w:r>
      <w:r>
        <w:t xml:space="preserve">   </w:t>
      </w:r>
      <w:r>
        <w:tab/>
      </w:r>
      <w:r>
        <w:t xml:space="preserve">11</w:t>
      </w:r>
    </w:p>
    <w:p>
      <w:pPr>
        <w:keepLines/>
        <w:tabs>
          <w:tab w:val="right" w:leader="dot" w:pos="9360"/>
        </w:tabs>
        <w:spacing w:before="216" w:after="0" w:line="276" w:lineRule="exact"/>
        <w:ind w:left="1080" w:right="720" w:hanging="360"/>
      </w:pPr>
      <w:r>
        <w:t xml:space="preserve">A.</w:t>
      </w:r>
      <w:r>
        <w:t xml:space="preserve"> </w:t>
      </w:r>
      <w:r>
        <w:t xml:space="preserve">Ms.</w:t>
      </w:r>
      <w:r>
        <w:t xml:space="preserve"> </w:t>
      </w:r>
      <w:r>
        <w:t xml:space="preserve">Martin’s</w:t>
      </w:r>
      <w:r>
        <w:t xml:space="preserve"> </w:t>
      </w:r>
      <w:r>
        <w:t xml:space="preserve">criminal</w:t>
      </w:r>
      <w:r>
        <w:t xml:space="preserve"> </w:t>
      </w:r>
      <w:r>
        <w:t xml:space="preserve">history</w:t>
      </w:r>
      <w:r>
        <w:t xml:space="preserve"> </w:t>
      </w:r>
      <w:r>
        <w:t xml:space="preserve">does</w:t>
      </w:r>
      <w:r>
        <w:t xml:space="preserve"> </w:t>
      </w:r>
      <w:r>
        <w:t xml:space="preserve">not</w:t>
      </w:r>
      <w:r>
        <w:t xml:space="preserve"> </w:t>
      </w:r>
      <w:r>
        <w:t xml:space="preserve">undermine</w:t>
      </w:r>
      <w:r>
        <w:t xml:space="preserve"> </w:t>
      </w:r>
      <w:r>
        <w:t xml:space="preserve">the</w:t>
      </w:r>
      <w:r>
        <w:t xml:space="preserve"> </w:t>
      </w:r>
      <w:r>
        <w:t xml:space="preserve">inference</w:t>
      </w:r>
      <w:r>
        <w:t xml:space="preserve"> </w:t>
      </w:r>
      <w:r>
        <w:t xml:space="preserve">of</w:t>
      </w:r>
      <w:r>
        <w:t xml:space="preserve"> </w:t>
      </w:r>
      <w:r>
        <w:t xml:space="preserve">gross</w:t>
      </w:r>
      <w:r>
        <w:t xml:space="preserve"> </w:t>
      </w:r>
      <w:r>
        <w:t xml:space="preserve">disproportionality.</w:t>
      </w:r>
      <w:r>
        <w:t xml:space="preserve">   </w:t>
      </w:r>
      <w:r>
        <w:tab/>
      </w:r>
      <w:r>
        <w:t xml:space="preserve">11</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State</w:t>
      </w:r>
      <w:r>
        <w:t xml:space="preserve"> </w:t>
      </w:r>
      <w:r>
        <w:t xml:space="preserve">did</w:t>
      </w:r>
      <w:r>
        <w:t xml:space="preserve"> </w:t>
      </w:r>
      <w:r>
        <w:t xml:space="preserve">not</w:t>
      </w:r>
      <w:r>
        <w:t xml:space="preserve"> </w:t>
      </w:r>
      <w:r>
        <w:t xml:space="preserve">address</w:t>
      </w:r>
      <w:r>
        <w:t xml:space="preserve"> </w:t>
      </w:r>
      <w:r>
        <w:t xml:space="preserve">the</w:t>
      </w:r>
      <w:r>
        <w:t xml:space="preserve"> </w:t>
      </w:r>
      <w:r>
        <w:t xml:space="preserve">compelling</w:t>
      </w:r>
      <w:r>
        <w:t xml:space="preserve"> </w:t>
      </w:r>
      <w:r>
        <w:t xml:space="preserve">comparative</w:t>
      </w:r>
      <w:r>
        <w:t xml:space="preserve"> </w:t>
      </w:r>
      <w:r>
        <w:t xml:space="preserve">analysis</w:t>
      </w:r>
      <w:r>
        <w:t xml:space="preserve"> </w:t>
      </w:r>
      <w:r>
        <w:t xml:space="preserve">offered</w:t>
      </w:r>
      <w:r>
        <w:t xml:space="preserve"> </w:t>
      </w:r>
      <w:r>
        <w:t xml:space="preserve">by</w:t>
      </w:r>
      <w:r>
        <w:t xml:space="preserve"> </w:t>
      </w:r>
      <w:r>
        <w:t xml:space="preserve">Appellant.</w:t>
      </w:r>
      <w:r>
        <w:t xml:space="preserve">   </w:t>
      </w:r>
      <w:r>
        <w:tab/>
      </w:r>
      <w:r>
        <w:t xml:space="preserve">13</w:t>
      </w:r>
    </w:p>
    <w:p>
      <w:pPr>
        <w:keepLines/>
        <w:tabs>
          <w:tab w:val="right" w:leader="dot" w:pos="9360"/>
        </w:tabs>
        <w:spacing w:before="216" w:after="0" w:line="276" w:lineRule="exact"/>
        <w:ind w:left="360" w:right="720" w:hanging="360"/>
      </w:pPr>
      <w:r>
        <w:t xml:space="preserve">CONCLUSION</w:t>
      </w:r>
      <w:r>
        <w:t xml:space="preserve">   </w:t>
      </w:r>
      <w:r>
        <w:tab/>
      </w:r>
      <w:r>
        <w:t xml:space="preserve">13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720" w:right="1120" w:hanging="720"/>
      </w:pPr>
      <w:r>
        <w:rPr>
          <w:i/>
          <w:iCs/>
        </w:rPr>
        <w:t xml:space="preserve">Amalgamated</w:t>
      </w:r>
      <w:r>
        <w:rPr>
          <w:i/>
          <w:iCs/>
        </w:rPr>
        <w:t xml:space="preserve"> </w:t>
      </w:r>
      <w:r>
        <w:rPr>
          <w:i/>
          <w:iCs/>
        </w:rPr>
        <w:t xml:space="preserve">Food</w:t>
      </w:r>
      <w:r>
        <w:rPr>
          <w:i/>
          <w:iCs/>
        </w:rPr>
        <w:t xml:space="preserve"> </w:t>
      </w:r>
      <w:r>
        <w:rPr>
          <w:i/>
          <w:iCs/>
        </w:rPr>
        <w:t xml:space="preserve">Emp.</w:t>
      </w:r>
      <w:r>
        <w:rPr>
          <w:i/>
          <w:iCs/>
        </w:rPr>
        <w:t xml:space="preserve"> </w:t>
      </w:r>
      <w:r>
        <w:rPr>
          <w:i/>
          <w:iCs/>
        </w:rPr>
        <w:t xml:space="preserve">Union</w:t>
      </w:r>
      <w:r>
        <w:rPr>
          <w:i/>
          <w:iCs/>
        </w:rPr>
        <w:t xml:space="preserve"> </w:t>
      </w:r>
      <w:r>
        <w:rPr>
          <w:i/>
          <w:iCs/>
        </w:rPr>
        <w:t xml:space="preserve">Local</w:t>
      </w:r>
      <w:r>
        <w:rPr>
          <w:i/>
          <w:iCs/>
        </w:rPr>
        <w:t xml:space="preserve"> </w:t>
      </w:r>
      <w:r>
        <w:rPr>
          <w:i/>
          <w:iCs/>
        </w:rPr>
        <w:t xml:space="preserve">590</w:t>
      </w:r>
      <w:r>
        <w:rPr>
          <w:i/>
          <w:iCs/>
        </w:rPr>
        <w:t xml:space="preserve"> </w:t>
      </w:r>
      <w:r>
        <w:rPr>
          <w:i/>
          <w:iCs/>
        </w:rPr>
        <w:t xml:space="preserve">v.</w:t>
      </w:r>
      <w:r>
        <w:rPr>
          <w:i/>
          <w:iCs/>
        </w:rPr>
        <w:t xml:space="preserve"> </w:t>
      </w:r>
      <w:r>
        <w:rPr>
          <w:i/>
          <w:iCs/>
        </w:rPr>
        <w:t xml:space="preserve">Logan</w:t>
      </w:r>
      <w:r>
        <w:rPr>
          <w:i/>
          <w:iCs/>
        </w:rPr>
        <w:t xml:space="preserve"> </w:t>
      </w:r>
      <w:r>
        <w:rPr>
          <w:i/>
          <w:iCs/>
        </w:rPr>
        <w:t xml:space="preserve">Valley</w:t>
      </w:r>
      <w:r>
        <w:rPr>
          <w:i/>
          <w:iCs/>
        </w:rPr>
        <w:t xml:space="preserve"> </w:t>
      </w:r>
      <w:r>
        <w:rPr>
          <w:i/>
          <w:iCs/>
        </w:rPr>
        <w:t xml:space="preserve">Plaza,</w:t>
      </w:r>
      <w:r>
        <w:rPr>
          <w:i/>
          <w:iCs/>
        </w:rPr>
        <w:t xml:space="preserve"> </w:t>
      </w:r>
      <w:r>
        <w:rPr>
          <w:i/>
          <w:iCs/>
        </w:rPr>
        <w:t xml:space="preserve">Inc.</w:t>
      </w:r>
      <w:r>
        <w:t xml:space="preserve">,</w:t>
      </w:r>
      <w:r>
        <w:t xml:space="preserve"> </w:t>
      </w:r>
      <w:r>
        <w:t xml:space="preserve">391</w:t>
      </w:r>
      <w:r>
        <w:t xml:space="preserve"> </w:t>
      </w:r>
      <w:r>
        <w:t xml:space="preserve">U.S.</w:t>
      </w:r>
      <w:r>
        <w:t xml:space="preserve"> </w:t>
      </w:r>
      <w:r>
        <w:t xml:space="preserve">308</w:t>
      </w:r>
      <w:r>
        <w:t xml:space="preserve"> </w:t>
      </w:r>
      <w:r>
        <w:t xml:space="preserve">(1968)</w:t>
      </w:r>
      <w:r>
        <w:t xml:space="preserve">   </w:t>
      </w:r>
      <w:r>
        <w:tab/>
      </w:r>
      <w:r>
        <w:t xml:space="preserve">5</w:t>
      </w:r>
    </w:p>
    <w:p>
      <w:pPr>
        <w:keepLines/>
        <w:tabs>
          <w:tab w:val="right" w:leader="dot" w:pos="9360"/>
        </w:tabs>
        <w:spacing w:before="216" w:after="0" w:line="276" w:lineRule="exact"/>
        <w:ind w:left="720" w:right="1120" w:hanging="720"/>
      </w:pPr>
      <w:r>
        <w:rPr>
          <w:i/>
          <w:iCs/>
        </w:rPr>
        <w:t xml:space="preserve">Barr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378</w:t>
      </w:r>
      <w:r>
        <w:t xml:space="preserve"> </w:t>
      </w:r>
      <w:r>
        <w:t xml:space="preserve">U.S.</w:t>
      </w:r>
      <w:r>
        <w:t xml:space="preserve"> </w:t>
      </w:r>
      <w:r>
        <w:t xml:space="preserve">146</w:t>
      </w:r>
      <w:r>
        <w:t xml:space="preserve"> </w:t>
      </w:r>
      <w:r>
        <w:t xml:space="preserve">(1964)</w:t>
      </w:r>
      <w:r>
        <w:t xml:space="preserve">   </w:t>
      </w:r>
      <w:r>
        <w:tab/>
      </w:r>
      <w:r>
        <w:t xml:space="preserve">6</w:t>
      </w:r>
    </w:p>
    <w:p>
      <w:pPr>
        <w:keepLines/>
        <w:tabs>
          <w:tab w:val="right" w:leader="dot" w:pos="9360"/>
        </w:tabs>
        <w:spacing w:before="216" w:after="0" w:line="276" w:lineRule="exact"/>
        <w:ind w:left="720" w:right="1120" w:hanging="720"/>
      </w:pPr>
      <w:r>
        <w:rPr>
          <w:i/>
          <w:iCs/>
        </w:rPr>
        <w:t xml:space="preserve">Bose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Consumers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Inc.</w:t>
      </w:r>
      <w:r>
        <w:t xml:space="preserve">,</w:t>
      </w:r>
      <w:r>
        <w:t xml:space="preserve"> </w:t>
      </w:r>
      <w:r>
        <w:t xml:space="preserve">466</w:t>
      </w:r>
      <w:r>
        <w:t xml:space="preserve"> </w:t>
      </w:r>
      <w:r>
        <w:t xml:space="preserve">U.S.</w:t>
      </w:r>
      <w:r>
        <w:t xml:space="preserve"> </w:t>
      </w:r>
      <w:r>
        <w:t xml:space="preserve">485</w:t>
      </w:r>
      <w:r>
        <w:t xml:space="preserve"> </w:t>
      </w:r>
      <w:r>
        <w:t xml:space="preserve">(1984)</w:t>
      </w:r>
      <w:r>
        <w:t xml:space="preserve">   </w:t>
      </w:r>
      <w:r>
        <w:tab/>
      </w:r>
      <w:r>
        <w:t xml:space="preserve">1, 2</w:t>
      </w:r>
    </w:p>
    <w:p>
      <w:pPr>
        <w:keepLines/>
        <w:tabs>
          <w:tab w:val="right" w:leader="dot" w:pos="9360"/>
        </w:tabs>
        <w:spacing w:before="216" w:after="0" w:line="276" w:lineRule="exact"/>
        <w:ind w:left="720" w:right="1120" w:hanging="720"/>
      </w:pPr>
      <w:r>
        <w:rPr>
          <w:i/>
          <w:iCs/>
        </w:rPr>
        <w:t xml:space="preserve">Connick</w:t>
      </w:r>
      <w:r>
        <w:rPr>
          <w:i/>
          <w:iCs/>
        </w:rPr>
        <w:t xml:space="preserve"> </w:t>
      </w:r>
      <w:r>
        <w:rPr>
          <w:i/>
          <w:iCs/>
        </w:rPr>
        <w:t xml:space="preserve">v.</w:t>
      </w:r>
      <w:r>
        <w:rPr>
          <w:i/>
          <w:iCs/>
        </w:rPr>
        <w:t xml:space="preserve"> </w:t>
      </w:r>
      <w:r>
        <w:rPr>
          <w:i/>
          <w:iCs/>
        </w:rPr>
        <w:t xml:space="preserve">Myers</w:t>
      </w:r>
      <w:r>
        <w:t xml:space="preserve">,</w:t>
      </w:r>
      <w:r>
        <w:t xml:space="preserve"> </w:t>
      </w:r>
      <w:r>
        <w:t xml:space="preserve">461</w:t>
      </w:r>
      <w:r>
        <w:t xml:space="preserve"> </w:t>
      </w:r>
      <w:r>
        <w:t xml:space="preserve">U.S.</w:t>
      </w:r>
      <w:r>
        <w:t xml:space="preserve"> </w:t>
      </w:r>
      <w:r>
        <w:t xml:space="preserve">138</w:t>
      </w:r>
      <w:r>
        <w:t xml:space="preserve"> </w:t>
      </w:r>
      <w:r>
        <w:t xml:space="preserve">(1983)</w:t>
      </w:r>
      <w:r>
        <w:t xml:space="preserve">   </w:t>
      </w:r>
      <w:r>
        <w:tab/>
      </w:r>
      <w:r>
        <w:t xml:space="preserve">13</w:t>
      </w:r>
    </w:p>
    <w:p>
      <w:pPr>
        <w:keepLines/>
        <w:tabs>
          <w:tab w:val="right" w:leader="dot" w:pos="9360"/>
        </w:tabs>
        <w:spacing w:before="216" w:after="0" w:line="276" w:lineRule="exact"/>
        <w:ind w:left="720" w:right="1200" w:hanging="720"/>
      </w:pPr>
      <w:r>
        <w:rPr>
          <w:i/>
          <w:iCs/>
        </w:rPr>
        <w:t xml:space="preserve">Edwards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372</w:t>
      </w:r>
      <w:r>
        <w:t xml:space="preserve"> </w:t>
      </w:r>
      <w:r>
        <w:t xml:space="preserve">U.S.</w:t>
      </w:r>
      <w:r>
        <w:t xml:space="preserve"> </w:t>
      </w:r>
      <w:r>
        <w:t xml:space="preserve">229</w:t>
      </w:r>
      <w:r>
        <w:t xml:space="preserve"> </w:t>
      </w:r>
      <w:r>
        <w:t xml:space="preserve">(1963)</w:t>
      </w:r>
      <w:r>
        <w:t xml:space="preserve">   </w:t>
      </w:r>
      <w:r>
        <w:tab/>
      </w:r>
      <w:r>
        <w:t xml:space="preserve">1, 2, 5, 6, 14</w:t>
      </w:r>
    </w:p>
    <w:p>
      <w:pPr>
        <w:keepLines/>
        <w:tabs>
          <w:tab w:val="right" w:leader="dot" w:pos="9360"/>
        </w:tabs>
        <w:spacing w:before="216" w:after="0" w:line="276" w:lineRule="exact"/>
        <w:ind w:left="720" w:right="1120" w:hanging="720"/>
      </w:pPr>
      <w:r>
        <w:rPr>
          <w:i/>
          <w:iCs/>
        </w:rPr>
        <w:t xml:space="preserve">Fields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375</w:t>
      </w:r>
      <w:r>
        <w:t xml:space="preserve"> </w:t>
      </w:r>
      <w:r>
        <w:t xml:space="preserve">U.S.</w:t>
      </w:r>
      <w:r>
        <w:t xml:space="preserve"> </w:t>
      </w:r>
      <w:r>
        <w:t xml:space="preserve">44</w:t>
      </w:r>
      <w:r>
        <w:t xml:space="preserve"> </w:t>
      </w:r>
      <w:r>
        <w:t xml:space="preserve">(1963)</w:t>
      </w:r>
      <w:r>
        <w:t xml:space="preserve">   </w:t>
      </w:r>
      <w:r>
        <w:tab/>
      </w:r>
      <w:r>
        <w:t xml:space="preserve">13, 14</w:t>
      </w:r>
    </w:p>
    <w:p>
      <w:pPr>
        <w:keepLines/>
        <w:tabs>
          <w:tab w:val="right" w:leader="dot" w:pos="9360"/>
        </w:tabs>
        <w:spacing w:before="216" w:after="0" w:line="276" w:lineRule="exact"/>
        <w:ind w:left="720" w:right="1120" w:hanging="720"/>
      </w:pPr>
      <w:r>
        <w:rPr>
          <w:i/>
          <w:iCs/>
        </w:rPr>
        <w:t xml:space="preserve">Henry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w:t>
      </w:r>
      <w:r>
        <w:rPr>
          <w:i/>
          <w:iCs/>
        </w:rPr>
        <w:t xml:space="preserve"> </w:t>
      </w:r>
      <w:r>
        <w:rPr>
          <w:i/>
          <w:iCs/>
        </w:rPr>
        <w:t xml:space="preserve">Hill</w:t>
      </w:r>
      <w:r>
        <w:t xml:space="preserve">,</w:t>
      </w:r>
      <w:r>
        <w:t xml:space="preserve"> </w:t>
      </w:r>
      <w:r>
        <w:t xml:space="preserve">376</w:t>
      </w:r>
      <w:r>
        <w:t xml:space="preserve"> </w:t>
      </w:r>
      <w:r>
        <w:t xml:space="preserve">U.S.</w:t>
      </w:r>
      <w:r>
        <w:t xml:space="preserve"> </w:t>
      </w:r>
      <w:r>
        <w:t xml:space="preserve">776,</w:t>
      </w:r>
      <w:r>
        <w:t xml:space="preserve"> </w:t>
      </w:r>
      <w:r>
        <w:t xml:space="preserve">777</w:t>
      </w:r>
      <w:r>
        <w:t xml:space="preserve"> </w:t>
      </w:r>
      <w:r>
        <w:t xml:space="preserve">(1964)</w:t>
      </w:r>
      <w:r>
        <w:t xml:space="preserve">   </w:t>
      </w:r>
      <w:r>
        <w:tab/>
      </w:r>
      <w:r>
        <w:t xml:space="preserve">14</w:t>
      </w:r>
    </w:p>
    <w:p>
      <w:pPr>
        <w:keepLines/>
        <w:tabs>
          <w:tab w:val="right" w:leader="dot" w:pos="9360"/>
        </w:tabs>
        <w:spacing w:before="216" w:after="0" w:line="276" w:lineRule="exact"/>
        <w:ind w:left="720" w:right="1120" w:hanging="720"/>
      </w:pPr>
      <w:r>
        <w:rPr>
          <w:i/>
          <w:iCs/>
        </w:rPr>
        <w:t xml:space="preserve">Herron</w:t>
      </w:r>
      <w:r>
        <w:rPr>
          <w:i/>
          <w:iCs/>
        </w:rPr>
        <w:t xml:space="preserve"> </w:t>
      </w:r>
      <w:r>
        <w:rPr>
          <w:i/>
          <w:iCs/>
        </w:rPr>
        <w:t xml:space="preserve">v.</w:t>
      </w:r>
      <w:r>
        <w:rPr>
          <w:i/>
          <w:iCs/>
        </w:rPr>
        <w:t xml:space="preserve"> </w:t>
      </w:r>
      <w:r>
        <w:rPr>
          <w:i/>
          <w:iCs/>
        </w:rPr>
        <w:t xml:space="preserve">Century</w:t>
      </w:r>
      <w:r>
        <w:rPr>
          <w:i/>
          <w:iCs/>
        </w:rPr>
        <w:t xml:space="preserve"> </w:t>
      </w:r>
      <w:r>
        <w:rPr>
          <w:i/>
          <w:iCs/>
        </w:rPr>
        <w:t xml:space="preserve">BMW</w:t>
      </w:r>
      <w:r>
        <w:t xml:space="preserve">,</w:t>
      </w:r>
      <w:r>
        <w:t xml:space="preserve"> </w:t>
      </w:r>
      <w:r>
        <w:t xml:space="preserve">395</w:t>
      </w:r>
      <w:r>
        <w:t xml:space="preserve"> </w:t>
      </w:r>
      <w:r>
        <w:t xml:space="preserve">S.C.</w:t>
      </w:r>
      <w:r>
        <w:t xml:space="preserve"> </w:t>
      </w:r>
      <w:r>
        <w:t xml:space="preserve">461,</w:t>
      </w:r>
      <w:r>
        <w:t xml:space="preserve"> </w:t>
      </w:r>
      <w:r>
        <w:t xml:space="preserve">719</w:t>
      </w:r>
      <w:r>
        <w:t xml:space="preserve"> </w:t>
      </w:r>
      <w:r>
        <w:t xml:space="preserve">S.E.2d</w:t>
      </w:r>
      <w:r>
        <w:t xml:space="preserve"> </w:t>
      </w:r>
      <w:r>
        <w:t xml:space="preserve">640</w:t>
      </w:r>
      <w:r>
        <w:t xml:space="preserve"> </w:t>
      </w:r>
      <w:r>
        <w:t xml:space="preserve">(2011)</w:t>
      </w:r>
      <w:r>
        <w:t xml:space="preserve">   </w:t>
      </w:r>
      <w:r>
        <w:tab/>
      </w:r>
      <w:r>
        <w:t xml:space="preserve">7</w:t>
      </w:r>
    </w:p>
    <w:p>
      <w:pPr>
        <w:keepLines/>
        <w:tabs>
          <w:tab w:val="right" w:leader="dot" w:pos="9360"/>
        </w:tabs>
        <w:spacing w:before="216"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George</w:t>
      </w:r>
      <w:r>
        <w:rPr>
          <w:i/>
          <w:iCs/>
        </w:rPr>
        <w:t xml:space="preserve"> </w:t>
      </w:r>
      <w:r>
        <w:rPr>
          <w:i/>
          <w:iCs/>
        </w:rPr>
        <w:t xml:space="preserve">T</w:t>
      </w:r>
      <w:r>
        <w:t xml:space="preserve">,</w:t>
      </w:r>
      <w:r>
        <w:t xml:space="preserve"> </w:t>
      </w:r>
      <w:r>
        <w:t xml:space="preserve">93</w:t>
      </w:r>
      <w:r>
        <w:t xml:space="preserve"> </w:t>
      </w:r>
      <w:r>
        <w:t xml:space="preserve">P.3d</w:t>
      </w:r>
      <w:r>
        <w:t xml:space="preserve"> </w:t>
      </w:r>
      <w:r>
        <w:t xml:space="preserve">1007</w:t>
      </w:r>
      <w:r>
        <w:t xml:space="preserve"> </w:t>
      </w:r>
      <w:r>
        <w:t xml:space="preserve">(Cal.</w:t>
      </w:r>
      <w:r>
        <w:t xml:space="preserve"> </w:t>
      </w:r>
      <w:r>
        <w:t xml:space="preserve">2004)</w:t>
      </w:r>
      <w:r>
        <w:t xml:space="preserve">   </w:t>
      </w:r>
      <w:r>
        <w:tab/>
      </w:r>
      <w:r>
        <w:t xml:space="preserve">3</w:t>
      </w:r>
    </w:p>
    <w:p>
      <w:pPr>
        <w:keepLines/>
        <w:tabs>
          <w:tab w:val="right" w:leader="dot" w:pos="9360"/>
        </w:tabs>
        <w:spacing w:before="216" w:after="0" w:line="276" w:lineRule="exact"/>
        <w:ind w:left="720" w:right="1120" w:hanging="720"/>
      </w:pPr>
      <w:r>
        <w:rPr>
          <w:i/>
          <w:iCs/>
        </w:rPr>
        <w:t xml:space="preserve">N.Y.</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1</w:t>
      </w:r>
    </w:p>
    <w:p>
      <w:pPr>
        <w:keepLines/>
        <w:tabs>
          <w:tab w:val="right" w:leader="dot" w:pos="9360"/>
        </w:tabs>
        <w:spacing w:before="216" w:after="0" w:line="276" w:lineRule="exact"/>
        <w:ind w:left="720" w:right="1120" w:hanging="720"/>
      </w:pPr>
      <w:r>
        <w:rPr>
          <w:i/>
          <w:iCs/>
        </w:rPr>
        <w:t xml:space="preserve">Ryan</w:t>
      </w:r>
      <w:r>
        <w:rPr>
          <w:i/>
          <w:iCs/>
        </w:rPr>
        <w:t xml:space="preserve"> </w:t>
      </w:r>
      <w:r>
        <w:rPr>
          <w:i/>
          <w:iCs/>
        </w:rPr>
        <w:t xml:space="preserve">v.</w:t>
      </w:r>
      <w:r>
        <w:rPr>
          <w:i/>
          <w:iCs/>
        </w:rPr>
        <w:t xml:space="preserve"> </w:t>
      </w:r>
      <w:r>
        <w:rPr>
          <w:i/>
          <w:iCs/>
        </w:rPr>
        <w:t xml:space="preserve">Brooks</w:t>
      </w:r>
      <w:r>
        <w:t xml:space="preserve">,</w:t>
      </w:r>
      <w:r>
        <w:t xml:space="preserve"> </w:t>
      </w:r>
      <w:r>
        <w:t xml:space="preserve">634</w:t>
      </w:r>
      <w:r>
        <w:t xml:space="preserve"> </w:t>
      </w:r>
      <w:r>
        <w:t xml:space="preserve">F.2d</w:t>
      </w:r>
      <w:r>
        <w:t xml:space="preserve"> </w:t>
      </w:r>
      <w:r>
        <w:t xml:space="preserve">726</w:t>
      </w:r>
      <w:r>
        <w:t xml:space="preserve"> </w:t>
      </w:r>
      <w:r>
        <w:t xml:space="preserve">(4th</w:t>
      </w:r>
      <w:r>
        <w:t xml:space="preserve"> </w:t>
      </w:r>
      <w:r>
        <w:t xml:space="preserve">Cir.</w:t>
      </w:r>
      <w:r>
        <w:t xml:space="preserve"> </w:t>
      </w:r>
      <w:r>
        <w:t xml:space="preserve">1980)</w:t>
      </w:r>
      <w:r>
        <w:t xml:space="preserve">   </w:t>
      </w:r>
      <w:r>
        <w:tab/>
      </w:r>
      <w:r>
        <w:t xml:space="preserve">3</w:t>
      </w:r>
    </w:p>
    <w:p>
      <w:pPr>
        <w:keepLines/>
        <w:tabs>
          <w:tab w:val="right" w:leader="dot" w:pos="9360"/>
        </w:tabs>
        <w:spacing w:before="216" w:after="0" w:line="276" w:lineRule="exact"/>
        <w:ind w:left="720" w:right="1120" w:hanging="720"/>
      </w:pPr>
      <w:r>
        <w:rPr>
          <w:i/>
          <w:iCs/>
        </w:rPr>
        <w:t xml:space="preserve">Snyder</w:t>
      </w:r>
      <w:r>
        <w:rPr>
          <w:i/>
          <w:iCs/>
        </w:rPr>
        <w:t xml:space="preserve"> </w:t>
      </w:r>
      <w:r>
        <w:rPr>
          <w:i/>
          <w:iCs/>
        </w:rPr>
        <w:t xml:space="preserve">v.</w:t>
      </w:r>
      <w:r>
        <w:rPr>
          <w:i/>
          <w:iCs/>
        </w:rPr>
        <w:t xml:space="preserve"> </w:t>
      </w:r>
      <w:r>
        <w:rPr>
          <w:i/>
          <w:iCs/>
        </w:rPr>
        <w:t xml:space="preserve">Phelps</w:t>
      </w:r>
      <w:r>
        <w:t xml:space="preserve">,</w:t>
      </w:r>
      <w:r>
        <w:t xml:space="preserve"> </w:t>
      </w:r>
      <w:r>
        <w:t xml:space="preserve">562</w:t>
      </w:r>
      <w:r>
        <w:t xml:space="preserve"> </w:t>
      </w:r>
      <w:r>
        <w:t xml:space="preserve">U.S.</w:t>
      </w:r>
      <w:r>
        <w:t xml:space="preserve"> </w:t>
      </w:r>
      <w:r>
        <w:t xml:space="preserve">443</w:t>
      </w:r>
      <w:r>
        <w:t xml:space="preserve"> </w:t>
      </w:r>
      <w:r>
        <w:t xml:space="preserve">(2011)</w:t>
      </w:r>
      <w:r>
        <w:t xml:space="preserve">   </w:t>
      </w:r>
      <w:r>
        <w:tab/>
      </w:r>
      <w:r>
        <w:t xml:space="preserve">1</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Avery</w:t>
      </w:r>
      <w:r>
        <w:t xml:space="preserve">,</w:t>
      </w:r>
      <w:r>
        <w:t xml:space="preserve"> </w:t>
      </w:r>
      <w:r>
        <w:t xml:space="preserve">333</w:t>
      </w:r>
      <w:r>
        <w:t xml:space="preserve"> </w:t>
      </w:r>
      <w:r>
        <w:t xml:space="preserve">S.C.</w:t>
      </w:r>
      <w:r>
        <w:t xml:space="preserve"> </w:t>
      </w:r>
      <w:r>
        <w:t xml:space="preserve">284,</w:t>
      </w:r>
      <w:r>
        <w:t xml:space="preserve"> </w:t>
      </w:r>
      <w:r>
        <w:t xml:space="preserve">509</w:t>
      </w:r>
      <w:r>
        <w:t xml:space="preserve"> </w:t>
      </w:r>
      <w:r>
        <w:t xml:space="preserve">S.E.2d</w:t>
      </w:r>
      <w:r>
        <w:t xml:space="preserve"> </w:t>
      </w:r>
      <w:r>
        <w:t xml:space="preserve">476</w:t>
      </w:r>
      <w:r>
        <w:t xml:space="preserve"> </w:t>
      </w:r>
      <w:r>
        <w:t xml:space="preserve">(1998)</w:t>
      </w:r>
      <w:r>
        <w:t xml:space="preserve">   </w:t>
      </w:r>
      <w:r>
        <w:tab/>
      </w:r>
      <w:r>
        <w:t xml:space="preserve">8</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Bryant</w:t>
      </w:r>
      <w:r>
        <w:t xml:space="preserve">,</w:t>
      </w:r>
      <w:r>
        <w:t xml:space="preserve"> </w:t>
      </w:r>
      <w:r>
        <w:t xml:space="preserve">391</w:t>
      </w:r>
      <w:r>
        <w:t xml:space="preserve"> </w:t>
      </w:r>
      <w:r>
        <w:t xml:space="preserve">S.C.</w:t>
      </w:r>
      <w:r>
        <w:t xml:space="preserve"> </w:t>
      </w:r>
      <w:r>
        <w:t xml:space="preserve">225,</w:t>
      </w:r>
      <w:r>
        <w:t xml:space="preserve"> </w:t>
      </w:r>
      <w:r>
        <w:t xml:space="preserve">705</w:t>
      </w:r>
      <w:r>
        <w:t xml:space="preserve"> </w:t>
      </w:r>
      <w:r>
        <w:t xml:space="preserve">S.E.2d</w:t>
      </w:r>
      <w:r>
        <w:t xml:space="preserve"> </w:t>
      </w:r>
      <w:r>
        <w:t xml:space="preserve">465</w:t>
      </w:r>
      <w:r>
        <w:t xml:space="preserve"> </w:t>
      </w:r>
      <w:r>
        <w:t xml:space="preserve">(Ct.</w:t>
      </w:r>
      <w:r>
        <w:t xml:space="preserve"> </w:t>
      </w:r>
      <w:r>
        <w:t xml:space="preserve">App.</w:t>
      </w:r>
      <w:r>
        <w:t xml:space="preserve"> </w:t>
      </w:r>
      <w:r>
        <w:t xml:space="preserve">2010)</w:t>
      </w:r>
      <w:r>
        <w:t xml:space="preserve">   </w:t>
      </w:r>
      <w:r>
        <w:tab/>
      </w:r>
      <w:r>
        <w:t xml:space="preserve">7</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Burdette</w:t>
      </w:r>
      <w:r>
        <w:t xml:space="preserve">,</w:t>
      </w:r>
      <w:r>
        <w:t xml:space="preserve"> </w:t>
      </w:r>
      <w:r>
        <w:t xml:space="preserve">427</w:t>
      </w:r>
      <w:r>
        <w:t xml:space="preserve"> </w:t>
      </w:r>
      <w:r>
        <w:t xml:space="preserve">S.C.</w:t>
      </w:r>
      <w:r>
        <w:t xml:space="preserve"> </w:t>
      </w:r>
      <w:r>
        <w:t xml:space="preserve">490,</w:t>
      </w:r>
      <w:r>
        <w:t xml:space="preserve"> </w:t>
      </w:r>
      <w:r>
        <w:t xml:space="preserve">832</w:t>
      </w:r>
      <w:r>
        <w:t xml:space="preserve"> </w:t>
      </w:r>
      <w:r>
        <w:t xml:space="preserve">S.E.2d</w:t>
      </w:r>
      <w:r>
        <w:t xml:space="preserve"> </w:t>
      </w:r>
      <w:r>
        <w:t xml:space="preserve">575</w:t>
      </w:r>
      <w:r>
        <w:t xml:space="preserve"> </w:t>
      </w:r>
      <w:r>
        <w:t xml:space="preserve">(2019)</w:t>
      </w:r>
      <w:r>
        <w:t xml:space="preserve">   </w:t>
      </w:r>
      <w:r>
        <w:tab/>
      </w:r>
      <w:r>
        <w:t xml:space="preserve">10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Burkhart</w:t>
      </w:r>
      <w:r>
        <w:t xml:space="preserve">,</w:t>
      </w:r>
      <w:r>
        <w:t xml:space="preserve"> </w:t>
      </w:r>
      <w:r>
        <w:t xml:space="preserve">350</w:t>
      </w:r>
      <w:r>
        <w:t xml:space="preserve"> </w:t>
      </w:r>
      <w:r>
        <w:t xml:space="preserve">S.C.</w:t>
      </w:r>
      <w:r>
        <w:t xml:space="preserve"> </w:t>
      </w:r>
      <w:r>
        <w:t xml:space="preserve">252,</w:t>
      </w:r>
      <w:r>
        <w:t xml:space="preserve"> </w:t>
      </w:r>
      <w:r>
        <w:t xml:space="preserve">565</w:t>
      </w:r>
      <w:r>
        <w:t xml:space="preserve"> </w:t>
      </w:r>
      <w:r>
        <w:t xml:space="preserve">S.E.2d</w:t>
      </w:r>
      <w:r>
        <w:t xml:space="preserve"> </w:t>
      </w:r>
      <w:r>
        <w:t xml:space="preserve">298</w:t>
      </w:r>
      <w:r>
        <w:t xml:space="preserve"> </w:t>
      </w:r>
      <w:r>
        <w:t xml:space="preserve">(2002)</w:t>
      </w:r>
      <w:r>
        <w:t xml:space="preserve">   </w:t>
      </w:r>
      <w:r>
        <w:tab/>
      </w:r>
      <w:r>
        <w:t xml:space="preserve">9, 10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Butler</w:t>
      </w:r>
      <w:r>
        <w:t xml:space="preserve">,</w:t>
      </w:r>
      <w:r>
        <w:t xml:space="preserve"> </w:t>
      </w:r>
      <w:r>
        <w:t xml:space="preserve">407</w:t>
      </w:r>
      <w:r>
        <w:t xml:space="preserve"> </w:t>
      </w:r>
      <w:r>
        <w:t xml:space="preserve">S.C.</w:t>
      </w:r>
      <w:r>
        <w:t xml:space="preserve"> </w:t>
      </w:r>
      <w:r>
        <w:t xml:space="preserve">376,</w:t>
      </w:r>
      <w:r>
        <w:t xml:space="preserve"> </w:t>
      </w:r>
      <w:r>
        <w:t xml:space="preserve">755</w:t>
      </w:r>
      <w:r>
        <w:t xml:space="preserve"> </w:t>
      </w:r>
      <w:r>
        <w:t xml:space="preserve">S.E.2d</w:t>
      </w:r>
      <w:r>
        <w:t xml:space="preserve"> </w:t>
      </w:r>
      <w:r>
        <w:t xml:space="preserve">457</w:t>
      </w:r>
      <w:r>
        <w:t xml:space="preserve"> </w:t>
      </w:r>
      <w:r>
        <w:t xml:space="preserve">(2014)</w:t>
      </w:r>
      <w:r>
        <w:t xml:space="preserve">   </w:t>
      </w:r>
      <w:r>
        <w:tab/>
      </w:r>
      <w:r>
        <w:t xml:space="preserve">2</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Ford</w:t>
      </w:r>
      <w:r>
        <w:t xml:space="preserve">,</w:t>
      </w:r>
      <w:r>
        <w:t xml:space="preserve"> </w:t>
      </w:r>
      <w:r>
        <w:t xml:space="preserve">334</w:t>
      </w:r>
      <w:r>
        <w:t xml:space="preserve"> </w:t>
      </w:r>
      <w:r>
        <w:t xml:space="preserve">S.C.</w:t>
      </w:r>
      <w:r>
        <w:t xml:space="preserve"> </w:t>
      </w:r>
      <w:r>
        <w:t xml:space="preserve">444,</w:t>
      </w:r>
      <w:r>
        <w:t xml:space="preserve"> </w:t>
      </w:r>
      <w:r>
        <w:t xml:space="preserve">513</w:t>
      </w:r>
      <w:r>
        <w:t xml:space="preserve"> </w:t>
      </w:r>
      <w:r>
        <w:t xml:space="preserve">S.E.2d</w:t>
      </w:r>
      <w:r>
        <w:t xml:space="preserve"> </w:t>
      </w:r>
      <w:r>
        <w:t xml:space="preserve">385</w:t>
      </w:r>
      <w:r>
        <w:t xml:space="preserve"> </w:t>
      </w:r>
      <w:r>
        <w:t xml:space="preserve">(Ct.</w:t>
      </w:r>
      <w:r>
        <w:t xml:space="preserve"> </w:t>
      </w:r>
      <w:r>
        <w:t xml:space="preserve">App.</w:t>
      </w:r>
      <w:r>
        <w:t xml:space="preserve"> </w:t>
      </w:r>
      <w:r>
        <w:t xml:space="preserve">1999)</w:t>
      </w:r>
      <w:r>
        <w:t xml:space="preserve">   </w:t>
      </w:r>
      <w:r>
        <w:tab/>
      </w:r>
      <w:r>
        <w:t xml:space="preserve">8</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402</w:t>
      </w:r>
      <w:r>
        <w:t xml:space="preserve"> </w:t>
      </w:r>
      <w:r>
        <w:t xml:space="preserve">S.C.</w:t>
      </w:r>
      <w:r>
        <w:t xml:space="preserve"> </w:t>
      </w:r>
      <w:r>
        <w:t xml:space="preserve">288,</w:t>
      </w:r>
      <w:r>
        <w:t xml:space="preserve"> </w:t>
      </w:r>
      <w:r>
        <w:t xml:space="preserve">741</w:t>
      </w:r>
      <w:r>
        <w:t xml:space="preserve"> </w:t>
      </w:r>
      <w:r>
        <w:t xml:space="preserve">S.E.2d</w:t>
      </w:r>
      <w:r>
        <w:t xml:space="preserve"> </w:t>
      </w:r>
      <w:r>
        <w:t xml:space="preserve">727</w:t>
      </w:r>
      <w:r>
        <w:t xml:space="preserve"> </w:t>
      </w:r>
      <w:r>
        <w:t xml:space="preserve">(2013)</w:t>
      </w:r>
      <w:r>
        <w:t xml:space="preserve">   </w:t>
      </w:r>
      <w:r>
        <w:tab/>
      </w:r>
      <w:r>
        <w:t xml:space="preserve">11</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Hatcher</w:t>
      </w:r>
      <w:r>
        <w:t xml:space="preserve">,</w:t>
      </w:r>
      <w:r>
        <w:t xml:space="preserve"> </w:t>
      </w:r>
      <w:r>
        <w:t xml:space="preserve">2008</w:t>
      </w:r>
      <w:r>
        <w:t xml:space="preserve"> </w:t>
      </w:r>
      <w:r>
        <w:t xml:space="preserve">WL</w:t>
      </w:r>
      <w:r>
        <w:t xml:space="preserve"> </w:t>
      </w:r>
      <w:r>
        <w:t xml:space="preserve">9841517</w:t>
      </w:r>
      <w:r>
        <w:t xml:space="preserve"> </w:t>
      </w:r>
      <w:r>
        <w:t xml:space="preserve">(Ct.</w:t>
      </w:r>
      <w:r>
        <w:t xml:space="preserve"> </w:t>
      </w:r>
      <w:r>
        <w:t xml:space="preserve">App.</w:t>
      </w:r>
      <w:r>
        <w:t xml:space="preserve"> </w:t>
      </w:r>
      <w:r>
        <w:t xml:space="preserve">2008)</w:t>
      </w:r>
      <w:r>
        <w:t xml:space="preserve">   </w:t>
      </w:r>
      <w:r>
        <w:tab/>
      </w:r>
      <w:r>
        <w:t xml:space="preserve">7</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33</w:t>
      </w:r>
      <w:r>
        <w:t xml:space="preserve"> </w:t>
      </w:r>
      <w:r>
        <w:t xml:space="preserve">S.C.</w:t>
      </w:r>
      <w:r>
        <w:t xml:space="preserve"> </w:t>
      </w:r>
      <w:r>
        <w:t xml:space="preserve">62,</w:t>
      </w:r>
      <w:r>
        <w:t xml:space="preserve"> </w:t>
      </w:r>
      <w:r>
        <w:t xml:space="preserve">508</w:t>
      </w:r>
      <w:r>
        <w:t xml:space="preserve"> </w:t>
      </w:r>
      <w:r>
        <w:t xml:space="preserve">S.E.2d</w:t>
      </w:r>
      <w:r>
        <w:t xml:space="preserve"> </w:t>
      </w:r>
      <w:r>
        <w:t xml:space="preserve">29</w:t>
      </w:r>
      <w:r>
        <w:t xml:space="preserve"> </w:t>
      </w:r>
      <w:r>
        <w:t xml:space="preserve">(1998)</w:t>
      </w:r>
      <w:r>
        <w:t xml:space="preserve">   </w:t>
      </w:r>
      <w:r>
        <w:tab/>
      </w:r>
      <w:r>
        <w:t xml:space="preserve">7</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439</w:t>
      </w:r>
      <w:r>
        <w:t xml:space="preserve"> </w:t>
      </w:r>
      <w:r>
        <w:t xml:space="preserve">S.C.</w:t>
      </w:r>
      <w:r>
        <w:t xml:space="preserve"> </w:t>
      </w:r>
      <w:r>
        <w:t xml:space="preserve">331,</w:t>
      </w:r>
      <w:r>
        <w:t xml:space="preserve"> </w:t>
      </w:r>
      <w:r>
        <w:t xml:space="preserve">887</w:t>
      </w:r>
      <w:r>
        <w:t xml:space="preserve"> </w:t>
      </w:r>
      <w:r>
        <w:t xml:space="preserve">S.E.2d</w:t>
      </w:r>
      <w:r>
        <w:t xml:space="preserve"> </w:t>
      </w:r>
      <w:r>
        <w:t xml:space="preserve">127</w:t>
      </w:r>
      <w:r>
        <w:t xml:space="preserve"> </w:t>
      </w:r>
      <w:r>
        <w:t xml:space="preserve">(2023)</w:t>
      </w:r>
      <w:r>
        <w:t xml:space="preserve">   </w:t>
      </w:r>
      <w:r>
        <w:tab/>
      </w:r>
      <w:r>
        <w:t xml:space="preserve">7</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Simms</w:t>
      </w:r>
      <w:r>
        <w:t xml:space="preserve">,</w:t>
      </w:r>
      <w:r>
        <w:t xml:space="preserve"> </w:t>
      </w:r>
      <w:r>
        <w:t xml:space="preserve">412</w:t>
      </w:r>
      <w:r>
        <w:t xml:space="preserve"> </w:t>
      </w:r>
      <w:r>
        <w:t xml:space="preserve">S.C.</w:t>
      </w:r>
      <w:r>
        <w:t xml:space="preserve"> </w:t>
      </w:r>
      <w:r>
        <w:t xml:space="preserve">590,</w:t>
      </w:r>
      <w:r>
        <w:t xml:space="preserve"> </w:t>
      </w:r>
      <w:r>
        <w:t xml:space="preserve">774</w:t>
      </w:r>
      <w:r>
        <w:t xml:space="preserve"> </w:t>
      </w:r>
      <w:r>
        <w:t xml:space="preserve">S.E.2d</w:t>
      </w:r>
      <w:r>
        <w:t xml:space="preserve"> </w:t>
      </w:r>
      <w:r>
        <w:t xml:space="preserve">445</w:t>
      </w:r>
      <w:r>
        <w:t xml:space="preserve"> </w:t>
      </w:r>
      <w:r>
        <w:t xml:space="preserve">(2015)</w:t>
      </w:r>
      <w:r>
        <w:t xml:space="preserve">   </w:t>
      </w:r>
      <w:r>
        <w:tab/>
      </w:r>
      <w:r>
        <w:t xml:space="preserve">13</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Weston</w:t>
      </w:r>
      <w:r>
        <w:t xml:space="preserve">,</w:t>
      </w:r>
      <w:r>
        <w:t xml:space="preserve"> </w:t>
      </w:r>
      <w:r>
        <w:t xml:space="preserve">367</w:t>
      </w:r>
      <w:r>
        <w:t xml:space="preserve"> </w:t>
      </w:r>
      <w:r>
        <w:t xml:space="preserve">S.C.</w:t>
      </w:r>
      <w:r>
        <w:t xml:space="preserve"> </w:t>
      </w:r>
      <w:r>
        <w:t xml:space="preserve">279,</w:t>
      </w:r>
      <w:r>
        <w:t xml:space="preserve"> </w:t>
      </w:r>
      <w:r>
        <w:t xml:space="preserve">625</w:t>
      </w:r>
      <w:r>
        <w:t xml:space="preserve"> </w:t>
      </w:r>
      <w:r>
        <w:t xml:space="preserve">S.E.2d</w:t>
      </w:r>
      <w:r>
        <w:t xml:space="preserve"> </w:t>
      </w:r>
      <w:r>
        <w:t xml:space="preserve">641</w:t>
      </w:r>
      <w:r>
        <w:t xml:space="preserve"> </w:t>
      </w:r>
      <w:r>
        <w:t xml:space="preserve">(2006)</w:t>
      </w:r>
      <w:r>
        <w:t xml:space="preserve">   </w:t>
      </w:r>
      <w:r>
        <w:tab/>
      </w:r>
      <w:r>
        <w:t xml:space="preserve">2</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Food</w:t>
      </w:r>
      <w:r>
        <w:rPr>
          <w:i/>
          <w:iCs/>
        </w:rPr>
        <w:t xml:space="preserve"> </w:t>
      </w:r>
      <w:r>
        <w:rPr>
          <w:i/>
          <w:iCs/>
        </w:rPr>
        <w:t xml:space="preserve">&amp;</w:t>
      </w:r>
      <w:r>
        <w:rPr>
          <w:i/>
          <w:iCs/>
        </w:rPr>
        <w:t xml:space="preserve"> </w:t>
      </w:r>
      <w:r>
        <w:rPr>
          <w:i/>
          <w:iCs/>
        </w:rPr>
        <w:t xml:space="preserve">Com.</w:t>
      </w:r>
      <w:r>
        <w:rPr>
          <w:i/>
          <w:iCs/>
        </w:rPr>
        <w:t xml:space="preserve"> </w:t>
      </w:r>
      <w:r>
        <w:rPr>
          <w:i/>
          <w:iCs/>
        </w:rPr>
        <w:t xml:space="preserve">Workers</w:t>
      </w:r>
      <w:r>
        <w:rPr>
          <w:i/>
          <w:iCs/>
        </w:rPr>
        <w:t xml:space="preserve"> </w:t>
      </w:r>
      <w:r>
        <w:rPr>
          <w:i/>
          <w:iCs/>
        </w:rPr>
        <w:t xml:space="preserve">Union</w:t>
      </w:r>
      <w:r>
        <w:rPr>
          <w:i/>
          <w:iCs/>
        </w:rPr>
        <w:t xml:space="preserve"> </w:t>
      </w:r>
      <w:r>
        <w:rPr>
          <w:i/>
          <w:iCs/>
        </w:rPr>
        <w:t xml:space="preserve">Loc.</w:t>
      </w:r>
      <w:r>
        <w:rPr>
          <w:i/>
          <w:iCs/>
        </w:rPr>
        <w:t xml:space="preserve"> </w:t>
      </w:r>
      <w:r>
        <w:rPr>
          <w:i/>
          <w:iCs/>
        </w:rPr>
        <w:t xml:space="preserve">442</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Valdosta</w:t>
      </w:r>
      <w:r>
        <w:t xml:space="preserve">,</w:t>
      </w:r>
      <w:r>
        <w:t xml:space="preserve"> </w:t>
      </w:r>
      <w:r>
        <w:t xml:space="preserve">861</w:t>
      </w:r>
      <w:r>
        <w:t xml:space="preserve"> </w:t>
      </w:r>
      <w:r>
        <w:t xml:space="preserve">F.</w:t>
      </w:r>
      <w:r>
        <w:t xml:space="preserve"> </w:t>
      </w:r>
      <w:r>
        <w:t xml:space="preserve">Supp.</w:t>
      </w:r>
      <w:r>
        <w:t xml:space="preserve"> </w:t>
      </w:r>
      <w:r>
        <w:t xml:space="preserve">1570</w:t>
      </w:r>
      <w:r>
        <w:t xml:space="preserve"> </w:t>
      </w:r>
      <w:r>
        <w:t xml:space="preserve">(M.D.</w:t>
      </w:r>
      <w:r>
        <w:t xml:space="preserve"> </w:t>
      </w:r>
      <w:r>
        <w:t xml:space="preserve">Ga.</w:t>
      </w:r>
      <w:r>
        <w:t xml:space="preserve"> </w:t>
      </w:r>
      <w:r>
        <w:t xml:space="preserve">1994)</w:t>
      </w:r>
      <w:r>
        <w:t xml:space="preserve">   </w:t>
      </w:r>
      <w:r>
        <w:tab/>
      </w:r>
      <w:r>
        <w:t xml:space="preserve">5</w:t>
      </w:r>
    </w:p>
    <w:p>
      <w:pPr>
        <w:keepLines/>
        <w:tabs>
          <w:tab w:val="right" w:leader="dot" w:pos="9360"/>
        </w:tabs>
        <w:spacing w:before="216" w:after="0" w:line="276" w:lineRule="exact"/>
        <w:ind w:left="720" w:right="1120" w:hanging="720"/>
      </w:pPr>
      <w:r>
        <w:rPr>
          <w:i/>
          <w:iCs/>
        </w:rPr>
        <w:t xml:space="preserve">Watts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394</w:t>
      </w:r>
      <w:r>
        <w:t xml:space="preserve"> </w:t>
      </w:r>
      <w:r>
        <w:t xml:space="preserve">U.S.</w:t>
      </w:r>
      <w:r>
        <w:t xml:space="preserve"> </w:t>
      </w:r>
      <w:r>
        <w:t xml:space="preserve">705</w:t>
      </w:r>
      <w:r>
        <w:t xml:space="preserve"> </w:t>
      </w:r>
      <w:r>
        <w:t xml:space="preserve">(1969)</w:t>
      </w:r>
      <w:r>
        <w:t xml:space="preserve">   </w:t>
      </w:r>
      <w:r>
        <w:tab/>
      </w:r>
      <w:r>
        <w:t xml:space="preserve">1</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720" w:right="1120" w:hanging="720"/>
      </w:pPr>
      <w:r>
        <w:t xml:space="preserve">Brief</w:t>
      </w:r>
      <w:r>
        <w:t xml:space="preserve"> </w:t>
      </w:r>
      <w:r>
        <w:t xml:space="preserve">for</w:t>
      </w:r>
      <w:r>
        <w:t xml:space="preserve"> </w:t>
      </w:r>
      <w:r>
        <w:t xml:space="preserve">Respondent</w:t>
      </w:r>
      <w:r>
        <w:t xml:space="preserve"> </w:t>
      </w:r>
      <w:r>
        <w:t xml:space="preserve">City</w:t>
      </w:r>
      <w:r>
        <w:t xml:space="preserve"> </w:t>
      </w:r>
      <w:r>
        <w:t xml:space="preserve">of</w:t>
      </w:r>
      <w:r>
        <w:t xml:space="preserve"> </w:t>
      </w:r>
      <w:r>
        <w:t xml:space="preserve">Columbia,</w:t>
      </w:r>
      <w:r>
        <w:t xml:space="preserve"> </w:t>
      </w:r>
      <w:r>
        <w:rPr>
          <w:i/>
          <w:iCs/>
        </w:rPr>
        <w:t xml:space="preserve">Barr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378</w:t>
      </w:r>
      <w:r>
        <w:t xml:space="preserve"> </w:t>
      </w:r>
      <w:r>
        <w:t xml:space="preserve">U.S.</w:t>
      </w:r>
      <w:r>
        <w:t xml:space="preserve"> </w:t>
      </w:r>
      <w:r>
        <w:t xml:space="preserve">146</w:t>
      </w:r>
      <w:r>
        <w:t xml:space="preserve"> </w:t>
      </w:r>
      <w:r>
        <w:t xml:space="preserve">(1964)</w:t>
      </w:r>
      <w:r>
        <w:t xml:space="preserve"> </w:t>
      </w:r>
      <w:r>
        <w:t xml:space="preserve">(No.</w:t>
      </w:r>
      <w:r>
        <w:t xml:space="preserve"> </w:t>
      </w:r>
      <w:r>
        <w:t xml:space="preserve">10).</w:t>
      </w:r>
      <w:r>
        <w:t xml:space="preserve">   </w:t>
      </w:r>
      <w:r>
        <w:tab/>
      </w:r>
      <w:r>
        <w:t xml:space="preserve">6</w:t>
      </w:r>
    </w:p>
    <w:p>
      <w:pPr>
        <w:keepLines/>
        <w:tabs>
          <w:tab w:val="right" w:leader="dot" w:pos="9360"/>
        </w:tabs>
        <w:spacing w:before="216" w:after="0" w:line="276" w:lineRule="exact"/>
        <w:ind w:left="720" w:right="1120" w:hanging="720"/>
      </w:pPr>
      <w:r>
        <w:t xml:space="preserve">Brief</w:t>
      </w:r>
      <w:r>
        <w:t xml:space="preserve"> </w:t>
      </w:r>
      <w:r>
        <w:t xml:space="preserve">for</w:t>
      </w:r>
      <w:r>
        <w:t xml:space="preserve"> </w:t>
      </w:r>
      <w:r>
        <w:t xml:space="preserve">Respondent,</w:t>
      </w:r>
      <w:r>
        <w:t xml:space="preserve"> </w:t>
      </w:r>
      <w:r>
        <w:rPr>
          <w:i/>
          <w:iCs/>
        </w:rPr>
        <w:t xml:space="preserve">Edwards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372</w:t>
      </w:r>
      <w:r>
        <w:t xml:space="preserve"> </w:t>
      </w:r>
      <w:r>
        <w:t xml:space="preserve">U.S.</w:t>
      </w:r>
      <w:r>
        <w:t xml:space="preserve"> </w:t>
      </w:r>
      <w:r>
        <w:t xml:space="preserve">229</w:t>
      </w:r>
      <w:r>
        <w:t xml:space="preserve"> </w:t>
      </w:r>
      <w:r>
        <w:t xml:space="preserve">(1963)</w:t>
      </w:r>
      <w:r>
        <w:t xml:space="preserve"> </w:t>
      </w:r>
      <w:r>
        <w:t xml:space="preserve">(No.</w:t>
      </w:r>
      <w:r>
        <w:t xml:space="preserve"> </w:t>
      </w:r>
      <w:r>
        <w:t xml:space="preserve">86),</w:t>
      </w:r>
      <w:r>
        <w:t xml:space="preserve"> </w:t>
      </w:r>
      <w:r>
        <w:t xml:space="preserve">1962</w:t>
      </w:r>
      <w:r>
        <w:t xml:space="preserve"> </w:t>
      </w:r>
      <w:r>
        <w:t xml:space="preserve">WL</w:t>
      </w:r>
      <w:r>
        <w:t xml:space="preserve"> </w:t>
      </w:r>
      <w:r>
        <w:t xml:space="preserve">115493</w:t>
      </w:r>
      <w:r>
        <w:t xml:space="preserve">   </w:t>
      </w:r>
      <w:r>
        <w:tab/>
      </w:r>
      <w:r>
        <w:t xml:space="preserve">6</w:t>
      </w:r>
    </w:p>
    <w:p>
      <w:pPr>
        <w:keepLines/>
        <w:tabs>
          <w:tab w:val="right" w:leader="dot" w:pos="9360"/>
        </w:tabs>
        <w:spacing w:before="216" w:after="0" w:line="276" w:lineRule="exact"/>
        <w:ind w:left="720" w:right="1120" w:hanging="720"/>
      </w:pPr>
      <w:r>
        <w:t xml:space="preserve">Brief</w:t>
      </w:r>
      <w:r>
        <w:t xml:space="preserve"> </w:t>
      </w:r>
      <w:r>
        <w:t xml:space="preserve">in</w:t>
      </w:r>
      <w:r>
        <w:t xml:space="preserve"> </w:t>
      </w:r>
      <w:r>
        <w:t xml:space="preserve">Opposition,</w:t>
      </w:r>
      <w:r>
        <w:t xml:space="preserve"> </w:t>
      </w:r>
      <w:r>
        <w:rPr>
          <w:i/>
          <w:iCs/>
        </w:rPr>
        <w:t xml:space="preserve">Fields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375</w:t>
      </w:r>
      <w:r>
        <w:t xml:space="preserve"> </w:t>
      </w:r>
      <w:r>
        <w:t xml:space="preserve">U.S.</w:t>
      </w:r>
      <w:r>
        <w:t xml:space="preserve"> </w:t>
      </w:r>
      <w:r>
        <w:t xml:space="preserve">44</w:t>
      </w:r>
      <w:r>
        <w:t xml:space="preserve"> </w:t>
      </w:r>
      <w:r>
        <w:t xml:space="preserve">(1963)</w:t>
      </w:r>
      <w:r>
        <w:t xml:space="preserve"> </w:t>
      </w:r>
      <w:r>
        <w:t xml:space="preserve">(No.</w:t>
      </w:r>
      <w:r>
        <w:t xml:space="preserve"> </w:t>
      </w:r>
      <w:r>
        <w:t xml:space="preserve">335).</w:t>
      </w:r>
      <w:r>
        <w:t xml:space="preserve">   </w:t>
      </w:r>
      <w:r>
        <w:tab/>
      </w:r>
      <w:r>
        <w:t xml:space="preserve">13</w:t>
      </w:r>
    </w:p>
    <w:p>
      <w:pPr>
        <w:keepLines/>
        <w:tabs>
          <w:tab w:val="right" w:leader="dot" w:pos="9360"/>
        </w:tabs>
        <w:spacing w:before="216" w:after="0" w:line="276" w:lineRule="exact"/>
        <w:ind w:left="720" w:right="1120" w:hanging="720"/>
      </w:pPr>
      <w:r>
        <w:t xml:space="preserve">Brief</w:t>
      </w:r>
      <w:r>
        <w:t xml:space="preserve"> </w:t>
      </w:r>
      <w:r>
        <w:t xml:space="preserve">in</w:t>
      </w:r>
      <w:r>
        <w:t xml:space="preserve"> </w:t>
      </w:r>
      <w:r>
        <w:t xml:space="preserve">Opposition,</w:t>
      </w:r>
      <w:r>
        <w:t xml:space="preserve"> </w:t>
      </w:r>
      <w:r>
        <w:rPr>
          <w:i/>
          <w:iCs/>
        </w:rPr>
        <w:t xml:space="preserve">Henry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w:t>
      </w:r>
      <w:r>
        <w:rPr>
          <w:i/>
          <w:iCs/>
        </w:rPr>
        <w:t xml:space="preserve"> </w:t>
      </w:r>
      <w:r>
        <w:rPr>
          <w:i/>
          <w:iCs/>
        </w:rPr>
        <w:t xml:space="preserve">Hill</w:t>
      </w:r>
      <w:r>
        <w:t xml:space="preserve">,</w:t>
      </w:r>
      <w:r>
        <w:t xml:space="preserve"> </w:t>
      </w:r>
      <w:r>
        <w:t xml:space="preserve">376</w:t>
      </w:r>
      <w:r>
        <w:t xml:space="preserve"> </w:t>
      </w:r>
      <w:r>
        <w:t xml:space="preserve">U.S.</w:t>
      </w:r>
      <w:r>
        <w:t xml:space="preserve"> </w:t>
      </w:r>
      <w:r>
        <w:t xml:space="preserve">776</w:t>
      </w:r>
      <w:r>
        <w:t xml:space="preserve"> </w:t>
      </w:r>
      <w:r>
        <w:t xml:space="preserve">(1964)</w:t>
      </w:r>
      <w:r>
        <w:t xml:space="preserve"> </w:t>
      </w:r>
      <w:r>
        <w:t xml:space="preserve">(No.</w:t>
      </w:r>
      <w:r>
        <w:t xml:space="preserve"> </w:t>
      </w:r>
      <w:r>
        <w:t xml:space="preserve">954).</w:t>
      </w:r>
      <w:r>
        <w:t xml:space="preserve">   </w:t>
      </w:r>
      <w:r>
        <w:tab/>
      </w:r>
      <w:r>
        <w:t xml:space="preserve">14</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Nowhere in its twenty-page brief does the State identify the specific conduct that resulted in Ms. Martin’s conviction for BOPHAN. Rather, in a post hoc attempt to sustain Ms. Martin’s conviction, the State cobbles together disparate snapshots from a five-day protest, none of which involved injury or destruction of property.</w:t>
      </w:r>
    </w:p>
    <w:p>
      <w:pPr>
        <w:pStyle w:val="BodyText"/>
      </w:pPr>
      <w:r>
        <w:t xml:space="preserve">The State’s brief does, however, reveal exactly why Sumter County officials prosecuted Ms. Martin: because she was not “polite” and because she “attempted to spread” ideas they disagree with. Respondent’s Initial Brief at 8, 3 [hereinafter RIB];</w:t>
      </w:r>
      <w:r>
        <w:t xml:space="preserve"> </w:t>
      </w:r>
      <w:r>
        <w:rPr>
          <w:i/>
          <w:iCs/>
        </w:rPr>
        <w:t xml:space="preserve">see also</w:t>
      </w:r>
      <w:r>
        <w:t xml:space="preserve"> </w:t>
      </w:r>
      <w:r>
        <w:t xml:space="preserve">Appellant’s Initial Brief at 8–9 [hereinafter AIB]. But the First Amendment protects even “vehement, caustic, and . . . unpleasantly sharp attacks on government and public officials,”</w:t>
      </w:r>
      <w:r>
        <w:t xml:space="preserve"> </w:t>
      </w:r>
      <w:r>
        <w:rPr>
          <w:i/>
          <w:iCs/>
        </w:rPr>
        <w:t xml:space="preserve">N.Y. Times Co. v. Sullivan</w:t>
      </w:r>
      <w:r>
        <w:t xml:space="preserve">, 376 U.S. 254, 270 (1964), that “inflict great pain,”</w:t>
      </w:r>
      <w:r>
        <w:t xml:space="preserve"> </w:t>
      </w:r>
      <w:r>
        <w:rPr>
          <w:i/>
          <w:iCs/>
        </w:rPr>
        <w:t xml:space="preserve">Snyder</w:t>
      </w:r>
      <w:r>
        <w:rPr>
          <w:i/>
          <w:iCs/>
        </w:rPr>
        <w:t xml:space="preserve"> </w:t>
      </w:r>
      <w:r>
        <w:rPr>
          <w:i/>
          <w:iCs/>
        </w:rPr>
        <w:t xml:space="preserve">v. Phelps</w:t>
      </w:r>
      <w:r>
        <w:t xml:space="preserve">, 562 U.S. 443, 460–61 (2011), are “vituperative, abusive, and inexact,”</w:t>
      </w:r>
      <w:r>
        <w:t xml:space="preserve"> </w:t>
      </w:r>
      <w:r>
        <w:rPr>
          <w:i/>
          <w:iCs/>
        </w:rPr>
        <w:t xml:space="preserve">Watts</w:t>
      </w:r>
      <w:r>
        <w:rPr>
          <w:i/>
          <w:iCs/>
        </w:rPr>
        <w:t xml:space="preserve"> </w:t>
      </w:r>
      <w:r>
        <w:rPr>
          <w:i/>
          <w:iCs/>
        </w:rPr>
        <w:t xml:space="preserve">v. United States</w:t>
      </w:r>
      <w:r>
        <w:t xml:space="preserve">, 394 U.S. 705, 708 (1969), or “stir[] people to anger, invite[] public dispute, or br[ing] about a condition of unrest,”</w:t>
      </w:r>
      <w:r>
        <w:t xml:space="preserve"> </w:t>
      </w:r>
      <w:r>
        <w:rPr>
          <w:i/>
          <w:iCs/>
        </w:rPr>
        <w:t xml:space="preserve">Edwards</w:t>
      </w:r>
      <w:r>
        <w:rPr>
          <w:i/>
          <w:iCs/>
        </w:rPr>
        <w:t xml:space="preserve"> </w:t>
      </w:r>
      <w:r>
        <w:rPr>
          <w:i/>
          <w:iCs/>
        </w:rPr>
        <w:t xml:space="preserve">v. South Carolina</w:t>
      </w:r>
      <w:r>
        <w:t xml:space="preserve">, 372 U.S. 229, 238 (1963) (citation and quotation marks omitted). Because Ms. Martin is now serving a four-year prison sentence for conduct protected by the First Amendment, her conviction should be vacated.</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for</w:t>
      </w:r>
      <w:r>
        <w:rPr>
          <w:b/>
          <w:bCs/>
        </w:rPr>
        <w:t xml:space="preserve"> </w:t>
      </w:r>
      <w:r>
        <w:rPr>
          <w:b/>
          <w:bCs/>
        </w:rPr>
        <w:t xml:space="preserve">BOPHAN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vacated.</w:t>
      </w:r>
    </w:p>
    <w:p>
      <w:pPr>
        <w:pStyle w:val="BodyText"/>
      </w:pPr>
      <w:r>
        <w:t xml:space="preserve">“[I]n cases raising First Amendment issues . . . an appellate court has an obligation to make an independent examination of the whole record in order to make sure that the judgment does not constitute a forbidden intrusion on the field of free expression.”</w:t>
      </w:r>
      <w:r>
        <w:t xml:space="preserve"> </w:t>
      </w:r>
      <w:r>
        <w:rPr>
          <w:i/>
          <w:iCs/>
        </w:rPr>
        <w:t xml:space="preserve">Bose</w:t>
      </w:r>
      <w:r>
        <w:rPr>
          <w:i/>
          <w:iCs/>
        </w:rPr>
        <w:t xml:space="preserve"> </w:t>
      </w:r>
      <w:r>
        <w:rPr>
          <w:i/>
          <w:iCs/>
        </w:rPr>
        <w:t xml:space="preserve">Corp. v. Consumers Union of U.S., Inc.</w:t>
      </w:r>
      <w:r>
        <w:t xml:space="preserve">, 466 U.S. 485, 499 (1984). This is particularly important when, as here, the conviction did not “result[] from the evenhanded application of a precise and narrowly drawn regulatory statute evincing a legislative judgment that certain specific conduct be limited or proscribed.”</w:t>
      </w:r>
      <w:r>
        <w:t xml:space="preserve"> </w:t>
      </w:r>
      <w:r>
        <w:rPr>
          <w:i/>
          <w:iCs/>
        </w:rPr>
        <w:t xml:space="preserve">Edwards</w:t>
      </w:r>
      <w:r>
        <w:t xml:space="preserve">, 372 U.S. at 237. If Ms. Martin “had been convicted upon evidence that [she] had violated a law regulating traffic, or had disobeyed a law reasonably limiting the periods [a certain location was] open to the public, this would be a different case.”</w:t>
      </w:r>
      <w:r>
        <w:t xml:space="preserve"> </w:t>
      </w:r>
      <w:r>
        <w:rPr>
          <w:i/>
          <w:iCs/>
        </w:rPr>
        <w:t xml:space="preserve">Id.</w:t>
      </w:r>
      <w:r>
        <w:t xml:space="preserve"> </w:t>
      </w:r>
      <w:r>
        <w:t xml:space="preserve">But that is not what happened: rather, Ms. Martin was “convicted of an offense so generalized as to be, in the words of the South Carolina Supreme Court, ‘not susceptible of exact definition.’”</w:t>
      </w:r>
      <w:r>
        <w:t xml:space="preserve"> </w:t>
      </w:r>
      <w:r>
        <w:rPr>
          <w:i/>
          <w:iCs/>
        </w:rPr>
        <w:t xml:space="preserve">Id.</w:t>
      </w:r>
      <w:r>
        <w:t xml:space="preserve"> </w:t>
      </w:r>
      <w:r>
        <w:t xml:space="preserve">at 237. In this case, then, this Court’s obligation to conduct an independent review is paramount.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Independent</w:t>
      </w:r>
      <w:r>
        <w:rPr>
          <w:b/>
          <w:bCs/>
          <w:i/>
          <w:iCs/>
        </w:rPr>
        <w:t xml:space="preserve"> </w:t>
      </w:r>
      <w:r>
        <w:rPr>
          <w:b/>
          <w:bCs/>
          <w:i/>
          <w:iCs/>
        </w:rPr>
        <w:t xml:space="preserve">review</w:t>
      </w:r>
      <w:r>
        <w:rPr>
          <w:b/>
          <w:bCs/>
          <w:i/>
          <w:iCs/>
        </w:rPr>
        <w:t xml:space="preserve"> </w:t>
      </w:r>
      <w:r>
        <w:rPr>
          <w:b/>
          <w:bCs/>
          <w:i/>
          <w:iCs/>
        </w:rPr>
        <w:t xml:space="preserve">to</w:t>
      </w:r>
      <w:r>
        <w:rPr>
          <w:b/>
          <w:bCs/>
          <w:i/>
          <w:iCs/>
        </w:rPr>
        <w:t xml:space="preserve"> </w:t>
      </w:r>
      <w:r>
        <w:rPr>
          <w:b/>
          <w:bCs/>
          <w:i/>
          <w:iCs/>
        </w:rPr>
        <w:t xml:space="preserve">protect</w:t>
      </w:r>
      <w:r>
        <w:rPr>
          <w:b/>
          <w:bCs/>
          <w:i/>
          <w:iCs/>
        </w:rPr>
        <w:t xml:space="preserve"> </w:t>
      </w:r>
      <w:r>
        <w:rPr>
          <w:b/>
          <w:bCs/>
          <w:i/>
          <w:iCs/>
        </w:rPr>
        <w:t xml:space="preserve">the</w:t>
      </w:r>
      <w:r>
        <w:rPr>
          <w:b/>
          <w:bCs/>
          <w:i/>
          <w:iCs/>
        </w:rPr>
        <w:t xml:space="preserve"> </w:t>
      </w:r>
      <w:r>
        <w:rPr>
          <w:b/>
          <w:bCs/>
          <w:i/>
          <w:iCs/>
        </w:rPr>
        <w:t xml:space="preserve">First</w:t>
      </w:r>
      <w:r>
        <w:rPr>
          <w:b/>
          <w:bCs/>
          <w:i/>
          <w:iCs/>
        </w:rPr>
        <w:t xml:space="preserve"> </w:t>
      </w:r>
      <w:r>
        <w:rPr>
          <w:b/>
          <w:bCs/>
          <w:i/>
          <w:iCs/>
        </w:rPr>
        <w:t xml:space="preserve">Amendment</w:t>
      </w:r>
      <w:r>
        <w:rPr>
          <w:b/>
          <w:bCs/>
          <w:i/>
          <w:iCs/>
        </w:rPr>
        <w:t xml:space="preserve"> </w:t>
      </w:r>
      <w:r>
        <w:rPr>
          <w:b/>
          <w:bCs/>
          <w:i/>
          <w:iCs/>
        </w:rPr>
        <w:t xml:space="preserve">is</w:t>
      </w:r>
      <w:r>
        <w:rPr>
          <w:b/>
          <w:bCs/>
          <w:i/>
          <w:iCs/>
        </w:rPr>
        <w:t xml:space="preserve"> </w:t>
      </w:r>
      <w:r>
        <w:rPr>
          <w:b/>
          <w:bCs/>
          <w:i/>
          <w:iCs/>
        </w:rPr>
        <w:t xml:space="preserve">distinct</w:t>
      </w:r>
      <w:r>
        <w:rPr>
          <w:b/>
          <w:bCs/>
          <w:i/>
          <w:iCs/>
        </w:rPr>
        <w:t xml:space="preserve"> </w:t>
      </w:r>
      <w:r>
        <w:rPr>
          <w:b/>
          <w:bCs/>
          <w:i/>
          <w:iCs/>
        </w:rPr>
        <w:t xml:space="preserve">from</w:t>
      </w:r>
      <w:r>
        <w:rPr>
          <w:b/>
          <w:bCs/>
          <w:i/>
          <w:iCs/>
        </w:rPr>
        <w:t xml:space="preserve"> </w:t>
      </w:r>
      <w:r>
        <w:rPr>
          <w:b/>
          <w:bCs/>
          <w:i/>
          <w:iCs/>
        </w:rPr>
        <w:t xml:space="preserve">review</w:t>
      </w:r>
      <w:r>
        <w:rPr>
          <w:b/>
          <w:bCs/>
          <w:i/>
          <w:iCs/>
        </w:rPr>
        <w:t xml:space="preserve"> </w:t>
      </w:r>
      <w:r>
        <w:rPr>
          <w:b/>
          <w:bCs/>
          <w:i/>
          <w:iCs/>
        </w:rPr>
        <w:t xml:space="preserve">to</w:t>
      </w:r>
      <w:r>
        <w:rPr>
          <w:b/>
          <w:bCs/>
          <w:i/>
          <w:iCs/>
        </w:rPr>
        <w:t xml:space="preserve"> </w:t>
      </w:r>
      <w:r>
        <w:rPr>
          <w:b/>
          <w:bCs/>
          <w:i/>
          <w:iCs/>
        </w:rPr>
        <w:t xml:space="preserve">ensure</w:t>
      </w:r>
      <w:r>
        <w:rPr>
          <w:b/>
          <w:bCs/>
          <w:i/>
          <w:iCs/>
        </w:rPr>
        <w:t xml:space="preserve"> </w:t>
      </w:r>
      <w:r>
        <w:rPr>
          <w:b/>
          <w:bCs/>
          <w:i/>
          <w:iCs/>
        </w:rPr>
        <w:t xml:space="preserve">the</w:t>
      </w:r>
      <w:r>
        <w:rPr>
          <w:b/>
          <w:bCs/>
          <w:i/>
          <w:iCs/>
        </w:rPr>
        <w:t xml:space="preserve"> </w:t>
      </w:r>
      <w:r>
        <w:rPr>
          <w:b/>
          <w:bCs/>
          <w:i/>
          <w:iCs/>
        </w:rPr>
        <w:t xml:space="preserve">sufficiency</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evidence.</w:t>
      </w:r>
    </w:p>
    <w:p>
      <w:pPr>
        <w:pStyle w:val="BodyText"/>
      </w:pPr>
      <w:r>
        <w:t xml:space="preserve">A sufficiency of the evidence challenge asks whether, when “view[ing] the evidence and all reasonable inferences in the light most favorable to the State,” there is “any direct evidence or substantial circumstantial evidence reasonably tending to prove the guilt of the accused.”</w:t>
      </w:r>
      <w:r>
        <w:t xml:space="preserve"> </w:t>
      </w:r>
      <w:r>
        <w:rPr>
          <w:i/>
          <w:iCs/>
        </w:rPr>
        <w:t xml:space="preserve">See, e.g.</w:t>
      </w:r>
      <w:r>
        <w:t xml:space="preserve">,</w:t>
      </w:r>
      <w:r>
        <w:t xml:space="preserve"> </w:t>
      </w:r>
      <w:r>
        <w:rPr>
          <w:i/>
          <w:iCs/>
        </w:rPr>
        <w:t xml:space="preserve">State v. Butler</w:t>
      </w:r>
      <w:r>
        <w:t xml:space="preserve">, 407 S.C. 376, 380, 755 S.E.2d 457, 460 (2014) (quoting</w:t>
      </w:r>
      <w:r>
        <w:t xml:space="preserve"> </w:t>
      </w:r>
      <w:r>
        <w:rPr>
          <w:i/>
          <w:iCs/>
        </w:rPr>
        <w:t xml:space="preserve">State v. Weston</w:t>
      </w:r>
      <w:r>
        <w:t xml:space="preserve">, 367 S.C. 279, 292, 625 S.E.2d 641, 648 (2006)).</w:t>
      </w:r>
    </w:p>
    <w:p>
      <w:pPr>
        <w:pStyle w:val="BodyText"/>
      </w:pPr>
      <w:r>
        <w:t xml:space="preserve">The independent review demanded by the First Amendment, on the other hand, is more searching. Independent review asks whether “the judgment . . . constitute[d] a forbidden intrusion on the field of free expression”—in other words, whether the defendant was convicted for expression protected by the First Amendment.</w:t>
      </w:r>
      <w:r>
        <w:t xml:space="preserve"> </w:t>
      </w:r>
      <w:r>
        <w:rPr>
          <w:i/>
          <w:iCs/>
        </w:rPr>
        <w:t xml:space="preserve">Bose</w:t>
      </w:r>
      <w:r>
        <w:t xml:space="preserve">, 466 U.S. at 499. To fulfill its duty, a reviewing court must first identify the specific conduct that gave rise to the conviction and then determine whether that conduct is protected by the First Amendment. Both steps are necessary to ensure that the trier of fact did not impermissibly “intru[de] on the field of free expression.”</w:t>
      </w:r>
      <w:r>
        <w:t xml:space="preserve"> </w:t>
      </w:r>
      <w:r>
        <w:rPr>
          <w:i/>
          <w:iCs/>
        </w:rPr>
        <w:t xml:space="preserve">Id.</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issue</w:t>
      </w:r>
      <w:r>
        <w:rPr>
          <w:b/>
          <w:bCs/>
          <w:i/>
          <w:iCs/>
        </w:rPr>
        <w:t xml:space="preserve"> </w:t>
      </w:r>
      <w:r>
        <w:rPr>
          <w:b/>
          <w:bCs/>
          <w:i/>
          <w:iCs/>
        </w:rPr>
        <w:t xml:space="preserve">is</w:t>
      </w:r>
      <w:r>
        <w:rPr>
          <w:b/>
          <w:bCs/>
          <w:i/>
          <w:iCs/>
        </w:rPr>
        <w:t xml:space="preserve"> </w:t>
      </w:r>
      <w:r>
        <w:rPr>
          <w:b/>
          <w:bCs/>
          <w:i/>
          <w:iCs/>
        </w:rPr>
        <w:t xml:space="preserve">properly</w:t>
      </w:r>
      <w:r>
        <w:rPr>
          <w:b/>
          <w:bCs/>
          <w:i/>
          <w:iCs/>
        </w:rPr>
        <w:t xml:space="preserve"> </w:t>
      </w:r>
      <w:r>
        <w:rPr>
          <w:b/>
          <w:bCs/>
          <w:i/>
          <w:iCs/>
        </w:rPr>
        <w:t xml:space="preserve">before</w:t>
      </w:r>
      <w:r>
        <w:rPr>
          <w:b/>
          <w:bCs/>
          <w:i/>
          <w:iCs/>
        </w:rPr>
        <w:t xml:space="preserve"> </w:t>
      </w:r>
      <w:r>
        <w:rPr>
          <w:b/>
          <w:bCs/>
          <w:i/>
          <w:iCs/>
        </w:rPr>
        <w:t xml:space="preserve">the</w:t>
      </w:r>
      <w:r>
        <w:rPr>
          <w:b/>
          <w:bCs/>
          <w:i/>
          <w:iCs/>
        </w:rPr>
        <w:t xml:space="preserve"> </w:t>
      </w:r>
      <w:r>
        <w:rPr>
          <w:b/>
          <w:bCs/>
          <w:i/>
          <w:iCs/>
        </w:rPr>
        <w:t xml:space="preserve">court.</w:t>
      </w:r>
    </w:p>
    <w:p>
      <w:pPr>
        <w:pStyle w:val="BodyText"/>
      </w:pPr>
      <w:r>
        <w:t xml:space="preserve">The State’s argument that Appellant failed to preserve this issue is unavailing. To invoke an appellate court’s obligation to conduct an independent review, a party must do two things: raise a First Amendment defense and challenge the sufficiency of the evidence.</w:t>
      </w:r>
      <w:r>
        <w:t xml:space="preserve"> </w:t>
      </w:r>
      <w:r>
        <w:rPr>
          <w:i/>
          <w:iCs/>
        </w:rPr>
        <w:t xml:space="preserve">See In re George T</w:t>
      </w:r>
      <w:r>
        <w:t xml:space="preserve">, 93 P.3d 1007, 1015 (Cal. 2004) (“[A] reviewing court should make an independent examination of the record . . . when a defendant raises a plausible First Amendment defense[.]”);</w:t>
      </w:r>
      <w:r>
        <w:t xml:space="preserve"> </w:t>
      </w:r>
      <w:r>
        <w:rPr>
          <w:i/>
          <w:iCs/>
        </w:rPr>
        <w:t xml:space="preserve">Ryan v. Brooks</w:t>
      </w:r>
      <w:r>
        <w:t xml:space="preserve">, 634 F.2d 726, 735 (4th Cir. 1980) (“The defendants have properly challenged the sufficiency of the evidence, and on that basis we have followed the Supreme Court’s lead in First Amendment cases and have conducted an independent examination of the record[.]”). Those two acts, in tandem, trigger the court’s duty.</w:t>
      </w:r>
    </w:p>
    <w:p>
      <w:pPr>
        <w:pStyle w:val="BodyText"/>
      </w:pPr>
      <w:r>
        <w:t xml:space="preserve">Here, Ms. Martin did both. Her defense centered entirely around the First Amendment,</w:t>
      </w:r>
      <w:r>
        <w:t xml:space="preserve"> </w:t>
      </w:r>
      <w:r>
        <w:rPr>
          <w:i/>
          <w:iCs/>
        </w:rPr>
        <w:t xml:space="preserve">see, e.g.</w:t>
      </w:r>
      <w:r>
        <w:t xml:space="preserve">, Tr. II, p 9:9–16, and she challenged the sufficiency of the State’s evidence in her Motion to Dismiss, Tr. II, p 4:12–15. In arguing her motion after the conclusion of the evidence, Appellant maintained that “the State has not produced any evidence that Ms. Martin has participated in any kind of high and aggravated activities as required.”</w:t>
      </w:r>
      <w:r>
        <w:t xml:space="preserve"> </w:t>
      </w:r>
      <w:r>
        <w:rPr>
          <w:i/>
          <w:iCs/>
        </w:rPr>
        <w:t xml:space="preserve">Id.</w:t>
      </w:r>
      <w:r>
        <w:t xml:space="preserve"> </w:t>
      </w:r>
      <w:r>
        <w:t xml:space="preserve">Importantly, the trial court construed Appellant’s argument as a challenge to the sufficiency of the evidence and ruled accordingly.</w:t>
      </w:r>
      <w:r>
        <w:t xml:space="preserve"> </w:t>
      </w:r>
      <w:r>
        <w:rPr>
          <w:i/>
          <w:iCs/>
        </w:rPr>
        <w:t xml:space="preserve">See</w:t>
      </w:r>
      <w:r>
        <w:t xml:space="preserve"> </w:t>
      </w:r>
      <w:r>
        <w:t xml:space="preserve">Tr. II, p 7:23–25 (“evidence has been presented that the jury could conclude would make this high and aggravated.”). Appellant’s First Amendment defense and argument on the sufficiency of the evidence preserved this Court’s obligation to independently review the record.</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clearly</w:t>
      </w:r>
      <w:r>
        <w:rPr>
          <w:b/>
          <w:bCs/>
          <w:i/>
          <w:iCs/>
        </w:rPr>
        <w:t xml:space="preserve"> </w:t>
      </w:r>
      <w:r>
        <w:rPr>
          <w:b/>
          <w:bCs/>
          <w:i/>
          <w:iCs/>
        </w:rPr>
        <w:t xml:space="preserve">define</w:t>
      </w:r>
      <w:r>
        <w:rPr>
          <w:b/>
          <w:bCs/>
          <w:i/>
          <w:iCs/>
        </w:rPr>
        <w:t xml:space="preserve"> </w:t>
      </w:r>
      <w:r>
        <w:rPr>
          <w:b/>
          <w:bCs/>
          <w:i/>
          <w:iCs/>
        </w:rPr>
        <w:t xml:space="preserve">what</w:t>
      </w:r>
      <w:r>
        <w:rPr>
          <w:b/>
          <w:bCs/>
          <w:i/>
          <w:iCs/>
        </w:rPr>
        <w:t xml:space="preserve"> </w:t>
      </w:r>
      <w:r>
        <w:rPr>
          <w:b/>
          <w:bCs/>
          <w:i/>
          <w:iCs/>
        </w:rPr>
        <w:t xml:space="preserve">conduct</w:t>
      </w:r>
      <w:r>
        <w:rPr>
          <w:b/>
          <w:bCs/>
          <w:i/>
          <w:iCs/>
        </w:rPr>
        <w:t xml:space="preserve"> </w:t>
      </w:r>
      <w:r>
        <w:rPr>
          <w:b/>
          <w:bCs/>
          <w:i/>
          <w:iCs/>
        </w:rPr>
        <w:t xml:space="preserve">supported</w:t>
      </w:r>
      <w:r>
        <w:rPr>
          <w:b/>
          <w:bCs/>
          <w:i/>
          <w:iCs/>
        </w:rPr>
        <w:t xml:space="preserve"> </w:t>
      </w:r>
      <w:r>
        <w:rPr>
          <w:b/>
          <w:bCs/>
          <w:i/>
          <w:iCs/>
        </w:rPr>
        <w:t xml:space="preserve">Ms.</w:t>
      </w:r>
      <w:r>
        <w:rPr>
          <w:b/>
          <w:bCs/>
          <w:i/>
          <w:iCs/>
        </w:rPr>
        <w:t xml:space="preserve"> </w:t>
      </w:r>
      <w:r>
        <w:rPr>
          <w:b/>
          <w:bCs/>
          <w:i/>
          <w:iCs/>
        </w:rPr>
        <w:t xml:space="preserve">Martin’s</w:t>
      </w:r>
      <w:r>
        <w:rPr>
          <w:b/>
          <w:bCs/>
          <w:i/>
          <w:iCs/>
        </w:rPr>
        <w:t xml:space="preserve"> </w:t>
      </w:r>
      <w:r>
        <w:rPr>
          <w:b/>
          <w:bCs/>
          <w:i/>
          <w:iCs/>
        </w:rPr>
        <w:t xml:space="preserve">conviction,</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is</w:t>
      </w:r>
      <w:r>
        <w:rPr>
          <w:b/>
          <w:bCs/>
          <w:i/>
          <w:iCs/>
        </w:rPr>
        <w:t xml:space="preserve"> </w:t>
      </w:r>
      <w:r>
        <w:rPr>
          <w:b/>
          <w:bCs/>
          <w:i/>
          <w:iCs/>
        </w:rPr>
        <w:t xml:space="preserve">unable</w:t>
      </w:r>
      <w:r>
        <w:rPr>
          <w:b/>
          <w:bCs/>
          <w:i/>
          <w:iCs/>
        </w:rPr>
        <w:t xml:space="preserve"> </w:t>
      </w:r>
      <w:r>
        <w:rPr>
          <w:b/>
          <w:bCs/>
          <w:i/>
          <w:iCs/>
        </w:rPr>
        <w:t xml:space="preserve">to</w:t>
      </w:r>
      <w:r>
        <w:rPr>
          <w:b/>
          <w:bCs/>
          <w:i/>
          <w:iCs/>
        </w:rPr>
        <w:t xml:space="preserve"> </w:t>
      </w:r>
      <w:r>
        <w:rPr>
          <w:b/>
          <w:bCs/>
          <w:i/>
          <w:iCs/>
        </w:rPr>
        <w:t xml:space="preserve">ensure</w:t>
      </w:r>
      <w:r>
        <w:rPr>
          <w:b/>
          <w:bCs/>
          <w:i/>
          <w:iCs/>
        </w:rPr>
        <w:t xml:space="preserve"> </w:t>
      </w:r>
      <w:r>
        <w:rPr>
          <w:b/>
          <w:bCs/>
          <w:i/>
          <w:iCs/>
        </w:rPr>
        <w:t xml:space="preserve">“the</w:t>
      </w:r>
      <w:r>
        <w:rPr>
          <w:b/>
          <w:bCs/>
          <w:i/>
          <w:iCs/>
        </w:rPr>
        <w:t xml:space="preserve"> </w:t>
      </w:r>
      <w:r>
        <w:rPr>
          <w:b/>
          <w:bCs/>
          <w:i/>
          <w:iCs/>
        </w:rPr>
        <w:t xml:space="preserve">judgment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constitute</w:t>
      </w:r>
      <w:r>
        <w:rPr>
          <w:b/>
          <w:bCs/>
          <w:i/>
          <w:iCs/>
        </w:rPr>
        <w:t xml:space="preserve"> </w:t>
      </w:r>
      <w:r>
        <w:rPr>
          <w:b/>
          <w:bCs/>
          <w:i/>
          <w:iCs/>
        </w:rPr>
        <w:t xml:space="preserve">a</w:t>
      </w:r>
      <w:r>
        <w:rPr>
          <w:b/>
          <w:bCs/>
          <w:i/>
          <w:iCs/>
        </w:rPr>
        <w:t xml:space="preserve"> </w:t>
      </w:r>
      <w:r>
        <w:rPr>
          <w:b/>
          <w:bCs/>
          <w:i/>
          <w:iCs/>
        </w:rPr>
        <w:t xml:space="preserve">forbidden</w:t>
      </w:r>
      <w:r>
        <w:rPr>
          <w:b/>
          <w:bCs/>
          <w:i/>
          <w:iCs/>
        </w:rPr>
        <w:t xml:space="preserve"> </w:t>
      </w:r>
      <w:r>
        <w:rPr>
          <w:b/>
          <w:bCs/>
          <w:i/>
          <w:iCs/>
        </w:rPr>
        <w:t xml:space="preserve">intrusion</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field</w:t>
      </w:r>
      <w:r>
        <w:rPr>
          <w:b/>
          <w:bCs/>
          <w:i/>
          <w:iCs/>
        </w:rPr>
        <w:t xml:space="preserve"> </w:t>
      </w:r>
      <w:r>
        <w:rPr>
          <w:b/>
          <w:bCs/>
          <w:i/>
          <w:iCs/>
        </w:rPr>
        <w:t xml:space="preserve">of</w:t>
      </w:r>
      <w:r>
        <w:rPr>
          <w:b/>
          <w:bCs/>
          <w:i/>
          <w:iCs/>
        </w:rPr>
        <w:t xml:space="preserve"> </w:t>
      </w:r>
      <w:r>
        <w:rPr>
          <w:b/>
          <w:bCs/>
          <w:i/>
          <w:iCs/>
        </w:rPr>
        <w:t xml:space="preserve">free</w:t>
      </w:r>
      <w:r>
        <w:rPr>
          <w:b/>
          <w:bCs/>
          <w:i/>
          <w:iCs/>
        </w:rPr>
        <w:t xml:space="preserve"> </w:t>
      </w:r>
      <w:r>
        <w:rPr>
          <w:b/>
          <w:bCs/>
          <w:i/>
          <w:iCs/>
        </w:rPr>
        <w:t xml:space="preserve">expression.”</w:t>
      </w:r>
    </w:p>
    <w:p>
      <w:pPr>
        <w:pStyle w:val="BodyText"/>
      </w:pPr>
      <w:r>
        <w:t xml:space="preserve">The State took a blunderbuss approach to prosecuting Ms. Martin for BOPHAN. The indictment alleged that Ms. Martin engaged in five days of protests but declined to specify any particular conduct that constituted BOPHAN. At trial, the State again refused to point the jury to specific act(s) that satisfied the elements of BOPHAN. Instead, the solicitor merely urged the jury to simply “use its common sense” to answer: “Did [Ms. Martin] breach the peace of our community?” Tr. II, p 31:2–5 (“[T]hat’s all we have to prove, ladies and gentlemen.”). Now on appeal, the State’s brief again fails to identify the particular conduct that constituted BOPHAN, instead suggesting various distinct moments from a five-day-long period during which the offense might have committed, such as by interfering with traffic, threatening officers, “confronting officers in the middle of gas station parking lots,” or “caus[ing] harm to businesses.” RIB 7–9. But without knowing exactly what conduct was punished, it is impossible for this Court to guarantee that Ms. Martin’s conviction “d[id] not constitute a forbidden intrusion on the field of free expression.”</w:t>
      </w:r>
      <w:r>
        <w:t xml:space="preserve"> </w:t>
      </w:r>
      <w:r>
        <w:rPr>
          <w:i/>
          <w:iCs/>
        </w:rPr>
        <w:t xml:space="preserve">See supra</w:t>
      </w:r>
      <w:r>
        <w:t xml:space="preserve">, Part I.A. Therefore, Ms. Martin’s conviction cannot withstand the scrutiny of independent review.</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Independent</w:t>
      </w:r>
      <w:r>
        <w:rPr>
          <w:b/>
          <w:bCs/>
          <w:i/>
          <w:iCs/>
        </w:rPr>
        <w:t xml:space="preserve"> </w:t>
      </w:r>
      <w:r>
        <w:rPr>
          <w:b/>
          <w:bCs/>
          <w:i/>
          <w:iCs/>
        </w:rPr>
        <w:t xml:space="preserve">examination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degree</w:t>
      </w:r>
      <w:r>
        <w:rPr>
          <w:b/>
          <w:bCs/>
          <w:i/>
          <w:iCs/>
        </w:rPr>
        <w:t xml:space="preserve"> </w:t>
      </w:r>
      <w:r>
        <w:rPr>
          <w:b/>
          <w:bCs/>
          <w:i/>
          <w:iCs/>
        </w:rPr>
        <w:t xml:space="preserve">it</w:t>
      </w:r>
      <w:r>
        <w:rPr>
          <w:b/>
          <w:bCs/>
          <w:i/>
          <w:iCs/>
        </w:rPr>
        <w:t xml:space="preserve"> </w:t>
      </w:r>
      <w:r>
        <w:rPr>
          <w:b/>
          <w:bCs/>
          <w:i/>
          <w:iCs/>
        </w:rPr>
        <w:t xml:space="preserve">is</w:t>
      </w:r>
      <w:r>
        <w:rPr>
          <w:b/>
          <w:bCs/>
          <w:i/>
          <w:iCs/>
        </w:rPr>
        <w:t xml:space="preserve"> </w:t>
      </w:r>
      <w:r>
        <w:rPr>
          <w:b/>
          <w:bCs/>
          <w:i/>
          <w:iCs/>
        </w:rPr>
        <w:t xml:space="preserve">possible,</w:t>
      </w:r>
      <w:r>
        <w:rPr>
          <w:b/>
          <w:bCs/>
          <w:i/>
          <w:iCs/>
        </w:rPr>
        <w:t xml:space="preserve"> </w:t>
      </w:r>
      <w:r>
        <w:rPr>
          <w:b/>
          <w:bCs/>
          <w:i/>
          <w:iCs/>
        </w:rPr>
        <w:t xml:space="preserve">reveals</w:t>
      </w:r>
      <w:r>
        <w:rPr>
          <w:b/>
          <w:bCs/>
          <w:i/>
          <w:iCs/>
        </w:rPr>
        <w:t xml:space="preserve"> </w:t>
      </w:r>
      <w:r>
        <w:rPr>
          <w:b/>
          <w:bCs/>
          <w:i/>
          <w:iCs/>
        </w:rPr>
        <w:t xml:space="preserve">Appellant’s</w:t>
      </w:r>
      <w:r>
        <w:rPr>
          <w:b/>
          <w:bCs/>
          <w:i/>
          <w:iCs/>
        </w:rPr>
        <w:t xml:space="preserve"> </w:t>
      </w:r>
      <w:r>
        <w:rPr>
          <w:b/>
          <w:bCs/>
          <w:i/>
          <w:iCs/>
        </w:rPr>
        <w:t xml:space="preserve">conviction</w:t>
      </w:r>
      <w:r>
        <w:rPr>
          <w:b/>
          <w:bCs/>
          <w:i/>
          <w:iCs/>
        </w:rPr>
        <w:t xml:space="preserve"> </w:t>
      </w:r>
      <w:r>
        <w:rPr>
          <w:b/>
          <w:bCs/>
          <w:i/>
          <w:iCs/>
        </w:rPr>
        <w:t xml:space="preserve">violated</w:t>
      </w:r>
      <w:r>
        <w:rPr>
          <w:b/>
          <w:bCs/>
          <w:i/>
          <w:iCs/>
        </w:rPr>
        <w:t xml:space="preserve"> </w:t>
      </w:r>
      <w:r>
        <w:rPr>
          <w:b/>
          <w:bCs/>
          <w:i/>
          <w:iCs/>
        </w:rPr>
        <w:t xml:space="preserve">the</w:t>
      </w:r>
      <w:r>
        <w:rPr>
          <w:b/>
          <w:bCs/>
          <w:i/>
          <w:iCs/>
        </w:rPr>
        <w:t xml:space="preserve"> </w:t>
      </w:r>
      <w:r>
        <w:rPr>
          <w:b/>
          <w:bCs/>
          <w:i/>
          <w:iCs/>
        </w:rPr>
        <w:t xml:space="preserve">First</w:t>
      </w:r>
      <w:r>
        <w:rPr>
          <w:b/>
          <w:bCs/>
          <w:i/>
          <w:iCs/>
        </w:rPr>
        <w:t xml:space="preserve"> </w:t>
      </w:r>
      <w:r>
        <w:rPr>
          <w:b/>
          <w:bCs/>
          <w:i/>
          <w:iCs/>
        </w:rPr>
        <w:t xml:space="preserve">Amendment.</w:t>
      </w:r>
    </w:p>
    <w:p>
      <w:pPr>
        <w:pStyle w:val="BodyTextNote"/>
      </w:pPr>
      <w:r>
        <w:t xml:space="preserve">Although the State fails to identify the specific conduct underlying Ms. Martin’s BOPHAN conviction,</w:t>
      </w:r>
      <w:r>
        <w:rPr>
          <w:rStyle w:val="FootnoteReference"/>
        </w:rPr>
        <w:footnoteReference w:id="9"/>
      </w:r>
      <w:r>
        <w:t xml:space="preserve"> </w:t>
      </w:r>
      <w:r>
        <w:t xml:space="preserve">the Court can still independently evaluate the various moments the State suggests. None of those moments—if they were, in fact, what Ms. Martin was convicted for—can support a lawful conviction for BOPHAN.</w:t>
      </w:r>
    </w:p>
    <w:p>
      <w:pPr>
        <w:pStyle w:val="BodyText"/>
      </w:pPr>
      <w:r>
        <w:t xml:space="preserve">First, the Supreme Court has clearly established that “streets . . . are so historically associated with the exercise of First Amendment rights that access to them for the purpose of exercising such rights cannot be constitutionally denied broadly and absolutely.”</w:t>
      </w:r>
      <w:r>
        <w:t xml:space="preserve"> </w:t>
      </w:r>
      <w:r>
        <w:rPr>
          <w:i/>
          <w:iCs/>
        </w:rPr>
        <w:t xml:space="preserve">Amalgamated Food</w:t>
      </w:r>
      <w:r>
        <w:rPr>
          <w:i/>
          <w:iCs/>
        </w:rPr>
        <w:t xml:space="preserve"> </w:t>
      </w:r>
      <w:r>
        <w:rPr>
          <w:i/>
          <w:iCs/>
        </w:rPr>
        <w:t xml:space="preserve">Emp. Union Local 590 v. Logan Valley Plaza, Inc.</w:t>
      </w:r>
      <w:r>
        <w:t xml:space="preserve">, 391 U.S. 308, 315 (1968),</w:t>
      </w:r>
      <w:r>
        <w:t xml:space="preserve"> </w:t>
      </w:r>
      <w:r>
        <w:rPr>
          <w:i/>
          <w:iCs/>
        </w:rPr>
        <w:t xml:space="preserve">abrogated on other grounds by Hudgens v. NLRB</w:t>
      </w:r>
      <w:r>
        <w:t xml:space="preserve">, 424 U.S. 507, 517–18 (1976);</w:t>
      </w:r>
      <w:r>
        <w:t xml:space="preserve"> </w:t>
      </w:r>
      <w:r>
        <w:rPr>
          <w:i/>
          <w:iCs/>
        </w:rPr>
        <w:t xml:space="preserve">see also, e.g.</w:t>
      </w:r>
      <w:r>
        <w:t xml:space="preserve">,</w:t>
      </w:r>
      <w:r>
        <w:t xml:space="preserve"> </w:t>
      </w:r>
      <w:r>
        <w:rPr>
          <w:i/>
          <w:iCs/>
        </w:rPr>
        <w:t xml:space="preserve">United Food</w:t>
      </w:r>
      <w:r>
        <w:rPr>
          <w:i/>
          <w:iCs/>
        </w:rPr>
        <w:t xml:space="preserve"> </w:t>
      </w:r>
      <w:r>
        <w:rPr>
          <w:i/>
          <w:iCs/>
        </w:rPr>
        <w:t xml:space="preserve">&amp; Com. Workers Union Local 442 v. City of Valdosta</w:t>
      </w:r>
      <w:r>
        <w:t xml:space="preserve">, 861 F. Supp. 1570, 1581 (M.D. Ga. 1994). Therefore, Ms. Martin’s presence in the street did not, by itself, remove her conduct from the protection of the First Amendment.</w:t>
      </w:r>
    </w:p>
    <w:p>
      <w:pPr>
        <w:pStyle w:val="BodyText"/>
      </w:pPr>
      <w:r>
        <w:t xml:space="preserve">Additionally, only expression “likely to produce a clear and present danger of a serious substantive evil that rises far above public inconvenience, annoyance, or unrest” may be punished.</w:t>
      </w:r>
      <w:r>
        <w:t xml:space="preserve"> </w:t>
      </w:r>
      <w:r>
        <w:rPr>
          <w:i/>
          <w:iCs/>
        </w:rPr>
        <w:t xml:space="preserve">Edwards</w:t>
      </w:r>
      <w:r>
        <w:t xml:space="preserve"> </w:t>
      </w:r>
      <w:r>
        <w:t xml:space="preserve">372 U.S. at 237 (quoting</w:t>
      </w:r>
      <w:r>
        <w:t xml:space="preserve"> </w:t>
      </w:r>
      <w:r>
        <w:rPr>
          <w:i/>
          <w:iCs/>
        </w:rPr>
        <w:t xml:space="preserve">Terminiello</w:t>
      </w:r>
      <w:r>
        <w:t xml:space="preserve">, 337 U.S. at 4–5). Ms. Martin’s speech and conduct fell outside that narrow category of unprotected expression. After hearing all the evidence, the jury failed to convict Ms. Martin of Threatening a Public Official or Instigating a Riot, Tr. II, pp 99:4–21, 100:23–25, finding that Ms. Martin’s speech and conduct did not constitute true threats, fighting words, or incitement. Given that the jury could not unanimously agree that Ms. Martin uttered threats or engaged in incitement, the State cannot backfill its BOPHAN record with those allegations.</w:t>
      </w:r>
    </w:p>
    <w:p>
      <w:pPr>
        <w:pStyle w:val="BodyTextNote"/>
      </w:pPr>
      <w:r>
        <w:t xml:space="preserve">In its effort to carve out instances of unprotected conduct, the State attempts to contrast the Ms. Martin with the protesters in</w:t>
      </w:r>
      <w:r>
        <w:t xml:space="preserve"> </w:t>
      </w:r>
      <w:r>
        <w:rPr>
          <w:i/>
          <w:iCs/>
        </w:rPr>
        <w:t xml:space="preserve">Edwards</w:t>
      </w:r>
      <w:r>
        <w:rPr>
          <w:i/>
          <w:iCs/>
        </w:rPr>
        <w:t xml:space="preserve"> </w:t>
      </w:r>
      <w:r>
        <w:rPr>
          <w:i/>
          <w:iCs/>
        </w:rPr>
        <w:t xml:space="preserve">v. South Carolina</w:t>
      </w:r>
      <w:r>
        <w:t xml:space="preserve">, 372 U.S. 229 (1963). But when South Carolina was defending the</w:t>
      </w:r>
      <w:r>
        <w:t xml:space="preserve"> </w:t>
      </w:r>
      <w:r>
        <w:rPr>
          <w:i/>
          <w:iCs/>
        </w:rPr>
        <w:t xml:space="preserve">Edwards</w:t>
      </w:r>
      <w:r>
        <w:t xml:space="preserve"> </w:t>
      </w:r>
      <w:r>
        <w:t xml:space="preserve">convictions, it characterized those protesters in terms nearly identical to those used by the State here. Although the Supreme Court in</w:t>
      </w:r>
      <w:r>
        <w:t xml:space="preserve"> </w:t>
      </w:r>
      <w:r>
        <w:rPr>
          <w:i/>
          <w:iCs/>
        </w:rPr>
        <w:t xml:space="preserve">Edwards</w:t>
      </w:r>
      <w:r>
        <w:t xml:space="preserve"> </w:t>
      </w:r>
      <w:r>
        <w:t xml:space="preserve">ultimately declared that the defendants’ conduct was “orderly” and not causing “obstruction,” 372 U.S. at 231, the State complained in its briefing that “the petitioners took no thought of the disruption” and “refused to obey the order” to desist and disperse. Brief for Respondent,</w:t>
      </w:r>
      <w:r>
        <w:t xml:space="preserve"> </w:t>
      </w:r>
      <w:r>
        <w:rPr>
          <w:i/>
          <w:iCs/>
        </w:rPr>
        <w:t xml:space="preserve">Edwards</w:t>
      </w:r>
      <w:r>
        <w:rPr>
          <w:i/>
          <w:iCs/>
        </w:rPr>
        <w:t xml:space="preserve"> </w:t>
      </w:r>
      <w:r>
        <w:rPr>
          <w:i/>
          <w:iCs/>
        </w:rPr>
        <w:t xml:space="preserve">v. South Carolina</w:t>
      </w:r>
      <w:r>
        <w:t xml:space="preserve">, 372 U.S. 229 (1963) (No. 86), 1962 WL 115493,</w:t>
      </w:r>
      <w:r>
        <w:t xml:space="preserve"> </w:t>
      </w:r>
      <w:r>
        <w:t xml:space="preserve">at *6, 3. The State described the protesters’ conduct as a “harangue,” “boisterous,” “disrupti[ve],” “extremely disorderly,” and an “imminent danger [to] further disruption of the public peace.”</w:t>
      </w:r>
      <w:r>
        <w:t xml:space="preserve"> </w:t>
      </w:r>
      <w:r>
        <w:rPr>
          <w:i/>
          <w:iCs/>
        </w:rPr>
        <w:t xml:space="preserve">Id.</w:t>
      </w:r>
      <w:r>
        <w:t xml:space="preserve"> </w:t>
      </w:r>
      <w:r>
        <w:t xml:space="preserve">at *3, 7, 6, 11, 3. The State claimed that the protest caused a “serious blockage of and hindrance to vehicular and pedestrian traffic” and create[d] the clear and present danger of the substantive evils a state has a right to prevent[.]”</w:t>
      </w:r>
      <w:r>
        <w:t xml:space="preserve"> </w:t>
      </w:r>
      <w:r>
        <w:rPr>
          <w:i/>
          <w:iCs/>
        </w:rPr>
        <w:t xml:space="preserve">Id.</w:t>
      </w:r>
      <w:r>
        <w:t xml:space="preserve"> </w:t>
      </w:r>
      <w:r>
        <w:t xml:space="preserve">at *3–4, 11. The State claimed also that the protest in</w:t>
      </w:r>
      <w:r>
        <w:t xml:space="preserve"> </w:t>
      </w:r>
      <w:r>
        <w:rPr>
          <w:i/>
          <w:iCs/>
        </w:rPr>
        <w:t xml:space="preserve">Edwards</w:t>
      </w:r>
      <w:r>
        <w:t xml:space="preserve"> </w:t>
      </w:r>
      <w:r>
        <w:t xml:space="preserve">was “more serious than that which was involved in Feiner v. New York, 340 U.S. 315,” and argued that “[t]he words of the speaker [in Feiner] undertaking ‘incitement to riot’ seem less an actual or threatened breach of the public peace than the boisterous stamping of feet, shouting, and loud singing of the petitioners here when they were instructed to disperse.”</w:t>
      </w:r>
      <w:r>
        <w:t xml:space="preserve"> </w:t>
      </w:r>
      <w:r>
        <w:rPr>
          <w:i/>
          <w:iCs/>
        </w:rPr>
        <w:t xml:space="preserve">Id.</w:t>
      </w:r>
      <w:r>
        <w:t xml:space="preserve"> </w:t>
      </w:r>
      <w:r>
        <w:t xml:space="preserve">at *4, 5 (emphasis added). Just as the Supreme Court rejected the State’s characterization of the</w:t>
      </w:r>
      <w:r>
        <w:t xml:space="preserve"> </w:t>
      </w:r>
      <w:r>
        <w:rPr>
          <w:i/>
          <w:iCs/>
        </w:rPr>
        <w:t xml:space="preserve">Edwards</w:t>
      </w:r>
      <w:r>
        <w:t xml:space="preserve"> </w:t>
      </w:r>
      <w:r>
        <w:t xml:space="preserve">protest,</w:t>
      </w:r>
      <w:r>
        <w:rPr>
          <w:rStyle w:val="FootnoteReference"/>
        </w:rPr>
        <w:footnoteReference w:id="10"/>
      </w:r>
      <w:r>
        <w:t xml:space="preserve"> </w:t>
      </w:r>
      <w:r>
        <w:t xml:space="preserve">this Court should reject the State’s similar attempts to mischaracterize Appellant’s protest as anything other than nondestructive, nonviolent expression protected by the First Amendment.</w:t>
      </w:r>
    </w:p>
    <w:p>
      <w:pPr>
        <w:keepNext/>
        <w:keepLines/>
        <w:spacing w:before="288" w:after="192" w:line="276" w:lineRule="exact"/>
        <w:ind w:left="720" w:hanging="720"/>
        <w:jc w:val="left"/>
      </w:pPr>
      <w:r>
        <w:rPr>
          <w:b/>
          <w:bCs/>
        </w:rPr>
        <w:t xml:space="preserve">II.</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for</w:t>
      </w:r>
      <w:r>
        <w:rPr>
          <w:b/>
          <w:bCs/>
        </w:rPr>
        <w:t xml:space="preserve"> </w:t>
      </w:r>
      <w:r>
        <w:rPr>
          <w:b/>
          <w:bCs/>
        </w:rPr>
        <w:t xml:space="preserve">BOPHAN</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instruct</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about</w:t>
      </w:r>
      <w:r>
        <w:rPr>
          <w:b/>
          <w:bCs/>
        </w:rPr>
        <w:t xml:space="preserve"> </w:t>
      </w:r>
      <w:r>
        <w:rPr>
          <w:b/>
          <w:bCs/>
        </w:rPr>
        <w:t xml:space="preserve">her</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defense.</w:t>
      </w:r>
    </w:p>
    <w:p>
      <w:pPr>
        <w:pStyle w:val="BodyText"/>
      </w:pPr>
      <w:r>
        <w:t xml:space="preserve">The instructional error permitted the jury to convict Ms. Martin for expression protected by the First Amendment.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This</w:t>
      </w:r>
      <w:r>
        <w:rPr>
          <w:b/>
          <w:bCs/>
          <w:i/>
          <w:iCs/>
        </w:rPr>
        <w:t xml:space="preserve"> </w:t>
      </w:r>
      <w:r>
        <w:rPr>
          <w:b/>
          <w:bCs/>
          <w:i/>
          <w:iCs/>
        </w:rPr>
        <w:t xml:space="preserve">issue</w:t>
      </w:r>
      <w:r>
        <w:rPr>
          <w:b/>
          <w:bCs/>
          <w:i/>
          <w:iCs/>
        </w:rPr>
        <w:t xml:space="preserve"> </w:t>
      </w:r>
      <w:r>
        <w:rPr>
          <w:b/>
          <w:bCs/>
          <w:i/>
          <w:iCs/>
        </w:rPr>
        <w:t xml:space="preserve">was</w:t>
      </w:r>
      <w:r>
        <w:rPr>
          <w:b/>
          <w:bCs/>
          <w:i/>
          <w:iCs/>
        </w:rPr>
        <w:t xml:space="preserve"> </w:t>
      </w:r>
      <w:r>
        <w:rPr>
          <w:b/>
          <w:bCs/>
          <w:i/>
          <w:iCs/>
        </w:rPr>
        <w:t xml:space="preserve">properly</w:t>
      </w:r>
      <w:r>
        <w:rPr>
          <w:b/>
          <w:bCs/>
          <w:i/>
          <w:iCs/>
        </w:rPr>
        <w:t xml:space="preserve"> </w:t>
      </w:r>
      <w:r>
        <w:rPr>
          <w:b/>
          <w:bCs/>
          <w:i/>
          <w:iCs/>
        </w:rPr>
        <w:t xml:space="preserve">preserved</w:t>
      </w:r>
      <w:r>
        <w:rPr>
          <w:b/>
          <w:bCs/>
          <w:i/>
          <w:iCs/>
        </w:rPr>
        <w:t xml:space="preserve"> </w:t>
      </w:r>
      <w:r>
        <w:rPr>
          <w:b/>
          <w:bCs/>
          <w:i/>
          <w:iCs/>
        </w:rPr>
        <w:t xml:space="preserve">for</w:t>
      </w:r>
      <w:r>
        <w:rPr>
          <w:b/>
          <w:bCs/>
          <w:i/>
          <w:iCs/>
        </w:rPr>
        <w:t xml:space="preserve"> </w:t>
      </w:r>
      <w:r>
        <w:rPr>
          <w:b/>
          <w:bCs/>
          <w:i/>
          <w:iCs/>
        </w:rPr>
        <w:t xml:space="preserve">appellate</w:t>
      </w:r>
      <w:r>
        <w:rPr>
          <w:b/>
          <w:bCs/>
          <w:i/>
          <w:iCs/>
        </w:rPr>
        <w:t xml:space="preserve"> </w:t>
      </w:r>
      <w:r>
        <w:rPr>
          <w:b/>
          <w:bCs/>
          <w:i/>
          <w:iCs/>
        </w:rPr>
        <w:t xml:space="preserve">review.</w:t>
      </w:r>
    </w:p>
    <w:p>
      <w:pPr>
        <w:pStyle w:val="BodyText"/>
      </w:pPr>
      <w:r>
        <w:t xml:space="preserve">Clear precedent precludes any argument that the instructional error was not preserved for review. Courts must “approach issue preservation rules with a practical eye and not in a rigid, hyper-technical manner.”</w:t>
      </w:r>
      <w:r>
        <w:t xml:space="preserve"> </w:t>
      </w:r>
      <w:r>
        <w:rPr>
          <w:i/>
          <w:iCs/>
        </w:rPr>
        <w:t xml:space="preserve">Herron</w:t>
      </w:r>
      <w:r>
        <w:rPr>
          <w:i/>
          <w:iCs/>
        </w:rPr>
        <w:t xml:space="preserve"> </w:t>
      </w:r>
      <w:r>
        <w:rPr>
          <w:i/>
          <w:iCs/>
        </w:rPr>
        <w:t xml:space="preserve">v. Century BMW</w:t>
      </w:r>
      <w:r>
        <w:t xml:space="preserve">, 395 S.C. 461, 470, 719 S.E.2d 640, 644 (2011);</w:t>
      </w:r>
      <w:r>
        <w:t xml:space="preserve"> </w:t>
      </w:r>
      <w:r>
        <w:rPr>
          <w:i/>
          <w:iCs/>
        </w:rPr>
        <w:t xml:space="preserve">see also State v. Johnson</w:t>
      </w:r>
      <w:r>
        <w:t xml:space="preserve">, 439 S.C. 331,</w:t>
      </w:r>
      <w:r>
        <w:t xml:space="preserve"> </w:t>
      </w:r>
      <w:r>
        <w:t xml:space="preserve">341, 887 S.E.2d 127, 132 (2023) (applying</w:t>
      </w:r>
      <w:r>
        <w:t xml:space="preserve"> </w:t>
      </w:r>
      <w:r>
        <w:rPr>
          <w:i/>
          <w:iCs/>
        </w:rPr>
        <w:t xml:space="preserve">Herron</w:t>
      </w:r>
      <w:r>
        <w:t xml:space="preserve">’s approach in the criminal context). In that vein, “where a party requests a jury charge and, after opportunity for discussion, the trial judge declines the charge, it is unnecessary, to preserve the point on appeal, to renew the request at conclusion of the court’s instructions.”</w:t>
      </w:r>
      <w:r>
        <w:t xml:space="preserve"> </w:t>
      </w:r>
      <w:r>
        <w:rPr>
          <w:i/>
          <w:iCs/>
        </w:rPr>
        <w:t xml:space="preserve">State v. Johnson</w:t>
      </w:r>
      <w:r>
        <w:t xml:space="preserve">, 33 S.C. 62,</w:t>
      </w:r>
      <w:r>
        <w:t xml:space="preserve"> </w:t>
      </w:r>
      <w:r>
        <w:t xml:space="preserve">64 n.1, 508 S.E.2d 29, 30 n.1 (1998);</w:t>
      </w:r>
      <w:r>
        <w:t xml:space="preserve"> </w:t>
      </w:r>
      <w:r>
        <w:rPr>
          <w:i/>
          <w:iCs/>
        </w:rPr>
        <w:t xml:space="preserve">see also State v. Bryant</w:t>
      </w:r>
      <w:r>
        <w:t xml:space="preserve">, 391 S.C. 225, 231 n.3, 705 S.E.2d 465, 469 n.3 (Ct. App. 2010) (“While trial counsel did not thereafter except to the charge as given, the matter is still preserved for our review.”);</w:t>
      </w:r>
      <w:r>
        <w:t xml:space="preserve"> </w:t>
      </w:r>
      <w:r>
        <w:rPr>
          <w:i/>
          <w:iCs/>
        </w:rPr>
        <w:t xml:space="preserve">State v. Hatcher</w:t>
      </w:r>
      <w:r>
        <w:t xml:space="preserve">, 2008 WL 9841517, at *3 (Ct. App. 2008).</w:t>
      </w:r>
    </w:p>
    <w:p>
      <w:pPr>
        <w:pStyle w:val="BodyText"/>
      </w:pPr>
      <w:r>
        <w:t xml:space="preserve">This year, the Supreme Court reaffirmed this rule in</w:t>
      </w:r>
      <w:r>
        <w:t xml:space="preserve"> </w:t>
      </w:r>
      <w:r>
        <w:rPr>
          <w:i/>
          <w:iCs/>
        </w:rPr>
        <w:t xml:space="preserve">State v. Johnson</w:t>
      </w:r>
      <w:r>
        <w:t xml:space="preserve">, 439 S.C. 331,</w:t>
      </w:r>
      <w:r>
        <w:t xml:space="preserve"> </w:t>
      </w:r>
      <w:r>
        <w:t xml:space="preserve">887 S.E.2d 127 (2023). In</w:t>
      </w:r>
      <w:r>
        <w:t xml:space="preserve"> </w:t>
      </w:r>
      <w:r>
        <w:rPr>
          <w:i/>
          <w:iCs/>
        </w:rPr>
        <w:t xml:space="preserve">Johnson</w:t>
      </w:r>
      <w:r>
        <w:t xml:space="preserve">, the defendant challenged the admission of certain evidence.</w:t>
      </w:r>
      <w:r>
        <w:t xml:space="preserve"> </w:t>
      </w:r>
      <w:r>
        <w:rPr>
          <w:i/>
          <w:iCs/>
        </w:rPr>
        <w:t xml:space="preserve">Id.</w:t>
      </w:r>
      <w:r>
        <w:t xml:space="preserve"> </w:t>
      </w:r>
      <w:r>
        <w:t xml:space="preserve">at 336, 129. In response, the prosecution suggested the court offer a limiting instruction, and defense counsel said, “certainly if you allow all this stuff in, then certainly I would request a charge.”</w:t>
      </w:r>
      <w:r>
        <w:t xml:space="preserve"> </w:t>
      </w:r>
      <w:r>
        <w:rPr>
          <w:i/>
          <w:iCs/>
        </w:rPr>
        <w:t xml:space="preserve">Id.</w:t>
      </w:r>
      <w:r>
        <w:t xml:space="preserve"> </w:t>
      </w:r>
      <w:r>
        <w:t xml:space="preserve">At the time, the court took the issue under advisement.</w:t>
      </w:r>
      <w:r>
        <w:t xml:space="preserve"> </w:t>
      </w:r>
      <w:r>
        <w:rPr>
          <w:i/>
          <w:iCs/>
        </w:rPr>
        <w:t xml:space="preserve">Id.</w:t>
      </w:r>
      <w:r>
        <w:t xml:space="preserve"> </w:t>
      </w:r>
      <w:r>
        <w:t xml:space="preserve">The court later decided against a limiting instruction, and “[w]hen the trial court asked if either party objected to the charge, [defense counsel] replied he did not.”</w:t>
      </w:r>
      <w:r>
        <w:t xml:space="preserve"> </w:t>
      </w:r>
      <w:r>
        <w:rPr>
          <w:i/>
          <w:iCs/>
        </w:rPr>
        <w:t xml:space="preserve">Id.</w:t>
      </w:r>
      <w:r>
        <w:t xml:space="preserve"> </w:t>
      </w:r>
      <w:r>
        <w:t xml:space="preserve">at 337, 129–30. Nevertheless, because defense counsel initially requested the instruction, the Supreme Court held that the issue was preserved.</w:t>
      </w:r>
      <w:r>
        <w:t xml:space="preserve"> </w:t>
      </w:r>
      <w:r>
        <w:rPr>
          <w:i/>
          <w:iCs/>
        </w:rPr>
        <w:t xml:space="preserve">Id.</w:t>
      </w:r>
      <w:r>
        <w:t xml:space="preserve"> </w:t>
      </w:r>
      <w:r>
        <w:t xml:space="preserve">at 340–41, 131–32.</w:t>
      </w:r>
    </w:p>
    <w:p>
      <w:pPr>
        <w:pStyle w:val="BodyTextNote"/>
      </w:pPr>
      <w:r>
        <w:t xml:space="preserve">At Ms. Martin’s trial, defense counsel requested that the court instruct the jury on the First Amendment’s protections regarding each offense, including BOPHAN. Defendant’s Proposed Instructions [hereinafter DPI] at 10, 14–15, 16–18;</w:t>
      </w:r>
      <w:r>
        <w:t xml:space="preserve"> </w:t>
      </w:r>
      <w:r>
        <w:rPr>
          <w:i/>
          <w:iCs/>
        </w:rPr>
        <w:t xml:space="preserve">see also</w:t>
      </w:r>
      <w:r>
        <w:t xml:space="preserve"> </w:t>
      </w:r>
      <w:r>
        <w:t xml:space="preserve">AIB at 21–22; Tr. II, pp 9:9–16, 11:24–12:3, 12:10–14. The trial court ultimately instructed the jury regarding First Amendment principles for the Instigating and Threatening a Public Official counts but not for BOPHAN. Tr. II, pp 82–86. Appellant’s case, then, is nearly identical to that decided by the Supreme Court this year in</w:t>
      </w:r>
      <w:r>
        <w:t xml:space="preserve"> </w:t>
      </w:r>
      <w:r>
        <w:rPr>
          <w:i/>
          <w:iCs/>
        </w:rPr>
        <w:t xml:space="preserve">Johnson</w:t>
      </w:r>
      <w:r>
        <w:t xml:space="preserve">. Appellant, like the defendant in</w:t>
      </w:r>
      <w:r>
        <w:t xml:space="preserve"> </w:t>
      </w:r>
      <w:r>
        <w:rPr>
          <w:i/>
          <w:iCs/>
        </w:rPr>
        <w:t xml:space="preserve">Johnson</w:t>
      </w:r>
      <w:r>
        <w:t xml:space="preserve">, requested that a certain instruction be given.</w:t>
      </w:r>
      <w:r>
        <w:rPr>
          <w:rStyle w:val="FootnoteReference"/>
        </w:rPr>
        <w:footnoteReference w:id="11"/>
      </w:r>
      <w:r>
        <w:t xml:space="preserve"> </w:t>
      </w:r>
      <w:r>
        <w:t xml:space="preserve">Then, the trial court, like in</w:t>
      </w:r>
      <w:r>
        <w:t xml:space="preserve"> </w:t>
      </w:r>
      <w:r>
        <w:rPr>
          <w:i/>
          <w:iCs/>
        </w:rPr>
        <w:t xml:space="preserve">Johnson</w:t>
      </w:r>
      <w:r>
        <w:t xml:space="preserve">, decided not to give the requested instruction. Here, like in</w:t>
      </w:r>
      <w:r>
        <w:t xml:space="preserve"> </w:t>
      </w:r>
      <w:r>
        <w:rPr>
          <w:i/>
          <w:iCs/>
        </w:rPr>
        <w:t xml:space="preserve">Johnson</w:t>
      </w:r>
      <w:r>
        <w:t xml:space="preserve">, the issue was preserved for appellate review.</w:t>
      </w:r>
    </w:p>
    <w:p>
      <w:pPr>
        <w:pStyle w:val="BodyText"/>
      </w:pPr>
      <w:r>
        <w:t xml:space="preserve">The two cases relied upon by the State—</w:t>
      </w:r>
      <w:r>
        <w:rPr>
          <w:i/>
          <w:iCs/>
        </w:rPr>
        <w:t xml:space="preserve">State v. Avery</w:t>
      </w:r>
      <w:r>
        <w:t xml:space="preserve">, 333 S.C. 284, 509 S.E.2d 476 (1998), and</w:t>
      </w:r>
      <w:r>
        <w:t xml:space="preserve"> </w:t>
      </w:r>
      <w:r>
        <w:rPr>
          <w:i/>
          <w:iCs/>
        </w:rPr>
        <w:t xml:space="preserve">State v. Ford</w:t>
      </w:r>
      <w:r>
        <w:t xml:space="preserve">, 334 S.C. 444, 513 S.E.2d 385 (Ct. App. 1999), RIB at 11—are inapposite. The State contends that</w:t>
      </w:r>
      <w:r>
        <w:t xml:space="preserve"> </w:t>
      </w:r>
      <w:r>
        <w:rPr>
          <w:i/>
          <w:iCs/>
        </w:rPr>
        <w:t xml:space="preserve">Avery</w:t>
      </w:r>
      <w:r>
        <w:t xml:space="preserve"> </w:t>
      </w:r>
      <w:r>
        <w:t xml:space="preserve">requires “when an instruction as given is inadequate, a party must object at the completion of the instructions in order to preserve the issue for review.” RIB at 11. But in</w:t>
      </w:r>
      <w:r>
        <w:t xml:space="preserve"> </w:t>
      </w:r>
      <w:r>
        <w:rPr>
          <w:i/>
          <w:iCs/>
        </w:rPr>
        <w:t xml:space="preserve">Avery</w:t>
      </w:r>
      <w:r>
        <w:t xml:space="preserve">, the court determined that no objection ever occurred, not that an objection occurred at the improper time. 333 S.C. at 296, 509 S.E.2d at 483 (“Although appellant originally suggested the jury could return inconsistent verdicts on armed robbery and involuntary manslaughter, he did not object to the trial judge’s initial or supplemental instructions regarding armed robbery and involuntary manslaughter. Accordingly, this issue is not preserved for appeal.”) (emphasis added). Likewise, in</w:t>
      </w:r>
      <w:r>
        <w:t xml:space="preserve"> </w:t>
      </w:r>
      <w:r>
        <w:rPr>
          <w:i/>
          <w:iCs/>
        </w:rPr>
        <w:t xml:space="preserve">Ford</w:t>
      </w:r>
      <w:r>
        <w:t xml:space="preserve">, the court held that the defendant “never objected to the admission of this testimony. As such, the issue is not preserved for appellate review.” 334 S.C. at 453–54, 513 S.E.2d at 390 (emphasis added). Unlike</w:t>
      </w:r>
      <w:r>
        <w:t xml:space="preserve"> </w:t>
      </w:r>
      <w:r>
        <w:rPr>
          <w:i/>
          <w:iCs/>
        </w:rPr>
        <w:t xml:space="preserve">Avery</w:t>
      </w:r>
      <w:r>
        <w:t xml:space="preserve"> </w:t>
      </w:r>
      <w:r>
        <w:t xml:space="preserve">and</w:t>
      </w:r>
      <w:r>
        <w:t xml:space="preserve"> </w:t>
      </w:r>
      <w:r>
        <w:rPr>
          <w:i/>
          <w:iCs/>
        </w:rPr>
        <w:t xml:space="preserve">Ford</w:t>
      </w:r>
      <w:r>
        <w:t xml:space="preserve">, in which the defendant did not raise the issue later presented on appeal, Ms. Martin’s request for an instruction adequately presented the issue to the trial court to allow for full consideration.</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Reversal</w:t>
      </w:r>
      <w:r>
        <w:rPr>
          <w:b/>
          <w:bCs/>
          <w:i/>
          <w:iCs/>
        </w:rPr>
        <w:t xml:space="preserve"> </w:t>
      </w:r>
      <w:r>
        <w:rPr>
          <w:b/>
          <w:bCs/>
          <w:i/>
          <w:iCs/>
        </w:rPr>
        <w:t xml:space="preserve">is</w:t>
      </w:r>
      <w:r>
        <w:rPr>
          <w:b/>
          <w:bCs/>
          <w:i/>
          <w:iCs/>
        </w:rPr>
        <w:t xml:space="preserve"> </w:t>
      </w:r>
      <w:r>
        <w:rPr>
          <w:b/>
          <w:bCs/>
          <w:i/>
          <w:iCs/>
        </w:rPr>
        <w:t xml:space="preserve">warranted</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instructions</w:t>
      </w:r>
      <w:r>
        <w:rPr>
          <w:b/>
          <w:bCs/>
          <w:i/>
          <w:iCs/>
        </w:rPr>
        <w:t xml:space="preserve"> </w:t>
      </w:r>
      <w:r>
        <w:rPr>
          <w:b/>
          <w:bCs/>
          <w:i/>
          <w:iCs/>
        </w:rPr>
        <w:t xml:space="preserve">were</w:t>
      </w:r>
      <w:r>
        <w:rPr>
          <w:b/>
          <w:bCs/>
          <w:i/>
          <w:iCs/>
        </w:rPr>
        <w:t xml:space="preserve"> </w:t>
      </w:r>
      <w:r>
        <w:rPr>
          <w:b/>
          <w:bCs/>
          <w:i/>
          <w:iCs/>
        </w:rPr>
        <w:t xml:space="preserve">erroneous</w:t>
      </w:r>
      <w:r>
        <w:rPr>
          <w:b/>
          <w:bCs/>
          <w:i/>
          <w:iCs/>
        </w:rPr>
        <w:t xml:space="preserve"> </w:t>
      </w:r>
      <w:r>
        <w:rPr>
          <w:b/>
          <w:bCs/>
          <w:i/>
          <w:iCs/>
        </w:rPr>
        <w:t xml:space="preserve">and</w:t>
      </w:r>
      <w:r>
        <w:rPr>
          <w:b/>
          <w:bCs/>
          <w:i/>
          <w:iCs/>
        </w:rPr>
        <w:t xml:space="preserve"> </w:t>
      </w:r>
      <w:r>
        <w:rPr>
          <w:b/>
          <w:bCs/>
          <w:i/>
          <w:iCs/>
        </w:rPr>
        <w:t xml:space="preserve">prejudicial.</w:t>
      </w:r>
    </w:p>
    <w:p>
      <w:pPr>
        <w:pStyle w:val="BodyText"/>
      </w:pPr>
      <w:r>
        <w:t xml:space="preserve">Ms. Martin’s conviction must be reversed because the “trial judge’s refusal to give [the] requested jury charge” was “both erroneous and prejudicial to the defendant.”</w:t>
      </w:r>
      <w:r>
        <w:t xml:space="preserve"> </w:t>
      </w:r>
      <w:r>
        <w:rPr>
          <w:i/>
          <w:iCs/>
        </w:rPr>
        <w:t xml:space="preserve">State v. Burkhart</w:t>
      </w:r>
      <w:r>
        <w:t xml:space="preserve">, 350 S.C. 252, 263, 565 S.E.2d 298, 304 (2002).</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instructions,</w:t>
      </w:r>
      <w:r>
        <w:rPr>
          <w:b/>
          <w:bCs/>
          <w:i/>
          <w:iCs/>
        </w:rPr>
        <w:t xml:space="preserve"> </w:t>
      </w:r>
      <w:r>
        <w:rPr>
          <w:b/>
          <w:bCs/>
          <w:i/>
          <w:iCs/>
        </w:rPr>
        <w:t xml:space="preserve">when</w:t>
      </w:r>
      <w:r>
        <w:rPr>
          <w:b/>
          <w:bCs/>
          <w:i/>
          <w:iCs/>
        </w:rPr>
        <w:t xml:space="preserve"> </w:t>
      </w:r>
      <w:r>
        <w:rPr>
          <w:b/>
          <w:bCs/>
          <w:i/>
          <w:iCs/>
        </w:rPr>
        <w:t xml:space="preserve">taken</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whole,</w:t>
      </w:r>
      <w:r>
        <w:rPr>
          <w:b/>
          <w:bCs/>
          <w:i/>
          <w:iCs/>
        </w:rPr>
        <w:t xml:space="preserve"> </w:t>
      </w:r>
      <w:r>
        <w:rPr>
          <w:b/>
          <w:bCs/>
          <w:i/>
          <w:iCs/>
        </w:rPr>
        <w:t xml:space="preserve">were</w:t>
      </w:r>
      <w:r>
        <w:rPr>
          <w:b/>
          <w:bCs/>
          <w:i/>
          <w:iCs/>
        </w:rPr>
        <w:t xml:space="preserve"> </w:t>
      </w:r>
      <w:r>
        <w:rPr>
          <w:b/>
          <w:bCs/>
          <w:i/>
          <w:iCs/>
        </w:rPr>
        <w:t xml:space="preserve">erroneous.</w:t>
      </w:r>
    </w:p>
    <w:p>
      <w:pPr>
        <w:pStyle w:val="BodyText"/>
      </w:pPr>
      <w:r>
        <w:t xml:space="preserve">In its haste to defend Ms. Martin’s conviction, the State woefully misstates the record. The trial court did not, as the State claims on appeal, “define[] the elements of the three offenses” and then “explain[] to the jury the impact of the First Amendment and its protections of speech.” RIB at 12. The jury did not receive a generally applicable First Amendment instruction. Rather, the trial court handled each offense—including its uniquely applicable First Amendment concerns—separately.</w:t>
      </w:r>
    </w:p>
    <w:p>
      <w:pPr>
        <w:pStyle w:val="BodyText"/>
      </w:pPr>
      <w:r>
        <w:t xml:space="preserve">The sequence of the court’s instructions is important. First, the court instructed the jury on the elements of BOPHAN. Tr. II, pp 82–83. This instruction did not discuss any First Amendment protections available to Ms. Martin.</w:t>
      </w:r>
      <w:r>
        <w:t xml:space="preserve"> </w:t>
      </w:r>
      <w:r>
        <w:rPr>
          <w:i/>
          <w:iCs/>
        </w:rPr>
        <w:t xml:space="preserve">Id.</w:t>
      </w:r>
      <w:r>
        <w:t xml:space="preserve"> </w:t>
      </w:r>
      <w:r>
        <w:t xml:space="preserve">Next, the court instructed the jury on the Instigating a Riot charge. Tr. II, pp 83:23–25, 84:8–10. On that charge (unlike on BOPHAN), the court twice instructed the jury that the offense “must not be construed to prevent peaceable assembling of persons for lawful purposes or protest or petition.” Tr. II, pp 83:23–25, 84:8–10. Last, the court instructed the jury on the elements of Threatening a Public Official. Tr. II, pp 85–86. In describing that offense (again, unlike on BOPHAN), the court explained the specific First Amendment protections that applied to that charge.</w:t>
      </w:r>
      <w:r>
        <w:t xml:space="preserve"> </w:t>
      </w:r>
      <w:r>
        <w:rPr>
          <w:i/>
          <w:iCs/>
        </w:rPr>
        <w:t xml:space="preserve">Id.</w:t>
      </w:r>
      <w:r>
        <w:t xml:space="preserve"> </w:t>
      </w:r>
      <w:r>
        <w:t xml:space="preserve">(“The First Amendment protects a significant amount of verbal criticism in challenge directed at police officers. The fighting words exception may require narrow application in cases involving words addressed to a police officer because a properly trained officer may be reasonable expected to exercise a higher degree of restraint than the average citizen.”).</w:t>
      </w:r>
    </w:p>
    <w:p>
      <w:pPr>
        <w:pStyle w:val="BodyText"/>
      </w:pPr>
      <w:r>
        <w:t xml:space="preserve">The structure of the jury instructions, taken together with the court’s admonition to consider “each charge separately on the evidence and law applicable to it uninfluenced by . . . any other charges,” Tr. II, p 75:20–24, left no ambiguity. Ms. Martin’s jury was told not to consider her First Amendment defense to BOPHAN. That was error.</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instructional</w:t>
      </w:r>
      <w:r>
        <w:rPr>
          <w:b/>
          <w:bCs/>
          <w:i/>
          <w:iCs/>
        </w:rPr>
        <w:t xml:space="preserve"> </w:t>
      </w:r>
      <w:r>
        <w:rPr>
          <w:b/>
          <w:bCs/>
          <w:i/>
          <w:iCs/>
        </w:rPr>
        <w:t xml:space="preserve">error</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harmless</w:t>
      </w:r>
      <w:r>
        <w:rPr>
          <w:b/>
          <w:bCs/>
          <w:i/>
          <w:iCs/>
        </w:rPr>
        <w:t xml:space="preserve"> </w:t>
      </w:r>
      <w:r>
        <w:rPr>
          <w:b/>
          <w:bCs/>
          <w:i/>
          <w:iCs/>
        </w:rPr>
        <w:t xml:space="preserve">beyond</w:t>
      </w:r>
      <w:r>
        <w:rPr>
          <w:b/>
          <w:bCs/>
          <w:i/>
          <w:iCs/>
        </w:rPr>
        <w:t xml:space="preserve"> </w:t>
      </w:r>
      <w:r>
        <w:rPr>
          <w:b/>
          <w:bCs/>
          <w:i/>
          <w:iCs/>
        </w:rPr>
        <w:t xml:space="preserve">a</w:t>
      </w:r>
      <w:r>
        <w:rPr>
          <w:b/>
          <w:bCs/>
          <w:i/>
          <w:iCs/>
        </w:rPr>
        <w:t xml:space="preserve"> </w:t>
      </w:r>
      <w:r>
        <w:rPr>
          <w:b/>
          <w:bCs/>
          <w:i/>
          <w:iCs/>
        </w:rPr>
        <w:t xml:space="preserve">reasonable</w:t>
      </w:r>
      <w:r>
        <w:rPr>
          <w:b/>
          <w:bCs/>
          <w:i/>
          <w:iCs/>
        </w:rPr>
        <w:t xml:space="preserve"> </w:t>
      </w:r>
      <w:r>
        <w:rPr>
          <w:b/>
          <w:bCs/>
          <w:i/>
          <w:iCs/>
        </w:rPr>
        <w:t xml:space="preserve">doubt.</w:t>
      </w:r>
    </w:p>
    <w:p>
      <w:pPr>
        <w:pStyle w:val="BodyText"/>
      </w:pPr>
      <w:r>
        <w:t xml:space="preserve">“When considering whether an error with respect to a jury instruction was harmless, we must determine beyond a reasonable doubt that the error complained of did not contribute to the verdict.”</w:t>
      </w:r>
      <w:r>
        <w:t xml:space="preserve"> </w:t>
      </w:r>
      <w:r>
        <w:rPr>
          <w:i/>
          <w:iCs/>
        </w:rPr>
        <w:t xml:space="preserve">State v. Burdette</w:t>
      </w:r>
      <w:r>
        <w:t xml:space="preserve">, 427 S.C. 490, 496, 832 S.E.2d 575, 578 (2019) (internal quotation marks and citation omitted). “In making a harmless error analysis, our inquiry is not what the verdict would have been had the jury been given the correct charge, but whether the erroneous charge contributed to the verdict rendered.”</w:t>
      </w:r>
      <w:r>
        <w:t xml:space="preserve"> </w:t>
      </w:r>
      <w:r>
        <w:rPr>
          <w:i/>
          <w:iCs/>
        </w:rPr>
        <w:t xml:space="preserve">Id.</w:t>
      </w:r>
      <w:r>
        <w:t xml:space="preserve"> </w:t>
      </w:r>
      <w:r>
        <w:t xml:space="preserve">(citation omitted).</w:t>
      </w:r>
    </w:p>
    <w:p>
      <w:pPr>
        <w:pStyle w:val="BodyTextNote"/>
      </w:pPr>
      <w:r>
        <w:t xml:space="preserve">Here, the prejudice is obvious. Ms. Martin’s First Amendment defense was “the sole issue in this case.”</w:t>
      </w:r>
      <w:r>
        <w:t xml:space="preserve"> </w:t>
      </w:r>
      <w:r>
        <w:rPr>
          <w:i/>
          <w:iCs/>
        </w:rPr>
        <w:t xml:space="preserve">State v. Burkhart</w:t>
      </w:r>
      <w:r>
        <w:t xml:space="preserve">, 350 S.C. 252, 263–64, 565 S.E.2d 298, 304 (2002) (reversing prejudicial instructional error). Moreover, BOPHAN was both the only charge that did not carry a First Amendment instruction,</w:t>
      </w:r>
      <w:r>
        <w:t xml:space="preserve"> </w:t>
      </w:r>
      <w:r>
        <w:rPr>
          <w:i/>
          <w:iCs/>
        </w:rPr>
        <w:t xml:space="preserve">supra</w:t>
      </w:r>
      <w:r>
        <w:t xml:space="preserve"> </w:t>
      </w:r>
      <w:r>
        <w:t xml:space="preserve">Part II.B, and the only charge for which the jury returned a conviction. Based on that record, the court’s instructional error very likely contributed to the verdict and cannot be ruled harmless beyond a reasonable doubt.</w:t>
      </w:r>
      <w:r>
        <w:rPr>
          <w:rStyle w:val="FootnoteReference"/>
        </w:rPr>
        <w:footnoteReference w:id="12"/>
      </w:r>
      <w:r>
        <w:t xml:space="preserve"> </w:t>
      </w:r>
      <w:r>
        <w:t xml:space="preserve">Reversal is therefore required.</w:t>
      </w:r>
    </w:p>
    <w:p>
      <w:pPr>
        <w:keepNext/>
        <w:keepLines/>
        <w:spacing w:before="288" w:after="192" w:line="276" w:lineRule="exact"/>
        <w:ind w:left="720" w:hanging="720"/>
        <w:jc w:val="left"/>
      </w:pPr>
      <w:r>
        <w:rPr>
          <w:b/>
          <w:bCs/>
        </w:rPr>
        <w:t xml:space="preserve">III.</w:t>
      </w:r>
      <w:r>
        <w:rPr>
          <w:b/>
          <w:bCs/>
        </w:rPr>
        <w:t xml:space="preserve"> </w:t>
      </w:r>
      <w:r>
        <w:rPr>
          <w:b/>
          <w:bCs/>
        </w:rPr>
        <w:t xml:space="preserve">Martin’s</w:t>
      </w:r>
      <w:r>
        <w:rPr>
          <w:b/>
          <w:bCs/>
        </w:rPr>
        <w:t xml:space="preserve"> </w:t>
      </w:r>
      <w:r>
        <w:rPr>
          <w:b/>
          <w:bCs/>
        </w:rPr>
        <w:t xml:space="preserve">four-year</w:t>
      </w:r>
      <w:r>
        <w:rPr>
          <w:b/>
          <w:bCs/>
        </w:rPr>
        <w:t xml:space="preserve"> </w:t>
      </w:r>
      <w:r>
        <w:rPr>
          <w:b/>
          <w:bCs/>
        </w:rPr>
        <w:t xml:space="preserve">prison</w:t>
      </w:r>
      <w:r>
        <w:rPr>
          <w:b/>
          <w:bCs/>
        </w:rPr>
        <w:t xml:space="preserve"> </w:t>
      </w:r>
      <w:r>
        <w:rPr>
          <w:b/>
          <w:bCs/>
        </w:rPr>
        <w:t xml:space="preserve">sentence</w:t>
      </w:r>
      <w:r>
        <w:rPr>
          <w:b/>
          <w:bCs/>
        </w:rPr>
        <w:t xml:space="preserve"> </w:t>
      </w:r>
      <w:r>
        <w:rPr>
          <w:b/>
          <w:bCs/>
        </w:rPr>
        <w:t xml:space="preserve">for</w:t>
      </w:r>
      <w:r>
        <w:rPr>
          <w:b/>
          <w:bCs/>
        </w:rPr>
        <w:t xml:space="preserve"> </w:t>
      </w:r>
      <w:r>
        <w:rPr>
          <w:b/>
          <w:bCs/>
        </w:rPr>
        <w:t xml:space="preserve">nonviolent</w:t>
      </w:r>
      <w:r>
        <w:rPr>
          <w:b/>
          <w:bCs/>
        </w:rPr>
        <w:t xml:space="preserve"> </w:t>
      </w:r>
      <w:r>
        <w:rPr>
          <w:b/>
          <w:bCs/>
        </w:rPr>
        <w:t xml:space="preserve">and</w:t>
      </w:r>
      <w:r>
        <w:rPr>
          <w:b/>
          <w:bCs/>
        </w:rPr>
        <w:t xml:space="preserve"> </w:t>
      </w:r>
      <w:r>
        <w:rPr>
          <w:b/>
          <w:bCs/>
        </w:rPr>
        <w:t xml:space="preserve">nondestructive</w:t>
      </w:r>
      <w:r>
        <w:rPr>
          <w:b/>
          <w:bCs/>
        </w:rPr>
        <w:t xml:space="preserve"> </w:t>
      </w:r>
      <w:r>
        <w:rPr>
          <w:b/>
          <w:bCs/>
        </w:rPr>
        <w:t xml:space="preserve">conduct</w:t>
      </w:r>
      <w:r>
        <w:rPr>
          <w:b/>
          <w:bCs/>
        </w:rPr>
        <w:t xml:space="preserve"> </w:t>
      </w:r>
      <w:r>
        <w:rPr>
          <w:b/>
          <w:bCs/>
        </w:rPr>
        <w:t xml:space="preserve">is</w:t>
      </w:r>
      <w:r>
        <w:rPr>
          <w:b/>
          <w:bCs/>
        </w:rPr>
        <w:t xml:space="preserve"> </w:t>
      </w:r>
      <w:r>
        <w:rPr>
          <w:b/>
          <w:bCs/>
        </w:rPr>
        <w:t xml:space="preserve">grossly</w:t>
      </w:r>
      <w:r>
        <w:rPr>
          <w:b/>
          <w:bCs/>
        </w:rPr>
        <w:t xml:space="preserve"> </w:t>
      </w:r>
      <w:r>
        <w:rPr>
          <w:b/>
          <w:bCs/>
        </w:rPr>
        <w:t xml:space="preserve">disproportionate</w:t>
      </w:r>
      <w:r>
        <w:rPr>
          <w:b/>
          <w:bCs/>
        </w:rPr>
        <w:t xml:space="preserve"> </w:t>
      </w:r>
      <w:r>
        <w:rPr>
          <w:b/>
          <w:bCs/>
        </w:rPr>
        <w:t xml:space="preserve">and</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w:t>
      </w:r>
    </w:p>
    <w:p>
      <w:pPr>
        <w:pStyle w:val="BodyText"/>
      </w:pPr>
      <w:r>
        <w:t xml:space="preserve">The comparison of Ms. Martin’s crime to her sentence gives rise to an inference of gross disproportionality, and comparison to other sentences highlights that disproportionality. “[I]n analyzing proportionality under the Eight Amendment outside the capital context, South Carolina courts shall first determine whether a comparison between the sentence and the crime committed gives rise to an inference of gross disproportionality.”</w:t>
      </w:r>
      <w:r>
        <w:t xml:space="preserve"> </w:t>
      </w:r>
      <w:r>
        <w:rPr>
          <w:i/>
          <w:iCs/>
        </w:rPr>
        <w:t xml:space="preserve">State v. Harrison</w:t>
      </w:r>
      <w:r>
        <w:t xml:space="preserve">, 402 S.C. 288, 299–300, 741 S.E.2d 727, 733 (2013). If such an inference is present, “intrajurisdictional and interjurisdictional analysis is appropriate. Courts may then look to whether more serious crimes carry the same penalty, or more serious penalties, and the sentences imposed for commission of the same crime in other jurisdictions.”</w:t>
      </w:r>
      <w:r>
        <w:t xml:space="preserve"> </w:t>
      </w:r>
      <w:r>
        <w:rPr>
          <w:i/>
          <w:iCs/>
        </w:rPr>
        <w:t xml:space="preserve">Id.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Ms.</w:t>
      </w:r>
      <w:r>
        <w:rPr>
          <w:b/>
          <w:bCs/>
          <w:i/>
          <w:iCs/>
        </w:rPr>
        <w:t xml:space="preserve"> </w:t>
      </w:r>
      <w:r>
        <w:rPr>
          <w:b/>
          <w:bCs/>
          <w:i/>
          <w:iCs/>
        </w:rPr>
        <w:t xml:space="preserve">Martin’s</w:t>
      </w:r>
      <w:r>
        <w:rPr>
          <w:b/>
          <w:bCs/>
          <w:i/>
          <w:iCs/>
        </w:rPr>
        <w:t xml:space="preserve"> </w:t>
      </w:r>
      <w:r>
        <w:rPr>
          <w:b/>
          <w:bCs/>
          <w:i/>
          <w:iCs/>
        </w:rPr>
        <w:t xml:space="preserve">criminal</w:t>
      </w:r>
      <w:r>
        <w:rPr>
          <w:b/>
          <w:bCs/>
          <w:i/>
          <w:iCs/>
        </w:rPr>
        <w:t xml:space="preserve"> </w:t>
      </w:r>
      <w:r>
        <w:rPr>
          <w:b/>
          <w:bCs/>
          <w:i/>
          <w:iCs/>
        </w:rPr>
        <w:t xml:space="preserve">history</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undermine</w:t>
      </w:r>
      <w:r>
        <w:rPr>
          <w:b/>
          <w:bCs/>
          <w:i/>
          <w:iCs/>
        </w:rPr>
        <w:t xml:space="preserve"> </w:t>
      </w:r>
      <w:r>
        <w:rPr>
          <w:b/>
          <w:bCs/>
          <w:i/>
          <w:iCs/>
        </w:rPr>
        <w:t xml:space="preserve">the</w:t>
      </w:r>
      <w:r>
        <w:rPr>
          <w:b/>
          <w:bCs/>
          <w:i/>
          <w:iCs/>
        </w:rPr>
        <w:t xml:space="preserve"> </w:t>
      </w:r>
      <w:r>
        <w:rPr>
          <w:b/>
          <w:bCs/>
          <w:i/>
          <w:iCs/>
        </w:rPr>
        <w:t xml:space="preserve">inference</w:t>
      </w:r>
      <w:r>
        <w:rPr>
          <w:b/>
          <w:bCs/>
          <w:i/>
          <w:iCs/>
        </w:rPr>
        <w:t xml:space="preserve"> </w:t>
      </w:r>
      <w:r>
        <w:rPr>
          <w:b/>
          <w:bCs/>
          <w:i/>
          <w:iCs/>
        </w:rPr>
        <w:t xml:space="preserve">of</w:t>
      </w:r>
      <w:r>
        <w:rPr>
          <w:b/>
          <w:bCs/>
          <w:i/>
          <w:iCs/>
        </w:rPr>
        <w:t xml:space="preserve"> </w:t>
      </w:r>
      <w:r>
        <w:rPr>
          <w:b/>
          <w:bCs/>
          <w:i/>
          <w:iCs/>
        </w:rPr>
        <w:t xml:space="preserve">gross</w:t>
      </w:r>
      <w:r>
        <w:rPr>
          <w:b/>
          <w:bCs/>
          <w:i/>
          <w:iCs/>
        </w:rPr>
        <w:t xml:space="preserve"> </w:t>
      </w:r>
      <w:r>
        <w:rPr>
          <w:b/>
          <w:bCs/>
          <w:i/>
          <w:iCs/>
        </w:rPr>
        <w:t xml:space="preserve">disproportionality.</w:t>
      </w:r>
    </w:p>
    <w:p>
      <w:pPr>
        <w:pStyle w:val="BodyText"/>
      </w:pPr>
      <w:r>
        <w:t xml:space="preserve">First, under the language of</w:t>
      </w:r>
      <w:r>
        <w:t xml:space="preserve"> </w:t>
      </w:r>
      <w:r>
        <w:rPr>
          <w:i/>
          <w:iCs/>
        </w:rPr>
        <w:t xml:space="preserve">Harrison</w:t>
      </w:r>
      <w:r>
        <w:t xml:space="preserve">, the gross proportionality inference is limited to consideration of “the sentence and the crime committed,” 402 S.C. at 300, 741 S.E.2d at 733 (emphasis added), and does not permit consideration of external factors such as criminal history. Under that framework, comparison of Ms. Martin’s offense to her four-year prison sentence gives rise to an inference of gross disproportionality because Ms. Martin never caused injury to another person, and she never destroyed any property.</w:t>
      </w:r>
    </w:p>
    <w:p>
      <w:pPr>
        <w:pStyle w:val="BodyTextNote"/>
      </w:pPr>
      <w:r>
        <w:t xml:space="preserve">But even if this Court takes a more expansive view of</w:t>
      </w:r>
      <w:r>
        <w:t xml:space="preserve"> </w:t>
      </w:r>
      <w:r>
        <w:rPr>
          <w:i/>
          <w:iCs/>
        </w:rPr>
        <w:t xml:space="preserve">Harrison</w:t>
      </w:r>
      <w:r>
        <w:t xml:space="preserve"> </w:t>
      </w:r>
      <w:r>
        <w:t xml:space="preserve">and considers factors other than the crime itself and the resulting sentence, Ms. Martin’s criminal history does not undermine an inference of gross proportionality. The State argues that Ms. Martin’s “sentence was imposed, in significant part, based on Appellant’s prior criminal record and the inability of probation to prevent her continued criminal behavior.”</w:t>
      </w:r>
      <w:r>
        <w:rPr>
          <w:rStyle w:val="FootnoteReference"/>
        </w:rPr>
        <w:footnoteReference w:id="13"/>
      </w:r>
      <w:r>
        <w:t xml:space="preserve"> </w:t>
      </w:r>
      <w:r>
        <w:t xml:space="preserve">RIB at 17. Essentially, the State argues, Ms. Martin should receive a sentence more severe than probation because probation has failed to deter Ms. Martin in the past. But even if that’s true, there is a massive and unexplainable gulf between a would-be probationary sentence and the four-year prison term Ms. Martin ultimately received. That Ms. Martin has a mildly checkered past does not explain or justify a prison term for nonviolent and nondestructive conduct that well exceeds the next longest known sentence for BOPHAN. To argue that Ms. Martin’s shoplifting convictions justify a thirty-three percent longer sentence than the one imposed on a USC football fan that killed another person is more than wrong, it is nonsensical.</w:t>
      </w:r>
      <w:r>
        <w:t xml:space="preserve"> </w:t>
      </w:r>
      <w:r>
        <w:rPr>
          <w:i/>
          <w:iCs/>
        </w:rPr>
        <w:t xml:space="preserve">See</w:t>
      </w:r>
      <w:r>
        <w:t xml:space="preserve"> </w:t>
      </w:r>
      <w:r>
        <w:t xml:space="preserve">RIB at 18–19.</w:t>
      </w:r>
    </w:p>
    <w:p>
      <w:pPr>
        <w:pStyle w:val="BodyText"/>
      </w:pPr>
      <w:r>
        <w:t xml:space="preserve">Beyond that, the state’s deterrence-based argument also rests on a faulty assumption: that Ms. Martin knew her actions in this case were criminal and acted anyways, in spite of prior punishment. Deterrence occurs when an individual is presented with a choice: act illegally, or not. If that individual is “deterred” (by a previous punishment or the threat of a future punishment), that individual chooses not to act illegally. But here, because BOPHAN is extraordinarily—likely unconstitutionally—vague,</w:t>
      </w:r>
      <w:r>
        <w:t xml:space="preserve"> </w:t>
      </w:r>
      <w:r>
        <w:rPr>
          <w:i/>
          <w:iCs/>
        </w:rPr>
        <w:t xml:space="preserve">see</w:t>
      </w:r>
      <w:r>
        <w:t xml:space="preserve"> </w:t>
      </w:r>
      <w:r>
        <w:t xml:space="preserve">AIB at 23–28, neither Ms. Martin nor anyone else had adequate notice of what conduct is prohibited. Without that notice, Ms. Martin could not choose to either commit BOPHAN or be deterred from committing BOPHAN—because she could not know what BOPHAN actually prohibits. Deterrence (or the lack thereof), then, was not a factor in this case and cannot ameliorate the disproportionality of a years-long prison sentence for nonviolent and nondestructive conduct.</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address</w:t>
      </w:r>
      <w:r>
        <w:rPr>
          <w:b/>
          <w:bCs/>
          <w:i/>
          <w:iCs/>
        </w:rPr>
        <w:t xml:space="preserve"> </w:t>
      </w:r>
      <w:r>
        <w:rPr>
          <w:b/>
          <w:bCs/>
          <w:i/>
          <w:iCs/>
        </w:rPr>
        <w:t xml:space="preserve">the</w:t>
      </w:r>
      <w:r>
        <w:rPr>
          <w:b/>
          <w:bCs/>
          <w:i/>
          <w:iCs/>
        </w:rPr>
        <w:t xml:space="preserve"> </w:t>
      </w:r>
      <w:r>
        <w:rPr>
          <w:b/>
          <w:bCs/>
          <w:i/>
          <w:iCs/>
        </w:rPr>
        <w:t xml:space="preserve">compelling</w:t>
      </w:r>
      <w:r>
        <w:rPr>
          <w:b/>
          <w:bCs/>
          <w:i/>
          <w:iCs/>
        </w:rPr>
        <w:t xml:space="preserve"> </w:t>
      </w:r>
      <w:r>
        <w:rPr>
          <w:b/>
          <w:bCs/>
          <w:i/>
          <w:iCs/>
        </w:rPr>
        <w:t xml:space="preserve">comparative</w:t>
      </w:r>
      <w:r>
        <w:rPr>
          <w:b/>
          <w:bCs/>
          <w:i/>
          <w:iCs/>
        </w:rPr>
        <w:t xml:space="preserve"> </w:t>
      </w:r>
      <w:r>
        <w:rPr>
          <w:b/>
          <w:bCs/>
          <w:i/>
          <w:iCs/>
        </w:rPr>
        <w:t xml:space="preserve">analysis</w:t>
      </w:r>
      <w:r>
        <w:rPr>
          <w:b/>
          <w:bCs/>
          <w:i/>
          <w:iCs/>
        </w:rPr>
        <w:t xml:space="preserve"> </w:t>
      </w:r>
      <w:r>
        <w:rPr>
          <w:b/>
          <w:bCs/>
          <w:i/>
          <w:iCs/>
        </w:rPr>
        <w:t xml:space="preserve">offered</w:t>
      </w:r>
      <w:r>
        <w:rPr>
          <w:b/>
          <w:bCs/>
          <w:i/>
          <w:iCs/>
        </w:rPr>
        <w:t xml:space="preserve"> </w:t>
      </w:r>
      <w:r>
        <w:rPr>
          <w:b/>
          <w:bCs/>
          <w:i/>
          <w:iCs/>
        </w:rPr>
        <w:t xml:space="preserve">by</w:t>
      </w:r>
      <w:r>
        <w:rPr>
          <w:b/>
          <w:bCs/>
          <w:i/>
          <w:iCs/>
        </w:rPr>
        <w:t xml:space="preserve"> </w:t>
      </w:r>
      <w:r>
        <w:rPr>
          <w:b/>
          <w:bCs/>
          <w:i/>
          <w:iCs/>
        </w:rPr>
        <w:t xml:space="preserve">Appellant.</w:t>
      </w:r>
    </w:p>
    <w:p>
      <w:pPr>
        <w:pStyle w:val="BodyText"/>
      </w:pPr>
      <w:r>
        <w:t xml:space="preserve">A comparison of Ms. Martin’s four-year prison term to other sentences, both for BOPHAN and for other crimes, reveals that Ms. Martin’s case is one of the “rare instances” where a sentence violated the Eighth Amendment. Counsel for Appellant has not found—and the State has not offered—a single BOPHAN conviction with a sentence equal or greater to Ms. Martin’s.</w:t>
      </w:r>
      <w:r>
        <w:t xml:space="preserve"> </w:t>
      </w:r>
      <w:r>
        <w:rPr>
          <w:i/>
          <w:iCs/>
        </w:rPr>
        <w:t xml:space="preserve">See</w:t>
      </w:r>
      <w:r>
        <w:t xml:space="preserve"> </w:t>
      </w:r>
      <w:r>
        <w:t xml:space="preserve">AIB at 35. Even in</w:t>
      </w:r>
      <w:r>
        <w:t xml:space="preserve"> </w:t>
      </w:r>
      <w:r>
        <w:rPr>
          <w:i/>
          <w:iCs/>
        </w:rPr>
        <w:t xml:space="preserve">State v. Simms</w:t>
      </w:r>
      <w:r>
        <w:t xml:space="preserve">, 412 S.C. 590, 774 S.E.2d 445 (2015), which involved physical violence resulting in a death, the defendant received less prison time than Ms. Martin.</w:t>
      </w:r>
      <w:r>
        <w:t xml:space="preserve"> </w:t>
      </w:r>
      <w:r>
        <w:rPr>
          <w:i/>
          <w:iCs/>
        </w:rPr>
        <w:t xml:space="preserve">Id.</w:t>
      </w:r>
      <w:r>
        <w:t xml:space="preserve"> </w:t>
      </w:r>
      <w:r>
        <w:t xml:space="preserve">at 593, 446. Additionally, many other offenses more severe than BOPHAN carry less or comparable prison time to Ms. Martin’s sentence.</w:t>
      </w:r>
      <w:r>
        <w:t xml:space="preserve"> </w:t>
      </w:r>
      <w:r>
        <w:rPr>
          <w:i/>
          <w:iCs/>
        </w:rPr>
        <w:t xml:space="preserve">See</w:t>
      </w:r>
      <w:r>
        <w:t xml:space="preserve"> </w:t>
      </w:r>
      <w:r>
        <w:t xml:space="preserve">AIB at 34. The State offered no rebuttal to Ms. Martin’s arguments on this point.</w:t>
      </w:r>
    </w:p>
    <w:p>
      <w:pPr>
        <w:keepNext/>
        <w:keepLines/>
        <w:spacing w:before="288" w:after="240" w:line="276" w:lineRule="exact"/>
        <w:ind w:left="0" w:firstLine="0"/>
        <w:jc w:val="center"/>
      </w:pPr>
      <w:r>
        <w:rPr>
          <w:b/>
          <w:bCs/>
        </w:rPr>
        <w:t xml:space="preserve">CONCLUSION</w:t>
      </w:r>
    </w:p>
    <w:p>
      <w:pPr>
        <w:pStyle w:val="BodyText"/>
      </w:pPr>
      <w:r>
        <w:t xml:space="preserve">Over five days in Sumter, Ms. Martin protested a grave injustice. She expressed her grief and anguish in a way that Sumter County officials disapproved of,</w:t>
      </w:r>
      <w:r>
        <w:t xml:space="preserve"> </w:t>
      </w:r>
      <w:r>
        <w:rPr>
          <w:i/>
          <w:iCs/>
        </w:rPr>
        <w:t xml:space="preserve">see</w:t>
      </w:r>
      <w:r>
        <w:t xml:space="preserve"> </w:t>
      </w:r>
      <w:r>
        <w:t xml:space="preserve">AIB at 8–9, but she did not cause any injury or destroy any property. Nevertheless, Ms. Martin is now serving a four-year prison sentence—likely the longest ever imposed for a BOPHAN conviction—because of her “speech on public issues,” which “occupies the highest rung of the hierarchy of First Amendment values” and “is entitled to special protection.”</w:t>
      </w:r>
      <w:r>
        <w:t xml:space="preserve"> </w:t>
      </w:r>
      <w:r>
        <w:rPr>
          <w:i/>
          <w:iCs/>
        </w:rPr>
        <w:t xml:space="preserve">Connick</w:t>
      </w:r>
      <w:r>
        <w:rPr>
          <w:i/>
          <w:iCs/>
        </w:rPr>
        <w:t xml:space="preserve"> </w:t>
      </w:r>
      <w:r>
        <w:rPr>
          <w:i/>
          <w:iCs/>
        </w:rPr>
        <w:t xml:space="preserve">v. Myers</w:t>
      </w:r>
      <w:r>
        <w:t xml:space="preserve">, 461 U.S. 138, 145 (1983) (quotation marks and citations omitted). This Court should grant Ms. Martin the requested relief.</w:t>
      </w:r>
    </w:p>
    <w:p>
      <w:pPr>
        <w:pStyle w:val="BodyText"/>
      </w:pPr>
      <w:r>
        <w:t xml:space="preserve">Similarly, in</w:t>
      </w:r>
      <w:r>
        <w:t xml:space="preserve"> </w:t>
      </w:r>
      <w:r>
        <w:rPr>
          <w:i/>
          <w:iCs/>
        </w:rPr>
        <w:t xml:space="preserve">Fields</w:t>
      </w:r>
      <w:r>
        <w:t xml:space="preserve">, the State claimed that the protest “simply was not peaceful” and created “a clear and present danger of riot, disorder, interference with traffic upon the public streets, and other immediate threats to public safety.” Brief in Opposition at 2–3,</w:t>
      </w:r>
      <w:r>
        <w:t xml:space="preserve"> </w:t>
      </w:r>
      <w:r>
        <w:rPr>
          <w:i/>
          <w:iCs/>
        </w:rPr>
        <w:t xml:space="preserve">Fields</w:t>
      </w:r>
      <w:r>
        <w:rPr>
          <w:i/>
          <w:iCs/>
        </w:rPr>
        <w:t xml:space="preserve"> </w:t>
      </w:r>
      <w:r>
        <w:rPr>
          <w:i/>
          <w:iCs/>
        </w:rPr>
        <w:t xml:space="preserve">v. South Carolina</w:t>
      </w:r>
      <w:r>
        <w:t xml:space="preserve">, 375 U.S. 44 (1963) (No. 335).</w:t>
      </w:r>
      <w:r>
        <w:t xml:space="preserve"> </w:t>
      </w:r>
      <w:r>
        <w:t xml:space="preserve">The Supreme Court summarily reversed the convictions.</w:t>
      </w:r>
      <w:r>
        <w:t xml:space="preserve"> </w:t>
      </w:r>
      <w:r>
        <w:rPr>
          <w:i/>
          <w:iCs/>
        </w:rPr>
        <w:t xml:space="preserve">Fields</w:t>
      </w:r>
      <w:r>
        <w:rPr>
          <w:i/>
          <w:iCs/>
        </w:rPr>
        <w:t xml:space="preserve"> </w:t>
      </w:r>
      <w:r>
        <w:rPr>
          <w:i/>
          <w:iCs/>
        </w:rPr>
        <w:t xml:space="preserve">v. South Carolina</w:t>
      </w:r>
      <w:r>
        <w:t xml:space="preserve">, 375 U.S. 44, 44 (1963) (citing</w:t>
      </w:r>
      <w:r>
        <w:t xml:space="preserve"> </w:t>
      </w:r>
      <w:r>
        <w:rPr>
          <w:i/>
          <w:iCs/>
        </w:rPr>
        <w:t xml:space="preserve">Edwards</w:t>
      </w:r>
      <w:r>
        <w:rPr>
          <w:i/>
          <w:iCs/>
        </w:rPr>
        <w:t xml:space="preserve"> </w:t>
      </w:r>
      <w:r>
        <w:rPr>
          <w:i/>
          <w:iCs/>
        </w:rPr>
        <w:t xml:space="preserve">v. South Carolina</w:t>
      </w:r>
      <w:r>
        <w:t xml:space="preserve">, 372 U.S. 229 (1963)). Likewise, in</w:t>
      </w:r>
      <w:r>
        <w:t xml:space="preserve"> </w:t>
      </w:r>
      <w:r>
        <w:rPr>
          <w:i/>
          <w:iCs/>
        </w:rPr>
        <w:t xml:space="preserve">Henry</w:t>
      </w:r>
      <w:r>
        <w:t xml:space="preserve">, the State claimed that “25 to 30 minutes” of “loud and boisterous” singing created “a clear and present danger of riot, disorder, interference with traffic upon the public streets, or other immediate threat to public safety.” Brief in Opposition at 2,</w:t>
      </w:r>
      <w:r>
        <w:t xml:space="preserve"> </w:t>
      </w:r>
      <w:r>
        <w:rPr>
          <w:i/>
          <w:iCs/>
        </w:rPr>
        <w:t xml:space="preserve">Henry</w:t>
      </w:r>
      <w:r>
        <w:rPr>
          <w:i/>
          <w:iCs/>
        </w:rPr>
        <w:t xml:space="preserve"> </w:t>
      </w:r>
      <w:r>
        <w:rPr>
          <w:i/>
          <w:iCs/>
        </w:rPr>
        <w:t xml:space="preserve">v. City of Rock Hill</w:t>
      </w:r>
      <w:r>
        <w:t xml:space="preserve">, 376 U.S. 776 (1964) (No. 954).</w:t>
      </w:r>
      <w:r>
        <w:t xml:space="preserve"> </w:t>
      </w:r>
      <w:r>
        <w:t xml:space="preserve">The Supreme Court reversed the convictions, holding that the defendants “were engaged in the ‘peaceful expression of unpopular views.’”</w:t>
      </w:r>
      <w:r>
        <w:t xml:space="preserve"> </w:t>
      </w:r>
      <w:r>
        <w:rPr>
          <w:i/>
          <w:iCs/>
        </w:rPr>
        <w:t xml:space="preserve">Henry</w:t>
      </w:r>
      <w:r>
        <w:rPr>
          <w:i/>
          <w:iCs/>
        </w:rPr>
        <w:t xml:space="preserve"> </w:t>
      </w:r>
      <w:r>
        <w:rPr>
          <w:i/>
          <w:iCs/>
        </w:rPr>
        <w:t xml:space="preserve">v. City of Rock Hill</w:t>
      </w:r>
      <w:r>
        <w:t xml:space="preserve">, 376 U.S. 776, 777 (1964) (quoting</w:t>
      </w:r>
      <w:r>
        <w:t xml:space="preserve"> </w:t>
      </w:r>
      <w:r>
        <w:rPr>
          <w:i/>
          <w:iCs/>
        </w:rPr>
        <w:t xml:space="preserve">Edwards</w:t>
      </w:r>
      <w:r>
        <w:t xml:space="preserve">, 372 U.S. at 237).</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August</w:t>
            </w:r>
            <w:r>
              <w:t xml:space="preserve"> </w:t>
            </w:r>
            <w:r>
              <w:t xml:space="preserve">28,</w:t>
            </w:r>
            <w:r>
              <w:t xml:space="preserve"> </w:t>
            </w:r>
            <w:r>
              <w:t xml:space="preserve">2023</w:t>
            </w:r>
          </w:p>
          <w:p>
            <w:pPr>
              <w:spacing w:before="216" w:after="0" w:line="276" w:lineRule="exact"/>
              <w:ind w:left="4608" w:firstLine="0"/>
              <w:jc w:val="left"/>
            </w:pPr>
            <w:r>
              <w:rPr>
                <w:u w:val="single"/>
              </w:rPr>
              <w:t xml:space="preserve">/s/</w:t>
            </w:r>
            <w:r>
              <w:rPr>
                <w:u w:val="single"/>
              </w:rPr>
              <w:t xml:space="preserve"> </w:t>
            </w:r>
            <w:r>
              <w:rPr>
                <w:i/>
                <w:iCs/>
                <w:u w:val="single"/>
              </w:rPr>
              <w:t xml:space="preserve">Meredith</w:t>
            </w:r>
            <w:r>
              <w:rPr>
                <w:i/>
                <w:iCs/>
                <w:u w:val="single"/>
              </w:rPr>
              <w:t xml:space="preserve"> </w:t>
            </w:r>
            <w:r>
              <w:rPr>
                <w:i/>
                <w:iCs/>
                <w:u w:val="single"/>
              </w:rPr>
              <w:t xml:space="preserve">McPhail</w:t>
            </w:r>
          </w:p>
          <w:p>
            <w:pPr>
              <w:spacing w:before="0" w:after="0" w:line="276" w:lineRule="exact"/>
              <w:ind w:left="4608" w:firstLine="0"/>
              <w:jc w:val="left"/>
            </w:pPr>
            <w:r>
              <w:t xml:space="preserve">Meredith</w:t>
            </w:r>
            <w:r>
              <w:t xml:space="preserve"> </w:t>
            </w:r>
            <w:r>
              <w:t xml:space="preserve">McPhail</w:t>
            </w:r>
          </w:p>
          <w:p>
            <w:pPr>
              <w:spacing w:before="0" w:after="0" w:line="276" w:lineRule="exact"/>
              <w:ind w:left="4608" w:firstLine="0"/>
              <w:jc w:val="left"/>
            </w:pPr>
            <w:r>
              <w:t xml:space="preserve">#104551</w:t>
            </w:r>
          </w:p>
          <w:p>
            <w:pPr>
              <w:spacing w:before="144"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w:t>
            </w:r>
            <w:r>
              <w:t xml:space="preserve"> </w:t>
            </w:r>
            <w:r>
              <w:t xml:space="preserve">CAROLINA</w:t>
            </w:r>
          </w:p>
          <w:p>
            <w:pPr>
              <w:spacing w:before="0" w:after="0" w:line="276" w:lineRule="exact"/>
              <w:ind w:left="4608" w:firstLine="0"/>
              <w:jc w:val="left"/>
            </w:pPr>
            <w:r>
              <w:t xml:space="preserve">P.O.</w:t>
            </w:r>
            <w:r>
              <w:t xml:space="preserve"> </w:t>
            </w:r>
            <w:r>
              <w:t xml:space="preserve">Box</w:t>
            </w:r>
            <w:r>
              <w:t xml:space="preserve"> </w:t>
            </w:r>
            <w:r>
              <w:t xml:space="preserve">1668</w:t>
            </w:r>
          </w:p>
          <w:p>
            <w:pPr>
              <w:spacing w:before="0" w:after="0" w:line="276" w:lineRule="exact"/>
              <w:ind w:left="4608" w:firstLine="0"/>
              <w:jc w:val="left"/>
            </w:pPr>
            <w:r>
              <w:t xml:space="preserve">Columbia,</w:t>
            </w:r>
            <w:r>
              <w:t xml:space="preserve"> </w:t>
            </w:r>
            <w:r>
              <w:t xml:space="preserve">SC</w:t>
            </w:r>
            <w:r>
              <w:t xml:space="preserve"> </w:t>
            </w:r>
            <w:r>
              <w:t xml:space="preserve">29202</w:t>
            </w:r>
          </w:p>
          <w:p>
            <w:pPr>
              <w:spacing w:before="0" w:after="0" w:line="276" w:lineRule="exact"/>
              <w:ind w:left="4608" w:firstLine="0"/>
              <w:jc w:val="left"/>
            </w:pPr>
            <w:r>
              <w:t xml:space="preserve">(843)</w:t>
            </w:r>
            <w:r>
              <w:t xml:space="preserve"> </w:t>
            </w:r>
            <w:r>
              <w:t xml:space="preserve">259</w:t>
              <w:noBreakHyphen/>
              <w:t xml:space="preserve">2925</w:t>
            </w:r>
          </w:p>
          <w:p>
            <w:pPr>
              <w:spacing w:before="0" w:after="0" w:line="276" w:lineRule="exact"/>
              <w:ind w:left="4608" w:firstLine="0"/>
              <w:jc w:val="left"/>
            </w:pPr>
            <w:r>
              <w:t xml:space="preserve">mmcphail@aclusc.org</w:t>
            </w:r>
          </w:p>
          <w:p>
            <w:pPr>
              <w:spacing w:before="0" w:after="0" w:line="276" w:lineRule="exact"/>
              <w:ind w:left="4608"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20" w:after="0" w:line="552" w:lineRule="exact"/>
        <w:ind w:left="0" w:firstLine="720"/>
        <w:jc w:val="left"/>
      </w:pPr>
      <w:r>
        <w:t xml:space="preserve">Undersigned</w:t>
      </w:r>
      <w:r>
        <w:t xml:space="preserve"> </w:t>
      </w:r>
      <w:r>
        <w:t xml:space="preserve">counsel</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August</w:t>
      </w:r>
      <w:r>
        <w:t xml:space="preserve"> </w:t>
      </w:r>
      <w:r>
        <w:t xml:space="preserve">28,</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Appellant’s</w:t>
      </w:r>
      <w:r>
        <w:t xml:space="preserve"> </w:t>
      </w:r>
      <w:r>
        <w:t xml:space="preserve">Reply</w:t>
      </w:r>
      <w:r>
        <w:t xml:space="preserve"> </w:t>
      </w:r>
      <w:r>
        <w:t xml:space="preserve">Brief</w:t>
      </w:r>
      <w:r>
        <w:t xml:space="preserve"> </w:t>
      </w:r>
      <w:r>
        <w:t xml:space="preserve">is</w:t>
      </w:r>
      <w:r>
        <w:t xml:space="preserve"> </w:t>
      </w:r>
      <w:r>
        <w:t xml:space="preserve">served</w:t>
      </w:r>
      <w:r>
        <w:t xml:space="preserve"> </w:t>
      </w:r>
      <w:r>
        <w:t xml:space="preserve">by</w:t>
      </w:r>
      <w:r>
        <w:t xml:space="preserve"> </w:t>
      </w:r>
      <w:r>
        <w:t xml:space="preserve">electronic</w:t>
      </w:r>
      <w:r>
        <w:t xml:space="preserve"> </w:t>
      </w:r>
      <w:r>
        <w:t xml:space="preserve">mail</w:t>
      </w:r>
      <w:r>
        <w:t xml:space="preserve"> </w:t>
      </w:r>
      <w:r>
        <w:t xml:space="preserve">on</w:t>
      </w:r>
      <w:r>
        <w:t xml:space="preserve"> </w:t>
      </w:r>
      <w:r>
        <w:t xml:space="preserve">counsel</w:t>
      </w:r>
      <w:r>
        <w:t xml:space="preserve"> </w:t>
      </w:r>
      <w:r>
        <w:t xml:space="preserve">for</w:t>
      </w:r>
      <w:r>
        <w:t xml:space="preserve"> </w:t>
      </w:r>
      <w:r>
        <w:t xml:space="preserve">Respondent,</w:t>
      </w:r>
      <w:r>
        <w:t xml:space="preserve"> </w:t>
      </w:r>
      <w:r>
        <w:t xml:space="preserve">Mark</w:t>
      </w:r>
      <w:r>
        <w:t xml:space="preserve"> </w:t>
      </w:r>
      <w:r>
        <w:t xml:space="preserve">Farthing</w:t>
      </w:r>
      <w:r>
        <w:t xml:space="preserve"> </w:t>
      </w:r>
      <w:r>
        <w:t xml:space="preserve">(at</w:t>
      </w:r>
      <w:r>
        <w:t xml:space="preserve"> </w:t>
      </w:r>
      <w:r>
        <w:t xml:space="preserve">mfarthing@scag.gov).</w:t>
      </w:r>
    </w:p>
    <w:p>
      <w:pPr>
        <w:spacing w:before="240" w:after="0" w:line="276" w:lineRule="exact"/>
        <w:ind w:left="1440" w:firstLine="0"/>
        <w:jc w:val="left"/>
      </w:pPr>
      <w:r>
        <w:t xml:space="preserve">s/</w:t>
      </w:r>
      <w:r>
        <w:t xml:space="preserve"> </w:t>
      </w:r>
      <w:r>
        <w:t xml:space="preserve">Meredith</w:t>
      </w:r>
      <w:r>
        <w:t xml:space="preserve"> </w:t>
      </w:r>
      <w:r>
        <w:t xml:space="preserve">D.</w:t>
      </w:r>
      <w:r>
        <w:t xml:space="preserve"> </w:t>
      </w:r>
      <w:r>
        <w:t xml:space="preserve">McPhail</w:t>
      </w:r>
    </w:p>
    <w:p>
      <w:pPr>
        <w:spacing w:before="0" w:after="0" w:line="276" w:lineRule="exact"/>
        <w:ind w:left="1440" w:firstLine="0"/>
        <w:jc w:val="left"/>
      </w:pPr>
      <w:r>
        <w:t xml:space="preserve">Meredith</w:t>
      </w:r>
      <w:r>
        <w:t xml:space="preserve"> </w:t>
      </w:r>
      <w:r>
        <w:t xml:space="preserve">D.</w:t>
      </w:r>
      <w:r>
        <w:t xml:space="preserve"> </w:t>
      </w:r>
      <w:r>
        <w:t xml:space="preserve">McPhail,</w:t>
      </w:r>
    </w:p>
    <w:p>
      <w:pPr>
        <w:spacing w:before="0" w:after="0" w:line="276" w:lineRule="exact"/>
        <w:ind w:left="1440" w:firstLine="0"/>
        <w:jc w:val="left"/>
      </w:pPr>
      <w:r>
        <w:t xml:space="preserve">Attorney</w:t>
      </w:r>
      <w:r>
        <w:t xml:space="preserve"> </w:t>
      </w:r>
      <w:r>
        <w:t xml:space="preserve">for</w:t>
      </w:r>
      <w:r>
        <w:t xml:space="preserve"> </w:t>
      </w:r>
      <w:r>
        <w:t xml:space="preserve">Appellant.</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State does not refute the Court’s obligation to conduct an independent review of the record when the issue is properly preserved.</w:t>
      </w:r>
    </w:p>
  </w:footnote>
  <w:footnote w:id="10">
    <w:p>
      <w:pPr>
        <w:pStyle w:val="FootnoteText"/>
      </w:pPr>
      <w:r>
        <w:rPr>
          <w:rStyle w:val="FootnoteReference"/>
        </w:rPr>
        <w:footnoteRef/>
      </w:r>
      <w:r>
        <w:t xml:space="preserve"> </w:t>
      </w:r>
      <w:r>
        <w:t xml:space="preserve">Similar attempts to mischaracterize protests were rejected in other Civil Rights-era cases involving prosecutions of protestors for breach of the peace. In</w:t>
      </w:r>
      <w:r>
        <w:t xml:space="preserve"> </w:t>
      </w:r>
      <w:r>
        <w:rPr>
          <w:i/>
          <w:iCs/>
        </w:rPr>
        <w:t xml:space="preserve">Barr</w:t>
      </w:r>
      <w:r>
        <w:t xml:space="preserve">, the State claimed that the defendants’ actions—which the Supreme Court later characterized as “polite, quiet, and peaceful,”</w:t>
      </w:r>
      <w:r>
        <w:t xml:space="preserve"> </w:t>
      </w:r>
      <w:r>
        <w:rPr>
          <w:i/>
          <w:iCs/>
        </w:rPr>
        <w:t xml:space="preserve">Barr</w:t>
      </w:r>
      <w:r>
        <w:rPr>
          <w:i/>
          <w:iCs/>
        </w:rPr>
        <w:t xml:space="preserve"> </w:t>
      </w:r>
      <w:r>
        <w:rPr>
          <w:i/>
          <w:iCs/>
        </w:rPr>
        <w:t xml:space="preserve">v. City of Columbia</w:t>
      </w:r>
      <w:r>
        <w:t xml:space="preserve">, 378 U.S. 146, 150 (1964)—created the “obvious result” of “incit[ing] violence, or an act or conduct ‘likely to produce violence[.]’” Brief for Respondent City of Columbia</w:t>
      </w:r>
      <w:r>
        <w:t xml:space="preserve"> </w:t>
      </w:r>
      <w:r>
        <w:t xml:space="preserve">at 33,</w:t>
      </w:r>
      <w:r>
        <w:t xml:space="preserve"> </w:t>
      </w:r>
      <w:r>
        <w:rPr>
          <w:i/>
          <w:iCs/>
        </w:rPr>
        <w:t xml:space="preserve">Barr</w:t>
      </w:r>
      <w:r>
        <w:rPr>
          <w:i/>
          <w:iCs/>
        </w:rPr>
        <w:t xml:space="preserve"> </w:t>
      </w:r>
      <w:r>
        <w:rPr>
          <w:i/>
          <w:iCs/>
        </w:rPr>
        <w:t xml:space="preserve">v. City of Columbia</w:t>
      </w:r>
      <w:r>
        <w:t xml:space="preserve">, 378 U.S. 146 (1964) (No. 10).</w:t>
      </w:r>
    </w:p>
  </w:footnote>
  <w:footnote w:id="11">
    <w:p>
      <w:pPr>
        <w:pStyle w:val="FootnoteText"/>
      </w:pPr>
      <w:r>
        <w:rPr>
          <w:rStyle w:val="FootnoteReference"/>
        </w:rPr>
        <w:footnoteRef/>
      </w:r>
      <w:r>
        <w:t xml:space="preserve"> </w:t>
      </w:r>
      <w:r>
        <w:t xml:space="preserve">Without any support, the State contends that Appellant’s proposed instruction “d[id] not provide the discussion regarding the First Amendment in a manner consistent with an appropriate jury instruction.” RIB at 11. Setting aside the absence of any support in statute or case law, this Court should reject that argument because “issue preservation rules” must be applied “with a practical eye and not in a rigid, hyper-technical manner.”</w:t>
      </w:r>
      <w:r>
        <w:t xml:space="preserve"> </w:t>
      </w:r>
      <w:r>
        <w:rPr>
          <w:i/>
          <w:iCs/>
        </w:rPr>
        <w:t xml:space="preserve">Herron</w:t>
      </w:r>
      <w:r>
        <w:t xml:space="preserve">, 395 S.C. at 470, 719 S.E.2d at 644.</w:t>
      </w:r>
    </w:p>
  </w:footnote>
  <w:footnote w:id="12">
    <w:p>
      <w:pPr>
        <w:pStyle w:val="FootnoteText"/>
      </w:pPr>
      <w:r>
        <w:rPr>
          <w:rStyle w:val="FootnoteReference"/>
        </w:rPr>
        <w:footnoteRef/>
      </w:r>
      <w:r>
        <w:t xml:space="preserve"> </w:t>
      </w:r>
      <w:r>
        <w:t xml:space="preserve">Notably, the State argues only that the instructions were proper and offers no rebuttal to Ms. Martin’s contention that the instructions prejudiced her.</w:t>
      </w:r>
    </w:p>
  </w:footnote>
  <w:footnote w:id="13">
    <w:p>
      <w:pPr>
        <w:pStyle w:val="FootnoteText"/>
      </w:pPr>
      <w:r>
        <w:rPr>
          <w:rStyle w:val="FootnoteReference"/>
        </w:rPr>
        <w:footnoteRef/>
      </w:r>
      <w:r>
        <w:t xml:space="preserve"> </w:t>
      </w:r>
      <w:r>
        <w:t xml:space="preserve">The State misstated Ms. Martin’s criminal record at trial and in response to her motion for sentence reconsideration. The shoplifting charges that appear on Ms. Martin’s Georgia and South Carolina records reflect a single probationary sentence from a Georgia shoplifting offense that was transferred to South Carolina. Even more egregiously, the Wisconsin “conviction” for possession of a firearm is no conviction at all—the charge resulted in an acquittal.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