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Russell</w:t>
      </w:r>
      <w:r>
        <w:t xml:space="preserve"> </w:t>
      </w:r>
      <w:r>
        <w:t xml:space="preserve">D.</w:t>
      </w:r>
      <w:r>
        <w:t xml:space="preserve"> </w:t>
      </w:r>
      <w:r>
        <w:t xml:space="preserve">Garrett,</w:t>
      </w:r>
      <w:r>
        <w:t xml:space="preserve"> </w:t>
      </w:r>
      <w:r>
        <w:t xml:space="preserve">OSB</w:t>
      </w:r>
      <w:r>
        <w:t xml:space="preserve"> </w:t>
      </w:r>
      <w:r>
        <w:t xml:space="preserve">#882111</w:t>
      </w:r>
    </w:p>
    <w:p>
      <w:pPr>
        <w:spacing w:before="0" w:after="0" w:line="276" w:lineRule="exact"/>
        <w:ind w:left="0" w:firstLine="0"/>
        <w:jc w:val="left"/>
      </w:pPr>
      <w:r>
        <w:t xml:space="preserve">russell.garrett@jordanramis.com</w:t>
      </w:r>
    </w:p>
    <w:p>
      <w:pPr>
        <w:spacing w:before="0" w:after="0" w:line="276" w:lineRule="exact"/>
        <w:ind w:left="0" w:firstLine="0"/>
        <w:jc w:val="left"/>
      </w:pPr>
      <w:r>
        <w:t xml:space="preserve">Learon</w:t>
      </w:r>
      <w:r>
        <w:t xml:space="preserve"> </w:t>
      </w:r>
      <w:r>
        <w:t xml:space="preserve">John</w:t>
      </w:r>
      <w:r>
        <w:t xml:space="preserve"> </w:t>
      </w:r>
      <w:r>
        <w:t xml:space="preserve">Bird,</w:t>
      </w:r>
      <w:r>
        <w:t xml:space="preserve"> </w:t>
      </w:r>
      <w:r>
        <w:t xml:space="preserve">OSB</w:t>
      </w:r>
      <w:r>
        <w:t xml:space="preserve"> </w:t>
      </w:r>
      <w:r>
        <w:t xml:space="preserve">#176218</w:t>
      </w:r>
    </w:p>
    <w:p>
      <w:pPr>
        <w:spacing w:before="0" w:after="0" w:line="276" w:lineRule="exact"/>
        <w:ind w:left="0" w:firstLine="0"/>
        <w:jc w:val="left"/>
      </w:pPr>
      <w:r>
        <w:t xml:space="preserve">learon.bird@jordanramis.com</w:t>
      </w:r>
    </w:p>
    <w:p>
      <w:pPr>
        <w:spacing w:before="0" w:after="0" w:line="276" w:lineRule="exact"/>
        <w:ind w:left="0" w:firstLine="0"/>
        <w:jc w:val="left"/>
      </w:pPr>
      <w:r>
        <w:t xml:space="preserve">JORDAN</w:t>
      </w:r>
      <w:r>
        <w:t xml:space="preserve"> </w:t>
      </w:r>
      <w:r>
        <w:t xml:space="preserve">RAMIS</w:t>
      </w:r>
      <w:r>
        <w:t xml:space="preserve"> </w:t>
      </w:r>
      <w:r>
        <w:t xml:space="preserve">PC</w:t>
      </w:r>
    </w:p>
    <w:p>
      <w:pPr>
        <w:spacing w:before="0" w:after="0" w:line="276" w:lineRule="exact"/>
        <w:ind w:left="0" w:firstLine="0"/>
        <w:jc w:val="left"/>
      </w:pPr>
      <w:r>
        <w:t xml:space="preserve">1211</w:t>
      </w:r>
      <w:r>
        <w:t xml:space="preserve"> </w:t>
      </w:r>
      <w:r>
        <w:t xml:space="preserve">SW</w:t>
      </w:r>
      <w:r>
        <w:t xml:space="preserve"> </w:t>
      </w:r>
      <w:r>
        <w:t xml:space="preserve">Fifth</w:t>
      </w:r>
      <w:r>
        <w:t xml:space="preserve"> </w:t>
      </w:r>
      <w:r>
        <w:t xml:space="preserve">Avenue,</w:t>
      </w:r>
      <w:r>
        <w:t xml:space="preserve"> </w:t>
      </w:r>
      <w:r>
        <w:t xml:space="preserve">27th</w:t>
      </w:r>
      <w:r>
        <w:t xml:space="preserve"> </w:t>
      </w:r>
      <w:r>
        <w:t xml:space="preserve">Floor</w:t>
      </w:r>
    </w:p>
    <w:p>
      <w:pPr>
        <w:spacing w:before="0" w:after="0" w:line="276" w:lineRule="exact"/>
        <w:ind w:left="0" w:firstLine="0"/>
        <w:jc w:val="left"/>
      </w:pPr>
      <w:r>
        <w:t xml:space="preserve">Portland,</w:t>
      </w:r>
      <w:r>
        <w:t xml:space="preserve"> </w:t>
      </w:r>
      <w:r>
        <w:t xml:space="preserve">Oregon</w:t>
      </w:r>
      <w:r>
        <w:t xml:space="preserve"> </w:t>
      </w:r>
      <w:r>
        <w:t xml:space="preserve">97204</w:t>
      </w:r>
    </w:p>
    <w:p>
      <w:pPr>
        <w:spacing w:before="0" w:after="0" w:line="276" w:lineRule="exact"/>
        <w:ind w:left="0" w:firstLine="0"/>
        <w:jc w:val="left"/>
      </w:pPr>
      <w:r>
        <w:t xml:space="preserve">Telephone:</w:t>
      </w:r>
      <w:r>
        <w:t xml:space="preserve"> </w:t>
      </w:r>
      <w:r>
        <w:t xml:space="preserve">(503)</w:t>
      </w:r>
      <w:r>
        <w:t xml:space="preserve"> </w:t>
      </w:r>
      <w:r>
        <w:t xml:space="preserve">598</w:t>
        <w:noBreakHyphen/>
        <w:t xml:space="preserve">7070</w:t>
      </w:r>
    </w:p>
    <w:p>
      <w:pPr>
        <w:spacing w:before="0" w:after="0" w:line="276" w:lineRule="exact"/>
        <w:ind w:left="0" w:firstLine="0"/>
        <w:jc w:val="left"/>
      </w:pPr>
      <w:r>
        <w:t xml:space="preserve">Facsimile:</w:t>
      </w:r>
      <w:r>
        <w:t xml:space="preserve"> </w:t>
      </w:r>
      <w:r>
        <w:t xml:space="preserve">(503)</w:t>
      </w:r>
      <w:r>
        <w:t xml:space="preserve"> </w:t>
      </w:r>
      <w:r>
        <w:t xml:space="preserve">598</w:t>
        <w:noBreakHyphen/>
        <w:t xml:space="preserve">7373</w:t>
      </w:r>
    </w:p>
    <w:p>
      <w:pPr>
        <w:spacing w:before="0" w:after="0" w:line="276" w:lineRule="exact"/>
        <w:ind w:left="0" w:firstLine="0"/>
        <w:jc w:val="left"/>
      </w:pPr>
      <w:r>
        <w:t xml:space="preserve">Attorneys</w:t>
      </w:r>
      <w:r>
        <w:t xml:space="preserve"> </w:t>
      </w:r>
      <w:r>
        <w:t xml:space="preserve">for</w:t>
      </w:r>
      <w:r>
        <w:t xml:space="preserve"> </w:t>
      </w:r>
      <w:r>
        <w:t xml:space="preserve">Candace</w:t>
      </w:r>
      <w:r>
        <w:t xml:space="preserve"> </w:t>
      </w:r>
      <w:r>
        <w:t xml:space="preserve">Amborn,</w:t>
      </w:r>
      <w:r>
        <w:t xml:space="preserve"> </w:t>
      </w:r>
      <w:r>
        <w:t xml:space="preserve">Trustee</w:t>
      </w:r>
    </w:p>
    <w:p>
      <w:pPr>
        <w:keepNext/>
        <w:keepLines/>
        <w:spacing w:before="480" w:after="0" w:line="276" w:lineRule="exact"/>
        <w:ind w:left="0" w:firstLine="0"/>
        <w:jc w:val="center"/>
      </w:pPr>
      <w:r>
        <w:rPr>
          <w:b/>
          <w:bCs/>
        </w:rPr>
        <w:t xml:space="preserve">UNITED STATES BANKRUPTCY COURT</w:t>
      </w:r>
    </w:p>
    <w:p>
      <w:pPr>
        <w:keepNext/>
        <w:keepLines/>
        <w:spacing w:before="0" w:after="0" w:line="276" w:lineRule="exact"/>
        <w:ind w:left="0" w:firstLine="0"/>
        <w:jc w:val="center"/>
      </w:pPr>
      <w:r>
        <w:rPr>
          <w:b/>
          <w:bCs/>
        </w:rPr>
        <w:t xml:space="preserve">FOR THE DISTRICT OF OREGON</w:t>
      </w:r>
    </w:p>
    <w:p>
      <w:pPr>
        <w:keepNext/>
        <w:keepLines/>
        <w:spacing w:before="0" w:after="0" w:line="480" w:lineRule="exact"/>
        <w:ind w:left="0" w:firstLine="0"/>
        <w:jc w:val="left"/>
      </w:pPr>
    </w:p>
    <w:tbl>
      <w:tblPr>
        <w:tblW w:w="10080" w:type="dxa"/>
        <w:tblLayout w:type="fixed"/>
        <w:tblCellMar>
          <w:top w:w="0" w:type="dxa"/>
          <w:left w:w="0" w:type="dxa"/>
          <w:bottom w:w="0" w:type="dxa"/>
          <w:right w:w="0" w:type="dxa"/>
        </w:tblCellMar>
        <w:tblLook w:val="0000" w:firstRow="0" w:lastRow="0" w:firstColumn="0" w:lastColumn="0" w:noHBand="0" w:noVBand="0"/>
      </w:tblPr>
      <w:tblGrid>
        <w:gridCol w:w="4896"/>
        <w:gridCol w:w="5184"/>
      </w:tblGrid>
      <w:tr>
        <w:trPr>
          <w:cantSplit/>
        </w:trPr>
        <w:tc>
          <w:tcPr>
            <w:tcW w:w="4896" w:type="dxa"/>
            <w:tcBorders>
              <w:bottom w:val="single" w:sz="6" w:space="0" w:color="000000"/>
              <w:right w:val="single" w:sz="6" w:space="0" w:color="000000"/>
            </w:tcBorders>
            <w:tcMar>
              <w:top w:w="0" w:type="dxa"/>
              <w:left w:w="0" w:type="dxa"/>
              <w:bottom w:w="105" w:type="dxa"/>
              <w:right w:w="120"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GREEN</w:t>
            </w:r>
            <w:r>
              <w:t xml:space="preserve"> </w:t>
            </w:r>
            <w:r>
              <w:t xml:space="preserve">OREGON</w:t>
            </w:r>
            <w:r>
              <w:t xml:space="preserve"> </w:t>
            </w:r>
            <w:r>
              <w:t xml:space="preserve">ENTERPRISES,</w:t>
            </w:r>
            <w:r>
              <w:t xml:space="preserve"> </w:t>
            </w:r>
            <w:r>
              <w:t xml:space="preserve">INC.,</w:t>
            </w:r>
          </w:p>
          <w:p>
            <w:pPr>
              <w:spacing w:before="0" w:after="0" w:line="276" w:lineRule="exact"/>
              <w:ind w:left="0" w:firstLine="0"/>
              <w:jc w:val="left"/>
            </w:pPr>
            <w:r>
              <w:t xml:space="preserve">Debtor.</w:t>
            </w:r>
          </w:p>
        </w:tc>
        <w:tc>
          <w:tcPr>
            <w:tcW w:w="5184" w:type="dxa"/>
            <w:tcMar>
              <w:top w:w="0" w:type="dxa"/>
              <w:left w:w="120" w:type="dxa"/>
              <w:bottom w:w="105" w:type="dxa"/>
              <w:right w:w="0" w:type="dxa"/>
            </w:tcMar>
          </w:tcPr>
          <w:p>
            <w:pPr>
              <w:spacing w:before="0" w:after="0" w:line="276" w:lineRule="exact"/>
              <w:ind w:left="0" w:firstLine="0"/>
              <w:jc w:val="left"/>
            </w:pPr>
            <w:r>
              <w:t xml:space="preserve">Case No. </w:t>
            </w:r>
            <w:r>
              <w:t xml:space="preserve">24</w:t>
              <w:noBreakHyphen/>
              <w:t xml:space="preserve">31948-dwh7</w:t>
            </w:r>
          </w:p>
        </w:tc>
      </w:tr>
      <w:tr>
        <w:trPr>
          <w:cantSplit/>
        </w:trPr>
        <w:tc>
          <w:tcPr>
            <w:tcW w:w="4896" w:type="dxa"/>
            <w:tcBorders>
              <w:right w:val="single" w:sz="6" w:space="0" w:color="000000"/>
            </w:tcBorders>
            <w:tcMar>
              <w:top w:w="120" w:type="dxa"/>
              <w:left w:w="0" w:type="dxa"/>
              <w:bottom w:w="0" w:type="dxa"/>
              <w:right w:w="120" w:type="dxa"/>
            </w:tcMar>
          </w:tcPr>
          <w:p>
            <w:pPr>
              <w:spacing w:before="0" w:after="0" w:line="276" w:lineRule="exact"/>
              <w:ind w:left="0" w:firstLine="0"/>
              <w:jc w:val="left"/>
            </w:pPr>
            <w:r>
              <w:t xml:space="preserve">CANDACE</w:t>
            </w:r>
            <w:r>
              <w:t xml:space="preserve"> </w:t>
            </w:r>
            <w:r>
              <w:t xml:space="preserve">AMBORN,</w:t>
            </w:r>
            <w:r>
              <w:t xml:space="preserve"> </w:t>
            </w:r>
            <w:r>
              <w:t xml:space="preserve">solely</w:t>
            </w:r>
            <w:r>
              <w:t xml:space="preserve"> </w:t>
            </w:r>
            <w:r>
              <w:t xml:space="preserve">in</w:t>
            </w:r>
            <w:r>
              <w:t xml:space="preserve"> </w:t>
            </w:r>
            <w:r>
              <w:t xml:space="preserve">her</w:t>
            </w:r>
            <w:r>
              <w:t xml:space="preserve"> </w:t>
            </w:r>
            <w:r>
              <w:t xml:space="preserve">capacity</w:t>
            </w:r>
            <w:r>
              <w:t xml:space="preserve"> </w:t>
            </w:r>
            <w:r>
              <w:t xml:space="preserve">as</w:t>
            </w:r>
            <w:r>
              <w:t xml:space="preserve"> </w:t>
            </w:r>
            <w:r>
              <w:t xml:space="preserve">Chapter</w:t>
            </w:r>
            <w:r>
              <w:t xml:space="preserve"> </w:t>
            </w:r>
            <w:r>
              <w:t xml:space="preserve">7</w:t>
            </w:r>
            <w:r>
              <w:t xml:space="preserve"> </w:t>
            </w:r>
            <w:r>
              <w:t xml:space="preserve">Trustee</w:t>
            </w:r>
            <w:r>
              <w:t xml:space="preserve"> </w:t>
            </w:r>
            <w:r>
              <w:t xml:space="preserve">of</w:t>
            </w:r>
            <w:r>
              <w:t xml:space="preserve"> </w:t>
            </w:r>
            <w:r>
              <w:t xml:space="preserve">the</w:t>
            </w:r>
            <w:r>
              <w:t xml:space="preserve"> </w:t>
            </w:r>
            <w:r>
              <w:t xml:space="preserve">Bankruptcy</w:t>
            </w:r>
            <w:r>
              <w:t xml:space="preserve"> </w:t>
            </w:r>
            <w:r>
              <w:t xml:space="preserve">Estate</w:t>
            </w:r>
            <w:r>
              <w:t xml:space="preserve"> </w:t>
            </w:r>
            <w:r>
              <w:t xml:space="preserve">of</w:t>
            </w:r>
            <w:r>
              <w:t xml:space="preserve"> </w:t>
            </w:r>
            <w:r>
              <w:t xml:space="preserve">Green</w:t>
            </w:r>
            <w:r>
              <w:t xml:space="preserve"> </w:t>
            </w:r>
            <w:r>
              <w:t xml:space="preserve">Oregon</w:t>
            </w:r>
            <w:r>
              <w:t xml:space="preserve"> </w:t>
            </w:r>
            <w:r>
              <w:t xml:space="preserve">Enterprises,</w:t>
            </w:r>
            <w:r>
              <w:t xml:space="preserve"> </w:t>
            </w:r>
            <w:r>
              <w:t xml:space="preserve">Inc.,</w:t>
            </w:r>
          </w:p>
          <w:p>
            <w:pPr>
              <w:spacing w:before="0" w:after="0" w:line="276" w:lineRule="exact"/>
              <w:ind w:left="0" w:firstLine="0"/>
              <w:jc w:val="left"/>
            </w:pPr>
            <w:r>
              <w:t xml:space="preserve">Plaintiff,</w:t>
            </w:r>
          </w:p>
          <w:p>
            <w:pPr>
              <w:spacing w:before="276" w:after="0" w:line="276" w:lineRule="exact"/>
              <w:ind w:left="0" w:firstLine="0"/>
              <w:jc w:val="left"/>
            </w:pPr>
            <w:r>
              <w:t xml:space="preserve">v.</w:t>
            </w:r>
          </w:p>
          <w:p>
            <w:pPr>
              <w:spacing w:before="276" w:after="0" w:line="276" w:lineRule="exact"/>
              <w:ind w:left="0" w:firstLine="0"/>
              <w:jc w:val="left"/>
            </w:pPr>
            <w:r>
              <w:t xml:space="preserve">DOUGLAS</w:t>
            </w:r>
            <w:r>
              <w:t xml:space="preserve"> </w:t>
            </w:r>
            <w:r>
              <w:t xml:space="preserve">LANPHERE,</w:t>
            </w:r>
            <w:r>
              <w:t xml:space="preserve"> </w:t>
            </w:r>
            <w:r>
              <w:t xml:space="preserve">individually;</w:t>
            </w:r>
            <w:r>
              <w:t xml:space="preserve"> </w:t>
            </w:r>
            <w:r>
              <w:t xml:space="preserve">LONDON</w:t>
            </w:r>
            <w:r>
              <w:t xml:space="preserve"> </w:t>
            </w:r>
            <w:r>
              <w:t xml:space="preserve">STRICKLIN,</w:t>
            </w:r>
            <w:r>
              <w:t xml:space="preserve"> </w:t>
            </w:r>
            <w:r>
              <w:t xml:space="preserve">individually;</w:t>
            </w:r>
            <w:r>
              <w:t xml:space="preserve"> </w:t>
            </w:r>
            <w:r>
              <w:t xml:space="preserve">JEFFREY</w:t>
            </w:r>
            <w:r>
              <w:t xml:space="preserve"> </w:t>
            </w:r>
            <w:r>
              <w:t xml:space="preserve">ARBON,</w:t>
            </w:r>
            <w:r>
              <w:t xml:space="preserve"> </w:t>
            </w:r>
            <w:r>
              <w:t xml:space="preserve">individually;</w:t>
            </w:r>
            <w:r>
              <w:t xml:space="preserve"> </w:t>
            </w:r>
            <w:r>
              <w:t xml:space="preserve">ROBERT</w:t>
            </w:r>
            <w:r>
              <w:t xml:space="preserve"> </w:t>
            </w:r>
            <w:r>
              <w:t xml:space="preserve">“BOB”</w:t>
            </w:r>
            <w:r>
              <w:t xml:space="preserve"> </w:t>
            </w:r>
            <w:r>
              <w:t xml:space="preserve">LANPHERE,</w:t>
            </w:r>
            <w:r>
              <w:t xml:space="preserve"> </w:t>
            </w:r>
            <w:r>
              <w:t xml:space="preserve">JR.,</w:t>
            </w:r>
            <w:r>
              <w:t xml:space="preserve"> </w:t>
            </w:r>
            <w:r>
              <w:t xml:space="preserve">individually;</w:t>
            </w:r>
            <w:r>
              <w:t xml:space="preserve"> </w:t>
            </w:r>
            <w:r>
              <w:t xml:space="preserve">GEORGENE</w:t>
            </w:r>
            <w:r>
              <w:t xml:space="preserve"> </w:t>
            </w:r>
            <w:r>
              <w:t xml:space="preserve">ARBON,</w:t>
            </w:r>
            <w:r>
              <w:t xml:space="preserve"> </w:t>
            </w:r>
            <w:r>
              <w:t xml:space="preserve">individually;</w:t>
            </w:r>
            <w:r>
              <w:t xml:space="preserve"> </w:t>
            </w:r>
            <w:r>
              <w:t xml:space="preserve">PLATINUM</w:t>
            </w:r>
            <w:r>
              <w:t xml:space="preserve"> </w:t>
            </w:r>
            <w:r>
              <w:t xml:space="preserve">PARACHUTE</w:t>
            </w:r>
            <w:r>
              <w:t xml:space="preserve"> </w:t>
            </w:r>
            <w:r>
              <w:t xml:space="preserve">HOLDINGS,</w:t>
            </w:r>
            <w:r>
              <w:t xml:space="preserve"> </w:t>
            </w:r>
            <w:r>
              <w:t xml:space="preserve">LLC;</w:t>
            </w:r>
            <w:r>
              <w:t xml:space="preserve"> </w:t>
            </w:r>
            <w:r>
              <w:t xml:space="preserve">HERBAN</w:t>
            </w:r>
            <w:r>
              <w:t xml:space="preserve"> </w:t>
            </w:r>
            <w:r>
              <w:t xml:space="preserve">RENEWAL,</w:t>
            </w:r>
            <w:r>
              <w:t xml:space="preserve"> </w:t>
            </w:r>
            <w:r>
              <w:t xml:space="preserve">LLC;</w:t>
            </w:r>
            <w:r>
              <w:t xml:space="preserve"> </w:t>
            </w:r>
            <w:r>
              <w:t xml:space="preserve">ARBON</w:t>
            </w:r>
            <w:r>
              <w:t xml:space="preserve"> </w:t>
            </w:r>
            <w:r>
              <w:t xml:space="preserve">ENTERPRISES,</w:t>
            </w:r>
            <w:r>
              <w:t xml:space="preserve"> </w:t>
            </w:r>
            <w:r>
              <w:t xml:space="preserve">INC.</w:t>
            </w:r>
            <w:r>
              <w:t xml:space="preserve"> </w:t>
            </w:r>
            <w:r>
              <w:t xml:space="preserve">(d/​b/​a</w:t>
            </w:r>
            <w:r>
              <w:t xml:space="preserve"> </w:t>
            </w:r>
            <w:r>
              <w:t xml:space="preserve">G</w:t>
            </w:r>
            <w:r>
              <w:t xml:space="preserve"> </w:t>
            </w:r>
            <w:r>
              <w:t xml:space="preserve">M</w:t>
            </w:r>
            <w:r>
              <w:t xml:space="preserve"> </w:t>
            </w:r>
            <w:r>
              <w:t xml:space="preserve">Dispensary</w:t>
            </w:r>
            <w:r>
              <w:t xml:space="preserve"> </w:t>
            </w:r>
            <w:r>
              <w:t xml:space="preserve">or</w:t>
            </w:r>
            <w:r>
              <w:t xml:space="preserve"> </w:t>
            </w:r>
            <w:r>
              <w:t xml:space="preserve">Green</w:t>
            </w:r>
            <w:r>
              <w:t xml:space="preserve"> </w:t>
            </w:r>
            <w:r>
              <w:t xml:space="preserve">Martian</w:t>
            </w:r>
            <w:r>
              <w:t xml:space="preserve"> </w:t>
            </w:r>
            <w:r>
              <w:t xml:space="preserve">Dispensary);</w:t>
            </w:r>
            <w:r>
              <w:t xml:space="preserve"> </w:t>
            </w:r>
            <w:r>
              <w:t xml:space="preserve">PERENNIAL</w:t>
            </w:r>
            <w:r>
              <w:t xml:space="preserve"> </w:t>
            </w:r>
            <w:r>
              <w:t xml:space="preserve">OPERATIONS</w:t>
            </w:r>
            <w:r>
              <w:t xml:space="preserve"> </w:t>
            </w:r>
            <w:r>
              <w:t xml:space="preserve">TECHNOLOGY,</w:t>
            </w:r>
            <w:r>
              <w:t xml:space="preserve"> </w:t>
            </w:r>
            <w:r>
              <w:t xml:space="preserve">LLC;</w:t>
            </w:r>
            <w:r>
              <w:t xml:space="preserve"> </w:t>
            </w:r>
            <w:r>
              <w:t xml:space="preserve">NW</w:t>
            </w:r>
            <w:r>
              <w:t xml:space="preserve"> </w:t>
            </w:r>
            <w:r>
              <w:t xml:space="preserve">HIGH</w:t>
            </w:r>
            <w:r>
              <w:t xml:space="preserve"> </w:t>
            </w:r>
            <w:r>
              <w:t xml:space="preserve">OCTANE,</w:t>
            </w:r>
            <w:r>
              <w:t xml:space="preserve"> </w:t>
            </w:r>
            <w:r>
              <w:t xml:space="preserve">LLC;</w:t>
            </w:r>
            <w:r>
              <w:t xml:space="preserve"> </w:t>
            </w:r>
            <w:r>
              <w:t xml:space="preserve">LEGACY</w:t>
            </w:r>
            <w:r>
              <w:t xml:space="preserve"> </w:t>
            </w:r>
            <w:r>
              <w:t xml:space="preserve">CANNABIS</w:t>
            </w:r>
            <w:r>
              <w:t xml:space="preserve"> </w:t>
            </w:r>
            <w:r>
              <w:t xml:space="preserve">DISTRIBUTION,</w:t>
            </w:r>
            <w:r>
              <w:t xml:space="preserve"> </w:t>
            </w:r>
            <w:r>
              <w:t xml:space="preserve">LLC;</w:t>
            </w:r>
            <w:r>
              <w:t xml:space="preserve"> </w:t>
            </w:r>
            <w:r>
              <w:t xml:space="preserve">ABIDE</w:t>
            </w:r>
            <w:r>
              <w:t xml:space="preserve"> </w:t>
            </w:r>
            <w:r>
              <w:t xml:space="preserve">OPERATIONS,</w:t>
            </w:r>
            <w:r>
              <w:t xml:space="preserve"> </w:t>
            </w:r>
            <w:r>
              <w:t xml:space="preserve">LLC;</w:t>
            </w:r>
            <w:r>
              <w:t xml:space="preserve"> </w:t>
            </w:r>
            <w:r>
              <w:t xml:space="preserve">GOLDEN</w:t>
            </w:r>
            <w:r>
              <w:t xml:space="preserve"> </w:t>
            </w:r>
            <w:r>
              <w:t xml:space="preserve">PARACHUTE</w:t>
            </w:r>
            <w:r>
              <w:t xml:space="preserve"> </w:t>
            </w:r>
            <w:r>
              <w:t xml:space="preserve">HOLDINGS,</w:t>
            </w:r>
            <w:r>
              <w:t xml:space="preserve"> </w:t>
            </w:r>
            <w:r>
              <w:t xml:space="preserve">LLC;</w:t>
            </w:r>
            <w:r>
              <w:t xml:space="preserve"> </w:t>
            </w:r>
            <w:r>
              <w:t xml:space="preserve">ALLIED</w:t>
            </w:r>
            <w:r>
              <w:t xml:space="preserve"> </w:t>
            </w:r>
            <w:r>
              <w:t xml:space="preserve">PERSONNEL</w:t>
            </w:r>
            <w:r>
              <w:t xml:space="preserve"> </w:t>
            </w:r>
            <w:r>
              <w:t xml:space="preserve">SERVICES,</w:t>
            </w:r>
            <w:r>
              <w:t xml:space="preserve"> </w:t>
            </w:r>
            <w:r>
              <w:t xml:space="preserve">LLC;</w:t>
            </w:r>
            <w:r>
              <w:t xml:space="preserve"> </w:t>
            </w:r>
            <w:r>
              <w:t xml:space="preserve">and</w:t>
            </w:r>
            <w:r>
              <w:t xml:space="preserve"> </w:t>
            </w:r>
            <w:r>
              <w:t xml:space="preserve">LCD</w:t>
            </w:r>
            <w:r>
              <w:t xml:space="preserve"> </w:t>
            </w:r>
            <w:r>
              <w:t xml:space="preserve">HOLDING,</w:t>
            </w:r>
            <w:r>
              <w:t xml:space="preserve"> </w:t>
            </w:r>
            <w:r>
              <w:t xml:space="preserve">LLC</w:t>
            </w:r>
            <w:r>
              <w:t xml:space="preserve"> </w:t>
            </w:r>
            <w:r>
              <w:t xml:space="preserve">fka</w:t>
            </w:r>
            <w:r>
              <w:t xml:space="preserve"> </w:t>
            </w:r>
            <w:r>
              <w:t xml:space="preserve">Lanphere</w:t>
            </w:r>
            <w:r>
              <w:t xml:space="preserve"> </w:t>
            </w:r>
            <w:r>
              <w:t xml:space="preserve">Construction</w:t>
            </w:r>
            <w:r>
              <w:t xml:space="preserve"> </w:t>
            </w:r>
            <w:r>
              <w:t xml:space="preserve">and</w:t>
            </w:r>
            <w:r>
              <w:t xml:space="preserve"> </w:t>
            </w:r>
            <w:r>
              <w:t xml:space="preserve">Development,</w:t>
            </w:r>
            <w:r>
              <w:t xml:space="preserve"> </w:t>
            </w:r>
            <w:r>
              <w:t xml:space="preserve">LLC,</w:t>
            </w:r>
          </w:p>
          <w:p>
            <w:pPr>
              <w:spacing w:before="0" w:after="0" w:line="276" w:lineRule="exact"/>
              <w:ind w:left="0" w:firstLine="0"/>
              <w:jc w:val="left"/>
            </w:pPr>
            <w:r>
              <w:t xml:space="preserve">Defendants.</w:t>
            </w:r>
          </w:p>
        </w:tc>
        <w:tc>
          <w:tcPr>
            <w:tcW w:w="5184" w:type="dxa"/>
            <w:tcMar>
              <w:top w:w="120" w:type="dxa"/>
              <w:left w:w="120" w:type="dxa"/>
              <w:bottom w:w="0" w:type="dxa"/>
              <w:right w:w="0" w:type="dxa"/>
            </w:tcMar>
          </w:tcPr>
          <w:p>
            <w:pPr>
              <w:spacing w:before="0" w:after="0" w:line="276" w:lineRule="exact"/>
              <w:ind w:left="0" w:firstLine="0"/>
              <w:jc w:val="left"/>
            </w:pPr>
            <w:r>
              <w:t xml:space="preserve">Adv. Proc. No. </w:t>
            </w:r>
            <w:r>
              <w:t xml:space="preserve">26</w:t>
              <w:noBreakHyphen/>
              <w:t xml:space="preserve">03055-dwh</w:t>
            </w:r>
          </w:p>
          <w:p>
            <w:pPr>
              <w:spacing w:before="276" w:after="0" w:line="276" w:lineRule="exact"/>
              <w:ind w:left="0" w:firstLine="0"/>
              <w:jc w:val="left"/>
            </w:pPr>
            <w:r>
              <w:rPr>
                <w:b/>
                <w:bCs/>
              </w:rPr>
              <w:t xml:space="preserve">COMPLAINT</w:t>
            </w:r>
            <w:r>
              <w:rPr>
                <w:b/>
                <w:bCs/>
              </w:rPr>
              <w:t xml:space="preserve"> </w:t>
            </w:r>
            <w:r>
              <w:rPr>
                <w:b/>
                <w:bCs/>
              </w:rPr>
              <w:t xml:space="preserve">FOR</w:t>
            </w:r>
            <w:r>
              <w:rPr>
                <w:b/>
                <w:bCs/>
              </w:rPr>
              <w:t xml:space="preserve"> </w:t>
            </w:r>
            <w:r>
              <w:rPr>
                <w:b/>
                <w:bCs/>
              </w:rPr>
              <w:t xml:space="preserve">AVOIDANCE</w:t>
            </w:r>
            <w:r>
              <w:rPr>
                <w:b/>
                <w:bCs/>
              </w:rPr>
              <w:t xml:space="preserve"> </w:t>
            </w:r>
            <w:r>
              <w:rPr>
                <w:b/>
                <w:bCs/>
              </w:rPr>
              <w:t xml:space="preserve">AND</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FRAUDULENT</w:t>
            </w:r>
            <w:r>
              <w:rPr>
                <w:b/>
                <w:bCs/>
              </w:rPr>
              <w:t xml:space="preserve"> </w:t>
            </w:r>
            <w:r>
              <w:rPr>
                <w:b/>
                <w:bCs/>
              </w:rPr>
              <w:t xml:space="preserve">TRANSFERS</w:t>
            </w:r>
            <w:r>
              <w:rPr>
                <w:b/>
                <w:bCs/>
              </w:rPr>
              <w:t xml:space="preserve"> </w:t>
            </w:r>
            <w:r>
              <w:rPr>
                <w:b/>
                <w:bCs/>
              </w:rPr>
              <w:t xml:space="preserve">UNDER</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544,</w:t>
            </w:r>
            <w:r>
              <w:rPr>
                <w:b/>
                <w:bCs/>
              </w:rPr>
              <w:t xml:space="preserve"> </w:t>
            </w:r>
            <w:r>
              <w:rPr>
                <w:b/>
                <w:bCs/>
              </w:rPr>
              <w:t xml:space="preserve">548,</w:t>
            </w:r>
            <w:r>
              <w:rPr>
                <w:b/>
                <w:bCs/>
              </w:rPr>
              <w:t xml:space="preserve"> </w:t>
            </w:r>
            <w:r>
              <w:rPr>
                <w:b/>
                <w:bCs/>
              </w:rPr>
              <w:t xml:space="preserve">550,</w:t>
            </w:r>
            <w:r>
              <w:rPr>
                <w:b/>
                <w:bCs/>
              </w:rPr>
              <w:t xml:space="preserve"> </w:t>
            </w:r>
            <w:r>
              <w:rPr>
                <w:b/>
                <w:bCs/>
              </w:rPr>
              <w:t xml:space="preserve">and</w:t>
            </w:r>
            <w:r>
              <w:rPr>
                <w:b/>
                <w:bCs/>
              </w:rPr>
              <w:t xml:space="preserve"> </w:t>
            </w:r>
            <w:r>
              <w:rPr>
                <w:b/>
                <w:bCs/>
              </w:rPr>
              <w:t xml:space="preserve">ORS</w:t>
            </w:r>
            <w:r>
              <w:rPr>
                <w:b/>
                <w:bCs/>
              </w:rPr>
              <w:t xml:space="preserve"> </w:t>
            </w:r>
            <w:r>
              <w:rPr>
                <w:b/>
                <w:bCs/>
              </w:rPr>
              <w:t xml:space="preserve">95.230</w:t>
            </w:r>
          </w:p>
          <w:p>
            <w:pPr>
              <w:spacing w:before="276" w:after="0" w:line="276" w:lineRule="exact"/>
              <w:ind w:left="0" w:firstLine="0"/>
              <w:jc w:val="left"/>
            </w:pPr>
            <w:r>
              <w:t xml:space="preserve">(Avoidance</w:t>
            </w:r>
            <w:r>
              <w:t xml:space="preserve"> </w:t>
            </w:r>
            <w:r>
              <w:t xml:space="preserve">and</w:t>
            </w:r>
            <w:r>
              <w:t xml:space="preserve"> </w:t>
            </w:r>
            <w:r>
              <w:t xml:space="preserve">Recovery</w:t>
            </w:r>
            <w:r>
              <w:t xml:space="preserve"> </w:t>
            </w:r>
            <w:r>
              <w:t xml:space="preserve">of</w:t>
            </w:r>
            <w:r>
              <w:t xml:space="preserve"> </w:t>
            </w:r>
            <w:r>
              <w:t xml:space="preserve">Fraudulent,</w:t>
            </w:r>
            <w:r>
              <w:t xml:space="preserve"> </w:t>
            </w:r>
            <w:r>
              <w:t xml:space="preserve">Preferential,</w:t>
            </w:r>
            <w:r>
              <w:t xml:space="preserve"> </w:t>
            </w:r>
            <w:r>
              <w:t xml:space="preserve">and</w:t>
            </w:r>
            <w:r>
              <w:t xml:space="preserve"> </w:t>
            </w:r>
            <w:r>
              <w:t xml:space="preserve">Unauthorized</w:t>
            </w:r>
            <w:r>
              <w:t xml:space="preserve"> </w:t>
            </w:r>
            <w:r>
              <w:t xml:space="preserve">Post-Petition</w:t>
            </w:r>
            <w:r>
              <w:t xml:space="preserve"> </w:t>
            </w:r>
            <w:r>
              <w:t xml:space="preserve">Transfers;</w:t>
            </w:r>
            <w:r>
              <w:t xml:space="preserve"> </w:t>
            </w:r>
            <w:r>
              <w:t xml:space="preserve">Recovery</w:t>
            </w:r>
            <w:r>
              <w:t xml:space="preserve"> </w:t>
            </w:r>
            <w:r>
              <w:t xml:space="preserve">of</w:t>
            </w:r>
            <w:r>
              <w:t xml:space="preserve"> </w:t>
            </w:r>
            <w:r>
              <w:t xml:space="preserve">Property</w:t>
            </w:r>
            <w:r>
              <w:t xml:space="preserve"> </w:t>
            </w:r>
            <w:r>
              <w:t xml:space="preserve">In</w:t>
            </w:r>
            <w:r>
              <w:t xml:space="preserve"> </w:t>
            </w:r>
            <w:r>
              <w:t xml:space="preserve">Specie;</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Turnover;</w:t>
            </w:r>
            <w:r>
              <w:t xml:space="preserve"> </w:t>
            </w:r>
            <w:r>
              <w:t xml:space="preserve">Constructive</w:t>
            </w:r>
            <w:r>
              <w:t xml:space="preserve"> </w:t>
            </w:r>
            <w:r>
              <w:t xml:space="preserve">Trust;</w:t>
            </w:r>
            <w:r>
              <w:t xml:space="preserve"> </w:t>
            </w:r>
            <w:r>
              <w:t xml:space="preserve">Accounting)</w:t>
            </w:r>
          </w:p>
        </w:tc>
      </w:tr>
    </w:tbl>
    <w:p>
      <w:pPr>
        <w:pStyle w:val="BodyText"/>
      </w:pPr>
      <w:r>
        <w:br w:type="page"/>
      </w:r>
      <w:r>
        <w:t xml:space="preserve">COMES NOW Plaintiff, CANDACE AMBORN (“Plaintiff” or “Trustee”), solely in her capacity as Chapter 7 Trustee of the bankruptcy estate of Green Oregon Enterprises, Inc. (the “Estate”) in In re Green Oregon Enterprises, Inc. (Case No. 24</w:t>
      </w:r>
      <w:r>
        <w:noBreakHyphen/>
      </w:r>
      <w:r>
        <w:t xml:space="preserve">31948-dwh7) (the “GOE Bankruptcy Case”), and through her undersigned attorneys, alleges as follows:</w:t>
      </w:r>
    </w:p>
    <w:p>
      <w:pPr>
        <w:keepNext/>
        <w:keepLines/>
        <w:spacing w:before="0" w:after="0" w:line="480"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ACTION</w:t>
      </w:r>
    </w:p>
    <w:p>
      <w:pPr>
        <w:pStyle w:val="BodyNumbered"/>
      </w:pPr>
      <w:r>
        <w:t xml:space="preserve">1.</w:t>
      </w:r>
      <w:r>
        <w:tab/>
      </w:r>
      <w:r>
        <w:t xml:space="preserve">This adversary proceeding is brought by the Trustee to avoid the fraudulent transfers by which value was stripped from Green Oregon Enterprises, Inc. (the “Debtor” or “GOE”) and conveyed to insider affiliates and successor entities, and to recover the transferred property itself — most importantly, the Debtor’s master leasehold interest in its retail premises — or, where the Court so orders, its value. The Defendants engaged in a coordinated scheme to transfer substantially all of GOE’s valuable assets, contracts, and business operations to newly formed entities controlled by the same individuals, leaving GOE an empty shell unable to pay its creditors.</w:t>
      </w:r>
    </w:p>
    <w:p>
      <w:pPr>
        <w:pStyle w:val="BodyNumbered"/>
      </w:pPr>
      <w:r>
        <w:t xml:space="preserve">2.</w:t>
      </w:r>
      <w:r>
        <w:tab/>
      </w:r>
      <w:r>
        <w:t xml:space="preserve">Before the Debtor’s bankruptcy filing on July 12, 2024 (the “Petition Date”), the Debtor served as the management company for Green Mart, LLC (“Green Mart”), a retail cannabis dispensary generating $200,000 to $400,000 per month in gross revenue. GOE was the original lessee of the retail premises at 12745 SW Walker Road, Beaverton, Oregon, where Green Mart operated (and Defendant Arbon Enterprises currently operates) the retail store, and received management fees of approximately $60,000 per month. GOE, Green Mart, Herban Renewal, LLC (“Herban”), and Platinum Parachute Holdings, LLC (“PPH”) operated under the common control of Douglas Lanphere (“Lanphere”) and are referred to collectively herein as the “Original Entities.” Lanphere, acting in concert with Robert Lanphere, Jr. (“Bob Lanphere”), London Stricklin (“Stricklin”), Jeffrey Arbon (“Mr. Arbon”), and Georgene Arbon (“Mrs. Arbon”) (collectively, Lanphere, Bob Lanphere, Stricklin, Mr. Arbon, and Mrs. Arbon, the “Individual Defendants”), orchestrated the transfer of GOE’s assets and revenue streams to Arbon Enterprises, Inc., NW High Octane, LLC, Legacy Cannabis Distribution, LLC, and Abide Operations, LLC (collectively, the “Successor Entities” or “Transferee Defendants”).</w:t>
      </w:r>
    </w:p>
    <w:p>
      <w:pPr>
        <w:pStyle w:val="BodyNumbered"/>
      </w:pPr>
      <w:r>
        <w:t xml:space="preserve">3.</w:t>
      </w:r>
      <w:r>
        <w:tab/>
      </w:r>
      <w:r>
        <w:t xml:space="preserve">The scheme involved the transfer of GOE’s leasehold interest in the Walker Road premises (transferred to Abide Operations, LLC for grossly inadequate and circular consideration), the management fee revenue stream (approximately $60,000 per month), and substantially all other assets (collectively, the “Fraudulently Transferred Assets”). GOE’s leasehold interest in the Walker Road premises, together with all rights of extension, renewal, replacement, and holdover appurtenant thereto and all tenancies derived therefrom, is referred to herein as the “Leasehold Interest.” Stricklin controls Arbon Enterprises, which operates as a “mere continuation” of the Debtor’s former operations at the same location, using the same employees, equipment, and customer base.</w:t>
      </w:r>
    </w:p>
    <w:p>
      <w:pPr>
        <w:pStyle w:val="BodyNumbered"/>
      </w:pPr>
      <w:r>
        <w:t xml:space="preserve">4.</w:t>
      </w:r>
      <w:r>
        <w:tab/>
      </w:r>
      <w:r>
        <w:t xml:space="preserve">In addition to the Successor Entities, the Defendants utilized Perennial Operations Technology, LLC (“POT”), Golden Parachute Holdings, LLC (“GPH”), and Allied Personnel Services, LLC (“Allied”) (collectively, the “Back-Office Entities”) as the operational nervous system of the enterprise. These entities served as conduits for financial transactions, payroll and the like.</w:t>
      </w:r>
    </w:p>
    <w:p>
      <w:pPr>
        <w:pStyle w:val="BodyNumbered"/>
      </w:pPr>
      <w:r>
        <w:t xml:space="preserve">5.</w:t>
      </w:r>
      <w:r>
        <w:tab/>
      </w:r>
      <w:r>
        <w:t xml:space="preserve">Through this action, Plaintiff seeks to: (a) avoid the transfers under 11 U.S.C. §§ 544 and 548, or, in the alternative, as unauthorized post-petition transfers under 11 U.S.C. § 549; (b) recover, pursuant to 11 U.S.C. § 550(a), the transferred property itself — including the Leasehold Interest in specie — or, where the Court so orders, the value of the Fraudulently Transferred Assets; (c) avoid the insider lien that Lanphere caused to be perfected … (d) obtain a declaratory judgment that Abide is a mere continuation of, and successor to, the Debtor with respect to the Leasehold Interest, and is the alter ego of the Debtor as to the Leasehold Interest and its transfer; (e) obtain injunctive relief preserving the Leasehold Interest pending resolution of this action; and (f) obtain a money judgment against the Individual Defendants, including for conspiracy to defraud, aiding and abetting fraudulent transfers, and piercing the corporate veil.</w:t>
      </w:r>
    </w:p>
    <w:p>
      <w:pPr>
        <w:keepNext/>
        <w:keepLines/>
        <w:spacing w:before="0" w:after="0"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Numbered"/>
      </w:pPr>
      <w:r>
        <w:t xml:space="preserve">6.</w:t>
      </w:r>
      <w:r>
        <w:tab/>
      </w:r>
      <w:r>
        <w:t xml:space="preserve">This Court has jurisdiction under 28 U.S.C. §§ 157 and 1334 as this matter is a “core proceeding” under 28 U.S.C. § 157(b)⁠(2)⁠(A), (E), (F), (H) and (O), as it involves the administration of the Estate, orders to turn over property of the Estate, proceedings to determine, avoid, or recover preferences, and proceedings to determine, avoid, and recover fraudulent conveyances.</w:t>
      </w:r>
    </w:p>
    <w:p>
      <w:pPr>
        <w:pStyle w:val="BodyNumbered"/>
      </w:pPr>
      <w:r>
        <w:t xml:space="preserve">7.</w:t>
      </w:r>
      <w:r>
        <w:tab/>
      </w:r>
      <w:r>
        <w:t xml:space="preserve">Venue is proper under 28 U.S.C. §§ 1408 and 1409, as a matter arising in or under or related to the GOE Bankruptcy Case pending before this Court.</w:t>
      </w:r>
    </w:p>
    <w:p>
      <w:pPr>
        <w:pStyle w:val="BodyNumbered"/>
      </w:pPr>
      <w:r>
        <w:t xml:space="preserve">8.</w:t>
      </w:r>
      <w:r>
        <w:tab/>
      </w:r>
      <w:r>
        <w:t xml:space="preserve">This adversary proceeding is filed pursuant to Federal Rules of Bankruptcy Procedure 7001(a) (proceedings to recover money or property), 7001(b) (proceedings to determine the validity, priority, or extent of an interest in property), 7001(g) (proceedings to obtain an injunction or other equitable relief), and 7001(i) (proceedings to obtain a declaratory judgment relating to any of the foregoing).</w:t>
      </w:r>
    </w:p>
    <w:p>
      <w:pPr>
        <w:pStyle w:val="BodyNumbered"/>
      </w:pPr>
      <w:r>
        <w:t xml:space="preserve">9.</w:t>
      </w:r>
      <w:r>
        <w:tab/>
      </w:r>
      <w:r>
        <w:t xml:space="preserve">This adversary proceeding is timely commenced. The order for relief in the GOE Bankruptcy Case was entered upon the filing of the Debtor’s voluntary petition on July 12, 2024, and this action is commenced within two years after entry of the order for relief, within the periods prescribed by 11 U.S.C. §§ 546(a) and 108(a), and within the applicable period of 11 U.S.C. § 549(d) as to the post-petition transfers alleged herein. The avoidance and recovery claims asserted herein arise under 11 U.S.C. §§ 544, 547, 548, 549, 550, and 551 and belong exclusively to the Trustee for the benefit of the Estate; they did not exist in, were not asserted in, and could not have been asserted in any prepetition or state-court action, including Washington County Circuit Court Case No. 24CV42167.</w:t>
      </w:r>
    </w:p>
    <w:p>
      <w:pPr>
        <w:pStyle w:val="BodyNumbered"/>
      </w:pPr>
      <w:r>
        <w:t xml:space="preserve">10.</w:t>
      </w:r>
      <w:r>
        <w:tab/>
      </w:r>
      <w:r>
        <w:t xml:space="preserve">Pursuant to Federal Rule of Bankruptcy Procedure 7008, Plaintiff states that this adversary proceeding is a core proceeding and that Plaintiff consents to the entry of final orders and judgment by the bankruptcy court. To the extent any claim asserted herein is determined to be non-core, or a claim on which the bankruptcy court may not constitutionally enter final judgment absent consent, Plaintiff consents to the entry of final orders and judgment by the bankruptcy court on such claim.</w:t>
      </w:r>
    </w:p>
    <w:p>
      <w:pPr>
        <w:keepNext/>
        <w:keepLines/>
        <w:spacing w:before="0" w:after="0" w:line="480" w:lineRule="exact"/>
        <w:ind w:left="0" w:firstLine="0"/>
        <w:jc w:val="center"/>
      </w:pPr>
      <w:r>
        <w:rPr>
          <w:b/>
          <w:bCs/>
        </w:rPr>
        <w:t xml:space="preserve">THE</w:t>
      </w:r>
      <w:r>
        <w:rPr>
          <w:b/>
          <w:bCs/>
        </w:rPr>
        <w:t xml:space="preserve"> </w:t>
      </w:r>
      <w:r>
        <w:rPr>
          <w:b/>
          <w:bCs/>
        </w:rPr>
        <w:t xml:space="preserve">PARTIES</w:t>
      </w:r>
    </w:p>
    <w:p>
      <w:pPr>
        <w:pStyle w:val="BodyNumbered"/>
      </w:pPr>
      <w:r>
        <w:t xml:space="preserve">11.</w:t>
      </w:r>
      <w:r>
        <w:tab/>
      </w:r>
      <w:r>
        <w:t xml:space="preserve">Plaintiff Candace Amborn is the duly appointed Chapter 7 Trustee in In re Green Oregon Enterprises, Inc., Case No. 24</w:t>
      </w:r>
      <w:r>
        <w:noBreakHyphen/>
      </w:r>
      <w:r>
        <w:t xml:space="preserve">31948-dwh7, filed on July 12, 2024, in the United States Bankruptcy Court for the District of Oregon. The Trustee brings this action on behalf of the Estate.</w:t>
      </w:r>
    </w:p>
    <w:p>
      <w:pPr>
        <w:pStyle w:val="BodyNumbered"/>
      </w:pPr>
      <w:r>
        <w:t xml:space="preserve">12.</w:t>
      </w:r>
      <w:r>
        <w:tab/>
      </w:r>
      <w:r>
        <w:t xml:space="preserve">The Debtor, GOE, was an Oregon corporation registered with the Oregon Secretary of State on September 4, 2014. Lanphere was at all times GOE’s majority and controlling shareholder and its President and, following the divestiture of Terry Wilson’s 25% interest effective December 31, 2020, as fixed by the Awards described below, GOE’s sole shareholder. GOE filed Articles of Dissolution on February 14, 2024. Although GOE’s filing with the Oregon Secretary of State alleged that it was in the business of retail activity, GOE’s primary purpose as part of the Enterprise was to serve as the management company for Green Mart in exchange for management fees of $60,000.00 per month. In contrast, GOE’s revenue from sales of hydroponics and garden supplies was significantly less. GOE was also the original lessee and holder of the master lease of the 12745 SW Walker Road location where Green Mart operated (and Defendant Arbon Enterprises currently operates) the retail store. Prior to its dissolution, GOE’s primary place of business was located at 12745 SW Walker Road, Suite 100, Beaverton, Oregon 97005.</w:t>
      </w:r>
    </w:p>
    <w:p>
      <w:pPr>
        <w:pStyle w:val="BodyNumbered"/>
      </w:pPr>
      <w:r>
        <w:t xml:space="preserve">13.</w:t>
      </w:r>
      <w:r>
        <w:tab/>
      </w:r>
      <w:r>
        <w:t xml:space="preserve">Defendant Douglas Lanphere is, and at all times since Wilson’s divestiture has been, the sole member of the Original Entities (other than GOE) and the Back-Office Entities. Lanphere has at all times been GOE’s majority and controlling shareholder and, since Wilson’s divestiture, its sole shareholder. Lanphere was at one time a member of Arbon Enterprises. During at least a portion of the relevant time period, Lanphere resided at and/​or owned the property located at 940 Winfield Street NE, Gervais, Oregon 97026. At all relevant times Lanphere was an insider of the Debtor within the meaning of 11 U.S.C. § 101(31) and ORS 95.200(7), as the Debtor’s majority and ultimately sole shareholder, President, director, and person in control.</w:t>
      </w:r>
    </w:p>
    <w:p>
      <w:pPr>
        <w:pStyle w:val="BodyNumbered"/>
      </w:pPr>
      <w:r>
        <w:t xml:space="preserve">14.</w:t>
      </w:r>
      <w:r>
        <w:tab/>
      </w:r>
      <w:r>
        <w:t xml:space="preserve">Defendant London Stricklin is a member of Arbon Enterprises. Stricklin is the owner of the assumed business name “G M Dispensary,” which was the trade name for Arbon Enterprises, as listed with the OLCC, and later amended to “Green Martian Dispensary” on September 19, 2025, by Stricklin. Stricklin is also associated with Abide Operations LLC. Stricklin formerly held himself out as the Director of Operations for Green Mart and Herban. On information and belief, Stricklin has been an employee of Golden Parachute Holdings, LLC.</w:t>
      </w:r>
    </w:p>
    <w:p>
      <w:pPr>
        <w:pStyle w:val="BodyNumbered"/>
      </w:pPr>
      <w:r>
        <w:t xml:space="preserve">15.</w:t>
      </w:r>
      <w:r>
        <w:tab/>
      </w:r>
      <w:r>
        <w:t xml:space="preserve">Defendant Mr. Arbon is a member of Legacy and a former member of Green Mart, Herban, and GPH. Mr. Arbon was also the managing member of Abide during the relevant time period when the fraudulent transfers were orchestrated.</w:t>
      </w:r>
    </w:p>
    <w:p>
      <w:pPr>
        <w:pStyle w:val="BodyNumbered"/>
      </w:pPr>
      <w:r>
        <w:t xml:space="preserve">16.</w:t>
      </w:r>
      <w:r>
        <w:tab/>
      </w:r>
      <w:r>
        <w:t xml:space="preserve">Defendant Mrs. Arbon is the mother of Mr. Arbon. Mrs. Arbon is currently the sole member of NW High Octane, LLC and a former member of Green Mart and PPH. Mrs. Arbon has entered into various agreements and passed consent resolutions on behalf of NW High Octane, LLC.</w:t>
      </w:r>
    </w:p>
    <w:p>
      <w:pPr>
        <w:pStyle w:val="BodyNumbered"/>
      </w:pPr>
      <w:r>
        <w:t xml:space="preserve">17.</w:t>
      </w:r>
      <w:r>
        <w:tab/>
      </w:r>
      <w:r>
        <w:t xml:space="preserve">Defendant Platinum Parachute Holdings, LLC (“PPH”) was a limited liability company organized under the laws of the State of Oregon, which registered on April 27, 2016. In 2018, PPH began operating as Green Mart’s credit card processor as part of the enterprise. In the past, PPH’s principal place of business has been 2955 NE Cornell Hillsboro, Oregon 97124, 940 Winfield Street NE, Gervais, Oregon 97026, 12745 SW Walker Road #100A, Beaverton, Oregon 97005, and 13575 SW Farmington Road, Beaverton, Oregon 97005. PPH filed Articles of Dissolution on February 14, 2024, and filed a Petition for Chapter 7 Bankruptcy with the United States Bankruptcy Court, District of Oregon, Case No. 24</w:t>
      </w:r>
      <w:r>
        <w:noBreakHyphen/>
      </w:r>
      <w:r>
        <w:t xml:space="preserve">30574-thp7 on March 2, 2024. PPH’s bankruptcy case was closed on June 3, 2024. Although PPH filed Articles of Dissolution in February 2024, Lanphere continued to list PPH as his business in his email correspondence with Mark Seclahr of WeMove4U, in June 2024.</w:t>
      </w:r>
    </w:p>
    <w:p>
      <w:pPr>
        <w:pStyle w:val="BodyNumbered"/>
      </w:pPr>
      <w:r>
        <w:t xml:space="preserve">18.</w:t>
      </w:r>
      <w:r>
        <w:tab/>
      </w:r>
      <w:r>
        <w:t xml:space="preserve">Defendant Herban Renewal LLC (“Herban”) is a limited liability company organized under the laws of the State of Oregon and was registered with the Oregon Secretary of State on August 10, 2017. Herban filed Articles of Dissolution on February 14, 2024. Herban’s business activity was and/​or is agricultural production with sales to distributors and retail vendors. It was formed to obtain OLCC licenses and build out a production facility as part of the Original Enterprise. Herban’s principal place of business has, at various times, been 940 Winfield Street NE, Gervais, Oregon 97026, 13625 SW Farmington Rd, Beaverton OR 97005, 2955 NE Cornell Hillsboro Oregon 97124 and 26444 NE Butteville Road, Aurora, Oregon 97002 (the “Farm Property”). The Farm Property is owned by LCD Holding, LLC, fka Lanphere Construction and Development, LLC (“LCD”), which is an entity owned by Robert Lanphere, Jr. (“Bob Lanphere”), who is Lanphere’s cousin. Upon information and belief, in permitting Herban and other entities to use the Farm Property and LCD’s business address as principal places of business, Bob Lanphere facilitated the fraudulent transfer of operations from the Original Enterprise to the Successor Entities.</w:t>
      </w:r>
    </w:p>
    <w:p>
      <w:pPr>
        <w:pStyle w:val="BodyNumbered"/>
      </w:pPr>
      <w:r>
        <w:t xml:space="preserve">19.</w:t>
      </w:r>
      <w:r>
        <w:tab/>
      </w:r>
      <w:r>
        <w:t xml:space="preserve">Defendant Arbon Enterprises, Inc. (“Arbon Enterprises”) was registered as a limited liability company on April 28, 2023. Arbon Enterprises filed articles of conversion with the Oregon Secretary of State on September 17, 2024, and is now a corporation. Arbon Enterprises operates a retail store, under the name of G M Dispensary or Green Martian Dispensary, at 12745 SW Walker Road #100, Beaverton, Oregon 97005, the same address formerly used by Green Mart. Arbon Enterprises has also had its principal place of business at 13625 SW Farmington Rd, Beaverton, Oregon 97005, and 5441 S Macadam Avenue Suite R Portland Oregon 97239. Arbon Enterprises is not only operating an identical retail store at Green Mart’s address, but also, on information and belief, uses or has used Green Mart’s name, phone number, website (greenmartpdx.com or gmdispo.com), and Green Mart’s goodwill/​credibility. Stricklin is the president and secretary of Arbon Enterprises.</w:t>
      </w:r>
    </w:p>
    <w:p>
      <w:pPr>
        <w:pStyle w:val="BodyNumbered"/>
      </w:pPr>
      <w:r>
        <w:t xml:space="preserve">20.</w:t>
      </w:r>
      <w:r>
        <w:tab/>
      </w:r>
      <w:r>
        <w:t xml:space="preserve">Defendant Perennial Operations Technology, LLC (“POT”) was a limited liability company organized under the laws of the State of Oregon, wholly controlled by Lanphere, which was registered on May 5, 2020. POT’s primary place of business is located at 26444 NE Butteville Road Aurora, Oregon 97002, and 2955 NE Cornell Hillsboro Oregon 97124. POT has been Lanphere’s central financial hub, orchestrating the transfer of funds between the Original Entities and Successor Entities. Lanphere filed articles of dissolution for POT on February 1, 2025.</w:t>
      </w:r>
    </w:p>
    <w:p>
      <w:pPr>
        <w:pStyle w:val="BodyNumbered"/>
      </w:pPr>
      <w:r>
        <w:t xml:space="preserve">21.</w:t>
      </w:r>
      <w:r>
        <w:tab/>
      </w:r>
      <w:r>
        <w:t xml:space="preserve">Defendant NW High Octane, LLC (“NW High”) was a limited liability company organized under the laws of the State of Oregon, which registered on September 23, 2021, with principal place of business at 26444 NE Butteville Rd, Aurora Oregon 97002. NW High’s stated business was off road fuel sales. In actuality, NW High processed credit card transactions for Green Mart, Arbon Enterprises, and/​or other affiliated entities. Mrs. Arbon was a member of NW High. Mrs. Arbon dissolved NW High on July 12, 2025.</w:t>
      </w:r>
    </w:p>
    <w:p>
      <w:pPr>
        <w:pStyle w:val="BodyNumbered"/>
      </w:pPr>
      <w:r>
        <w:t xml:space="preserve">22.</w:t>
      </w:r>
      <w:r>
        <w:tab/>
      </w:r>
      <w:r>
        <w:t xml:space="preserve">Defendant Legacy Cannabis Distribution, LLC (“Legacy”) is a limited liability company organized and existing under the laws of the State of Oregon, registered with the Oregon Secretary of State on January 19, 2021. Legacy’s primary place of business was previously located at 26444 NE Butteville Rd, Suite 100, Aurora, Oregon 97002, and 12745 SW Walker Rd Suite 100 Beaverton Oregon 97005. Mr. Arbon is a member of Legacy. On information and belief, Legacy continues Herban’s agricultural production operations at the Farm Property under Mr. Arbon’s control, maintaining the same operations previously conducted by Herban.</w:t>
      </w:r>
    </w:p>
    <w:p>
      <w:pPr>
        <w:pStyle w:val="BodyNumbered"/>
      </w:pPr>
      <w:r>
        <w:t xml:space="preserve">23.</w:t>
      </w:r>
      <w:r>
        <w:tab/>
      </w:r>
      <w:r>
        <w:t xml:space="preserve">Defendant Abide Operations LLC (“Abide”) is a limited liability company organized and existing under the laws of the State of Oregon, registered with the Oregon Secretary of State on May 6, 2023. On January 25, 2024, for grossly inadequate and circular consideration as alleged below, Abide accepted an assignment of the master lease for the same retail space where Green Mart and GOE historically operated. Abide then subleased that same retail space to Arbon Enterprises. Abide’s primary place of business is located at 12745 SW Walker Road #100A, Beaverton, Oregon 97005, and also at 13625 SW Farmington Road, Beaverton, Oregon 97005. Mr. Arbon has been a member of Abide. Stricklin is currently the managing member of Abide.</w:t>
      </w:r>
    </w:p>
    <w:p>
      <w:pPr>
        <w:pStyle w:val="BodyNumbered"/>
      </w:pPr>
      <w:r>
        <w:t xml:space="preserve">24.</w:t>
      </w:r>
      <w:r>
        <w:tab/>
      </w:r>
      <w:r>
        <w:t xml:space="preserve">Defendant Golden Parachute Holdings, LLC (“GPH”) was a limited liability company organized under the laws of the State of Oregon, registered with the Oregon Secretary of State on January 20, 2021. Lanphere was the sole member of GPH. In the past Mr. Arbon was a member of GPH. On information and belief, GPH received money from POT and NW High which was then used to pay for the bills and provide financial support to the Original Entities and Successor Entities. Lanphere filed articles of dissolution for GPH on December 26, 2025.</w:t>
      </w:r>
    </w:p>
    <w:p>
      <w:pPr>
        <w:pStyle w:val="BodyNumbered"/>
      </w:pPr>
      <w:r>
        <w:t xml:space="preserve">25.</w:t>
      </w:r>
      <w:r>
        <w:tab/>
      </w:r>
      <w:r>
        <w:t xml:space="preserve">Defendant Allied Personnel Services, LLC (“Allied”) is a limited liability company organized and existing under the laws of the State of Oregon, registered with the Oregon Secretary of State on November 14, 2024. Like GPH, Allied’s principal place of business is 13625 SW Farmington Road, Beaverton, Oregon and 2955 NE Cornell Hillsboro Oregon 97124. Lanphere is the sole member of Allied. On information and belief, Allied received money from NW High and that money was used, inter alia, for payroll of employees of Arbon / G M Dispensary / Green Martian Dispensary. Allied also received funds from GPH and POT in 2025.</w:t>
      </w:r>
    </w:p>
    <w:p>
      <w:pPr>
        <w:pStyle w:val="BodyNumbered"/>
      </w:pPr>
      <w:r>
        <w:t xml:space="preserve">26.</w:t>
      </w:r>
      <w:r>
        <w:tab/>
      </w:r>
      <w:r>
        <w:t xml:space="preserve">Defendant Robert “Bob” Lanphere, Jr. (“Bob Lanphere”) is Douglas Lanphere’s cousin. Bob Lanphere is the sole member of LCD Holding, LLC, formerly known as Lanphere Construction and Development, LLC (“LCD”). LCD owns the real property located at 26444 NE Butteville Road, Aurora, Oregon 97002 (the “Farm Property”), which has been used by Herban, Legacy, POT, NW High, and other entities affiliated with the fraudulent transfer scheme as their principal place of business and/​or as the site of cannabis production operations. Bob Lanphere, through LCD, leased the Farm Property to Herban and subsequently to Legacy, and facilitated the continuation of Herban’s production operations through Legacy at the Farm Property. Upon information and belief, Bob Lanphere knew of the Judgment and of Lanphere’s efforts to evade it, and nevertheless continued to provide the Farm Property and his active assistance to further the fraudulent transfer scheme.</w:t>
      </w:r>
    </w:p>
    <w:p>
      <w:pPr>
        <w:pStyle w:val="BodyNumbered"/>
      </w:pPr>
      <w:r>
        <w:t xml:space="preserve">27.</w:t>
      </w:r>
      <w:r>
        <w:tab/>
      </w:r>
      <w:r>
        <w:t xml:space="preserve">Defendant LCD Holding, LLC, formerly known as Lanphere Construction and Development, LLC (“LCD”), is a limited liability company organized under the laws of the State of Oregon. Bob Lanphere is its sole member. LCD owns the Farm Property at 26444 NE Butteville Road, Aurora, Oregon 97002. LCD leased the Farm Property first to Herban (an Original Entity) for cannabis production operations, and subsequently to Legacy (a Successor Entity), enabling the continuation of the same production operations beyond the reach of creditors.</w:t>
      </w:r>
    </w:p>
    <w:p>
      <w:pPr>
        <w:pStyle w:val="BodyNumbered"/>
      </w:pPr>
      <w:r>
        <w:t xml:space="preserve">28.</w:t>
      </w:r>
      <w:r>
        <w:tab/>
      </w:r>
      <w:r>
        <w:t xml:space="preserve">Lanphere is a statutory insider of the Debtor as alleged above. Each of the other Individual Defendants — Stricklin, Mr. Arbon, Mrs. Arbon, and Bob Lanphere — was, at all relevant times, a non-statutory insider of the Debtor and its affiliated entities: each had a close, longstanding personal or business relationship with Lanphere and with the enterprise, and each transacted with the Debtor and its affiliates at less than arm’s length, as alleged herein.</w:t>
      </w:r>
    </w:p>
    <w:p>
      <w:pPr>
        <w:keepNext/>
        <w:keepLines/>
        <w:spacing w:before="0" w:after="0" w:line="480" w:lineRule="exact"/>
        <w:ind w:left="0" w:firstLine="0"/>
        <w:jc w:val="center"/>
      </w:pPr>
      <w:r>
        <w:rPr>
          <w:b/>
          <w:bCs/>
        </w:rPr>
        <w:t xml:space="preserve">FACTUAL</w:t>
      </w:r>
      <w:r>
        <w:rPr>
          <w:b/>
          <w:bCs/>
        </w:rPr>
        <w:t xml:space="preserve"> </w:t>
      </w:r>
      <w:r>
        <w:rPr>
          <w:b/>
          <w:bCs/>
        </w:rPr>
        <w:t xml:space="preserve">BACKGROUND</w:t>
      </w:r>
      <w:r>
        <w:rPr>
          <w:b/>
          <w:bCs/>
        </w:rPr>
        <w:t xml:space="preserve"> </w:t>
      </w:r>
      <w:r>
        <w:rPr>
          <w:b/>
          <w:bCs/>
        </w:rPr>
        <w:t xml:space="preserve">COMMON</w:t>
      </w:r>
      <w:r>
        <w:rPr>
          <w:b/>
          <w:bCs/>
        </w:rPr>
        <w:t xml:space="preserve"> </w:t>
      </w:r>
      <w:r>
        <w:rPr>
          <w:b/>
          <w:bCs/>
        </w:rPr>
        <w:t xml:space="preserve">TO</w:t>
      </w:r>
      <w:r>
        <w:rPr>
          <w:b/>
          <w:bCs/>
        </w:rPr>
        <w:t xml:space="preserve"> </w:t>
      </w:r>
      <w:r>
        <w:rPr>
          <w:b/>
          <w:bCs/>
        </w:rPr>
        <w:t xml:space="preserve">ALL</w:t>
      </w:r>
      <w:r>
        <w:rPr>
          <w:b/>
          <w:bCs/>
        </w:rPr>
        <w:t xml:space="preserve"> </w:t>
      </w:r>
      <w:r>
        <w:rPr>
          <w:b/>
          <w:bCs/>
        </w:rPr>
        <w:t xml:space="preserve">CLAIMS</w:t>
      </w:r>
    </w:p>
    <w:p>
      <w:pPr>
        <w:keepNext/>
        <w:keepLines/>
        <w:spacing w:before="0" w:after="0" w:line="480" w:lineRule="exact"/>
        <w:ind w:left="0" w:firstLine="0"/>
        <w:jc w:val="center"/>
      </w:pPr>
      <w:r>
        <w:rPr>
          <w:b/>
          <w:bCs/>
        </w:rPr>
        <w:t xml:space="preserve">The</w:t>
      </w:r>
      <w:r>
        <w:rPr>
          <w:b/>
          <w:bCs/>
        </w:rPr>
        <w:t xml:space="preserve"> </w:t>
      </w:r>
      <w:r>
        <w:rPr>
          <w:b/>
          <w:bCs/>
        </w:rPr>
        <w:t xml:space="preserve">Valuable</w:t>
      </w:r>
      <w:r>
        <w:rPr>
          <w:b/>
          <w:bCs/>
        </w:rPr>
        <w:t xml:space="preserve"> </w:t>
      </w:r>
      <w:r>
        <w:rPr>
          <w:b/>
          <w:bCs/>
        </w:rPr>
        <w:t xml:space="preserve">Enterprise</w:t>
      </w:r>
    </w:p>
    <w:p>
      <w:pPr>
        <w:pStyle w:val="BodyNumbered"/>
      </w:pPr>
      <w:r>
        <w:t xml:space="preserve">29.</w:t>
      </w:r>
      <w:r>
        <w:tab/>
      </w:r>
      <w:r>
        <w:t xml:space="preserve">Prior to the Petition Date, the Debtor served as the management company for a vertically integrated cannabis enterprise operated at 12745 SW Walker Road, Beaverton, Oregon (the “Retail Location”). Terry Wilson (“Wilson”) and Lanphere created an integrated enterprise that included a retail store (Green Mart), a production facility (Herban), a management company (GOE), and an entity to accept credit card payments (PPH) (the “Original Enterprise”).</w:t>
      </w:r>
    </w:p>
    <w:p>
      <w:pPr>
        <w:pStyle w:val="BodyNumbered"/>
      </w:pPr>
      <w:r>
        <w:t xml:space="preserve">30.</w:t>
      </w:r>
      <w:r>
        <w:tab/>
      </w:r>
      <w:r>
        <w:t xml:space="preserve">Herban was formed in 2017 and obtained an OLCC license to produce products that were sold to the public by Green Mart. Herban leased the Farm Property from LCD, using three of its approximately 15 acres of the Farm Property to grow agricultural products. Another seven acres of the Farm Property were used to grow grapes, which qualified the Farm Property for federal farm tax exemptions.</w:t>
      </w:r>
    </w:p>
    <w:p>
      <w:pPr>
        <w:pStyle w:val="BodyNumbered"/>
      </w:pPr>
      <w:r>
        <w:t xml:space="preserve">31.</w:t>
      </w:r>
      <w:r>
        <w:tab/>
      </w:r>
      <w:r>
        <w:t xml:space="preserve">PPH began processing credit card payments on behalf of Green Mart in 2018. The Original Enterprise was designed for PPH to process Green Mart’s credit card transactions and then transfer the funds into Green Mart’s bank account. On information and belief, PPH failed to transfer all of the funds to Green Mart’s account, retaining most of the credit card sales for other purposes that did not benefit Green Mart.</w:t>
      </w:r>
    </w:p>
    <w:p>
      <w:pPr>
        <w:pStyle w:val="BodyNumbered"/>
      </w:pPr>
      <w:r>
        <w:t xml:space="preserve">32.</w:t>
      </w:r>
      <w:r>
        <w:tab/>
      </w:r>
      <w:r>
        <w:t xml:space="preserve">While Green Mart was the key revenue-producing retail entity, GOE was the critical infrastructure entity that held the master lease of the Retail Location.</w:t>
      </w:r>
    </w:p>
    <w:p>
      <w:pPr>
        <w:pStyle w:val="BodyNumbered"/>
      </w:pPr>
      <w:r>
        <w:t xml:space="preserve">33.</w:t>
      </w:r>
      <w:r>
        <w:tab/>
      </w:r>
      <w:r>
        <w:t xml:space="preserve">Wilson and Lanphere agreed that distributions from the Original Enterprise were to be paid proportionally, 75% to Lanphere and 25% to Wilson.</w:t>
      </w:r>
    </w:p>
    <w:p>
      <w:pPr>
        <w:keepNext/>
        <w:keepLines/>
        <w:spacing w:before="0" w:after="0" w:line="480" w:lineRule="exact"/>
        <w:ind w:left="0" w:firstLine="0"/>
        <w:jc w:val="center"/>
      </w:pPr>
      <w:r>
        <w:rPr>
          <w:b/>
          <w:bCs/>
        </w:rPr>
        <w:t xml:space="preserve">The</w:t>
      </w:r>
      <w:r>
        <w:rPr>
          <w:b/>
          <w:bCs/>
        </w:rPr>
        <w:t xml:space="preserve"> </w:t>
      </w:r>
      <w:r>
        <w:rPr>
          <w:b/>
          <w:bCs/>
        </w:rPr>
        <w:t xml:space="preserve">Arbitration</w:t>
      </w:r>
      <w:r>
        <w:rPr>
          <w:b/>
          <w:bCs/>
        </w:rPr>
        <w:t xml:space="preserve"> </w:t>
      </w:r>
      <w:r>
        <w:rPr>
          <w:b/>
          <w:bCs/>
        </w:rPr>
        <w:t xml:space="preserve">and</w:t>
      </w:r>
      <w:r>
        <w:rPr>
          <w:b/>
          <w:bCs/>
        </w:rPr>
        <w:t xml:space="preserve"> </w:t>
      </w:r>
      <w:r>
        <w:rPr>
          <w:b/>
          <w:bCs/>
        </w:rPr>
        <w:t xml:space="preserve">Judgment</w:t>
      </w:r>
    </w:p>
    <w:p>
      <w:pPr>
        <w:pStyle w:val="BodyNumbered"/>
      </w:pPr>
      <w:r>
        <w:t xml:space="preserve">34.</w:t>
      </w:r>
      <w:r>
        <w:tab/>
      </w:r>
      <w:r>
        <w:t xml:space="preserve">Beginning as early as 2019, Lanphere undertook a series of actions intended to divest Wilson of his ownership interest in the Original Entities and the Original Enterprise. Lanphere has claimed that the Original Entities had no value but, in reality, the enterprise that Wilson helped establish and partially owned was worth millions before Lanphere stripped the assets and the Successor Entities continued to flourish in the same locations as the Original Entities.</w:t>
      </w:r>
    </w:p>
    <w:p>
      <w:pPr>
        <w:keepNext/>
        <w:keepLines/>
        <w:spacing w:before="0" w:after="0" w:line="480" w:lineRule="exact"/>
        <w:ind w:left="0" w:firstLine="0"/>
        <w:jc w:val="center"/>
      </w:pPr>
      <w:r>
        <w:rPr>
          <w:b/>
          <w:bCs/>
        </w:rPr>
        <w:t xml:space="preserve">FIRST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keepNext/>
        <w:keepLines/>
        <w:spacing w:before="0" w:after="0" w:line="480"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Fraudulent</w:t>
      </w:r>
      <w:r>
        <w:rPr>
          <w:b/>
          <w:bCs/>
        </w:rPr>
        <w:t xml:space="preserve"> </w:t>
      </w:r>
      <w:r>
        <w:rPr>
          <w:b/>
          <w:bCs/>
        </w:rPr>
        <w:t xml:space="preserve">Transfers</w:t>
      </w:r>
      <w:r>
        <w:rPr>
          <w:b/>
          <w:bCs/>
        </w:rPr>
        <w:t xml:space="preserve"> </w:t>
      </w:r>
      <w:r>
        <w:rPr>
          <w:b/>
          <w:bCs/>
        </w:rPr>
        <w:t xml:space="preserve">and</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Property</w:t>
      </w:r>
      <w:r>
        <w:rPr>
          <w:b/>
          <w:bCs/>
        </w:rPr>
        <w:t xml:space="preserve"> </w:t>
      </w:r>
      <w:r>
        <w:rPr>
          <w:b/>
          <w:bCs/>
        </w:rPr>
        <w:t xml:space="preserve">or</w:t>
      </w:r>
      <w:r>
        <w:rPr>
          <w:b/>
          <w:bCs/>
        </w:rPr>
        <w:t xml:space="preserve"> </w:t>
      </w:r>
      <w:r>
        <w:rPr>
          <w:b/>
          <w:bCs/>
        </w:rPr>
        <w:t xml:space="preserve">Value</w:t>
      </w:r>
      <w:r>
        <w:rPr>
          <w:b/>
          <w:bCs/>
        </w:rPr>
        <w:t xml:space="preserve"> </w:t>
      </w:r>
      <w:r>
        <w:rPr>
          <w:b/>
          <w:bCs/>
        </w:rPr>
        <w:t xml:space="preserve">–</w:t>
      </w:r>
      <w:r>
        <w:rPr>
          <w:b/>
          <w:bCs/>
        </w:rPr>
        <w:t xml:space="preserve"> </w:t>
      </w:r>
      <w:r>
        <w:rPr>
          <w:b/>
          <w:bCs/>
        </w:rPr>
        <w:t xml:space="preserve">Actual</w:t>
      </w:r>
      <w:r>
        <w:rPr>
          <w:b/>
          <w:bCs/>
        </w:rPr>
        <w:t xml:space="preserve"> </w:t>
      </w:r>
      <w:r>
        <w:rPr>
          <w:b/>
          <w:bCs/>
        </w:rPr>
        <w:t xml:space="preserve">Fraud</w:t>
      </w:r>
      <w:r>
        <w:rPr>
          <w:b/>
          <w:bCs/>
        </w:rPr>
        <w:t xml:space="preserve"> </w:t>
      </w:r>
      <w:r>
        <w:rPr>
          <w:b/>
          <w:bCs/>
        </w:rPr>
        <w:t xml:space="preserve">–</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548(a)⁠(1)⁠(A)</w:t>
      </w:r>
      <w:r>
        <w:rPr>
          <w:b/>
          <w:bCs/>
        </w:rPr>
        <w:t xml:space="preserve"> </w:t>
      </w:r>
      <w:r>
        <w:rPr>
          <w:b/>
          <w:bCs/>
        </w:rPr>
        <w:t xml:space="preserve">and</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550(a))</w:t>
      </w:r>
    </w:p>
    <w:p>
      <w:pPr>
        <w:pStyle w:val="BodyNumbered"/>
      </w:pPr>
      <w:r>
        <w:t xml:space="preserve">35.</w:t>
      </w:r>
      <w:r>
        <w:tab/>
      </w:r>
      <w:r>
        <w:t xml:space="preserve">Plaintiff incorporates by reference all preceding paragraphs.</w:t>
      </w:r>
    </w:p>
    <w:p>
      <w:pPr>
        <w:pStyle w:val="BodyNumbered"/>
      </w:pPr>
      <w:r>
        <w:t xml:space="preserve">36.</w:t>
      </w:r>
      <w:r>
        <w:tab/>
      </w:r>
      <w:r>
        <w:t xml:space="preserve">Within two years before the Petition Date, the Debtor transferred interests of the Debtor in property, including the Fraudulently Transferred Assets, to PPH, Herban, and the Transferee Defendants (the Two-Year Transfers, as defined above).</w:t>
      </w:r>
    </w:p>
    <w:p>
      <w:pPr>
        <w:pStyle w:val="BodyNumbered"/>
      </w:pPr>
      <w:r>
        <w:t xml:space="preserve">37.</w:t>
      </w:r>
      <w:r>
        <w:tab/>
      </w:r>
      <w:r>
        <w:t xml:space="preserve">The Debtor made the Two-Year Transfers with the actual intent to hinder, delay, or defraud entities to which the Debtor was or became, on or after the date that such Two-Year Transfers were made, indebted.</w:t>
      </w:r>
    </w:p>
    <w:p>
      <w:pPr>
        <w:pStyle w:val="BodyNumbered"/>
      </w:pPr>
      <w:r>
        <w:t xml:space="preserve">38.</w:t>
      </w:r>
      <w:r>
        <w:tab/>
      </w:r>
      <w:r>
        <w:t xml:space="preserve">The actual intent to defraud is evidenced by multiple badges of fraud, including: (a) the Two-Year Transfers were made to insiders — statutory and non-statutory — or to entities they control; (b) Lanphere retained possession, benefit, and de facto control of the transferred assets and the business conducted with them; (c) the Two-Year Transfers were concealed and mischaracterized, including in the Debtor’s sworn bankruptcy schedules and SOFA (Schedule G disclosing no unexpired leases; SOFA Item 13 characterizing the leasehold as “surrendered on termination”; the omission of the $90,000 Abide note receivable from Schedule A/​B; and “None”/​“No” answers to insider-transfer questions); (d) before the Two-Year Transfers were made, the Debtor had been sued, was threatened with suit, and was subject to the Awards and the ensuing Judgment; (e) the Two-Year Transfers were of substantially all of the Debtor’s assets; (f) …</w:t>
      </w:r>
    </w:p>
    <w:p>
      <w:pPr>
        <w:keepNext/>
        <w:keepLines/>
        <w:spacing w:before="0" w:after="0" w:line="480"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Plaintiff respectfully requests that this Court enter judgment against the Defendants and grant the following relief:</w:t>
      </w:r>
    </w:p>
    <w:p>
      <w:pPr>
        <w:pStyle w:val="BodyNumbered"/>
      </w:pPr>
      <w:r>
        <w:t xml:space="preserve">A.</w:t>
      </w:r>
      <w:r>
        <w:tab/>
      </w:r>
      <w:r>
        <w:t xml:space="preserve">On the First Claim for Relief, enter judgment avoiding the Two-Year Transfers of the Debtor’s interests in property, including the transfer of the Leasehold Interest, as transfers made with actual intent to hinder, delay, or defraud creditors, pursuant to 11 U.S.C. § 548(a)⁠(1)⁠(A), and, pursuant to 11 U.S.C. § 550(a), ordering the recovery, for the benefit of the Estate, of the property transferred — including, without limitation, the Leasehold Interest in specie, together with all renewal, extension, replacement, and holdover rights and all successor tenancies of the Retail Location derived therefrom — or, if the Court so orders, the value of such property, together with pre-judgment interest;</w:t>
      </w:r>
    </w:p>
    <w:p>
      <w:pPr>
        <w:pStyle w:val="BodyNumbered"/>
      </w:pPr>
      <w:r>
        <w:t xml:space="preserve">B.</w:t>
      </w:r>
      <w:r>
        <w:tab/>
      </w:r>
      <w:r>
        <w:t xml:space="preserve">On the Second Claim for Relief, enter judgment avoiding the Two-Year Transfers as constructively fraudulent transfers made for less than reasonably equivalent value while the Debtor … ;</w:t>
      </w:r>
    </w:p>
    <w:p>
      <w:pPr>
        <w:pStyle w:val="BodyNumbered"/>
      </w:pPr>
      <w:r>
        <w:t xml:space="preserve">C.</w:t>
      </w:r>
      <w:r>
        <w:tab/>
      </w:r>
      <w:r>
        <w:t xml:space="preserve">On the Ninth Claim for Relief, order the Transferee Defendants and Individual Defendants, pursuant to 11 U.S.C. § 542, to turn over to Plaintiff all property of the Estate currently in their possession, custody, or control, or the value thereof, including the Leasehold Interest, the Fraudulently Transferred Assets, and revenue generated from the misappropriated business operations, and to account for such property, and, pursuant to 11 U.S.C. § 542(a) and (e), to turn over all books, records, documents, and recorded information, including electronic accounting records and QuickBooks data, relating to the Debtor’s property or financial affairs, wherever located and by whomever held; provided that nothing herein requires the Estate to take possession of cannabis inventory, any OLCC license, or the greenhouses or any other cannabis-production property, as to which the Estate seeks value only;</w:t>
      </w:r>
    </w:p>
    <w:p>
      <w:pPr>
        <w:pStyle w:val="BodyNumbered"/>
      </w:pPr>
      <w:r>
        <w:t xml:space="preserve">D.</w:t>
      </w:r>
      <w:r>
        <w:tab/>
      </w:r>
      <w:r>
        <w:t xml:space="preserve">On the Tenth Claim for Relief, impose a constructive trust, for the benefit of the Estate, on all assets, funds, and property held by the Defendants, including LCD and Bob Lanphere, that trace back to the Debtor or its operations, including any tenancy, leasehold, renewal, extension, replacement, or holdover interest in the Retail Location derived from or traceable to the Leasehold Interest, so that no lapse, renewal, restructuring, or re-papering of the tenancy defeats the Estate’s recovery; provided that, as to the greenhouses, cannabis inventory, any OLCC license, or any other cannabis-related or cannabis-production property, such constructive trust shall attach only to the value and proceeds thereof, and nothing herein requires the Estate to take possession of or title to any such property;</w:t>
      </w:r>
    </w:p>
    <w:p>
      <w:pPr>
        <w:pStyle w:val="BodyNumbered"/>
      </w:pPr>
      <w:r>
        <w:t xml:space="preserve">E.</w:t>
      </w:r>
      <w:r>
        <w:tab/>
      </w:r>
      <w:r>
        <w:t xml:space="preserve">On the Eleventh Claim for Relief, order the Transferee Defendants and Individual Defendants to provide a full accounting of (a) all funds transferred between the Debtor and any of the Transferee Defendants and/​or Individual Defendants, (b) all financial transactions related to the surrender and re-acquisition of the retail license, and (c) any financial transactions (which shall include, but not be limited to, loans, loan repayments, payroll payments, or expense reimbursements) between the Debtor and any one or more of the Individual Defendants or Transferee Defendants, which have occurred at any time since January 1, 2023;</w:t>
      </w:r>
    </w:p>
    <w:p>
      <w:pPr>
        <w:pStyle w:val="BodyNumbered"/>
      </w:pPr>
      <w:r>
        <w:t xml:space="preserve">F.</w:t>
      </w:r>
      <w:r>
        <w:tab/>
      </w:r>
      <w:r>
        <w:t xml:space="preserve">On the Twelfth Claim for Relief, enter a money judgment against the Individual Defendants, including Bob Lanphere, jointly and severally, for damages proximately caused by their civil conspiracy to defraud the Estate, in an amount to be proven at trial but not less than the value of the Fraudulently Transferred Assets — assets of an enterprise whose fair value the arbitrator expressly found to be $5,000,000 as of December 31, 2020 — together with prejudgment interest;</w:t>
      </w:r>
    </w:p>
    <w:p>
      <w:pPr>
        <w:pStyle w:val="BodyNumbered"/>
      </w:pPr>
      <w:r>
        <w:t xml:space="preserve">G.</w:t>
      </w:r>
      <w:r>
        <w:tab/>
      </w:r>
      <w:r>
        <w:t xml:space="preserve">On the Thirteenth Claim for Relief, enter a money judgment against Stricklin, Mr. Arbon, Mrs. Arbon, and Bob Lanphere, jointly and severally, for damages proximately caused by their aiding and abetting of the fraudulent transfers, in an amount to be proven at trial but not less than the value of the Fraudulently Transferred Assets — assets of an enterprise whose fair value the arbitrator expressly found to be $5,000,000 as of December 31, 2020 — together with prejudgment interest;</w:t>
      </w:r>
    </w:p>
    <w:p>
      <w:pPr>
        <w:pStyle w:val="BodyNumbered"/>
      </w:pPr>
      <w:r>
        <w:t xml:space="preserve">H.</w:t>
      </w:r>
      <w:r>
        <w:tab/>
      </w:r>
      <w:r>
        <w:t xml:space="preserve">On the Fourteenth Claim for Relief, enter a judicial declaration that the Original Entities and Back-Office Entities are the alter egos of Lanphere, and that Lanphere is personally liable for the debts and obligations of said entities to the Estate, including the Fraudulently Transferred Assets and all proceeds derived therefrom;</w:t>
      </w:r>
    </w:p>
    <w:p>
      <w:pPr>
        <w:pStyle w:val="BodyNumbered"/>
      </w:pPr>
      <w:r>
        <w:t xml:space="preserve">I.</w:t>
      </w:r>
      <w:r>
        <w:tab/>
      </w:r>
      <w:r>
        <w:t xml:space="preserve">On the Fifteenth Claim for Relief, enter a money judgment against Lanphere for the unlawful distributions and breaches of fiduciary duty alleged herein, pursuant to ORS 60.367 and applicable law, in an amount to be proven at trial, together with pre-judgment interest;</w:t>
      </w:r>
    </w:p>
    <w:p>
      <w:pPr>
        <w:pStyle w:val="BodyNumbered"/>
      </w:pPr>
      <w:r>
        <w:t xml:space="preserve">J.</w:t>
      </w:r>
      <w:r>
        <w:tab/>
      </w:r>
      <w:r>
        <w:t xml:space="preserve">On the Sixteenth Claim for Relief, subordinate, pursuant to 11 U.S.C. § 510(c), any claim asserted against the Estate by Lanphere, Bob Lanphere, LCD, or any Transferee Defendant or Back-Office Entity, and transfer any lien securing any such claim to the Estate; recharacterize Lanphere’s purported loan claims as equity contributions; and disallow, pursuant to 11 U.S.C. § 502(d), any claim of any Defendant that is liable under 11 U.S.C. § 550 unless and until such liability is satisfied;</w:t>
      </w:r>
    </w:p>
    <w:p>
      <w:pPr>
        <w:pStyle w:val="BodyNumbered"/>
      </w:pPr>
      <w:r>
        <w:t xml:space="preserve">K.</w:t>
      </w:r>
      <w:r>
        <w:tab/>
      </w:r>
      <w:r>
        <w:t xml:space="preserve">On the Seventeenth Claim for Relief, in the alternative and to the extent the Lease Assignment is not avoided, enter a money judgment against Abide for all unpaid principal and interest due under the January 25, 2024 Promissory Note, in an amount to be established at trial but not less than $90,000, together with pre-judgment interest and any attorney fees recoverable under the Promissory Note or applicable law;</w:t>
      </w:r>
    </w:p>
    <w:p>
      <w:pPr>
        <w:pStyle w:val="BodyNumbered"/>
      </w:pPr>
      <w:r>
        <w:t xml:space="preserve">L.</w:t>
      </w:r>
      <w:r>
        <w:tab/>
      </w:r>
      <w:r>
        <w:t xml:space="preserve">On all Claims for Relief, award Plaintiff her reasonable attorney fees and costs incurred in prosecuting this adversary proceeding, including pursuant to Section 8 of the Assignment Instrument — which provides that the prevailing party in any proceeding, including any proceeding brought under the United States Bankruptcy Code, to interpret, enforce, or rescind the Assignment Instrument or otherwise with respect to its subject matter, is entitled to recover reasonable attorney fees — as made reciprocal and enforceable by ORS 20.096, and to the fullest extent otherwise permitted by law; and</w:t>
      </w:r>
    </w:p>
    <w:p>
      <w:pPr>
        <w:pStyle w:val="BodyNumberedKeep"/>
      </w:pPr>
      <w:r>
        <w:t xml:space="preserve">M.</w:t>
      </w:r>
      <w:r>
        <w:tab/>
      </w:r>
      <w:r>
        <w:t xml:space="preserve">On all Claims for Relief, grant such other and further relief as the Bankruptcy Court deems just and equitable under the circumstances.</w:t>
      </w:r>
    </w:p>
    <w:p>
      <w:pPr>
        <w:keepNext/>
        <w:keepLines/>
        <w:spacing w:before="0" w:after="0" w:line="480" w:lineRule="exact"/>
        <w:ind w:left="0" w:firstLine="0"/>
        <w:jc w:val="left"/>
      </w:pPr>
      <w:r>
        <w:t xml:space="preserve">Dated</w:t>
      </w:r>
      <w:r>
        <w:t xml:space="preserve"> </w:t>
      </w:r>
      <w:r>
        <w:t xml:space="preserve">this</w:t>
      </w:r>
      <w:r>
        <w:t xml:space="preserve"> </w:t>
      </w:r>
      <w:r>
        <w:t xml:space="preserve">10th</w:t>
      </w:r>
      <w:r>
        <w:t xml:space="preserve"> </w:t>
      </w:r>
      <w:r>
        <w:t xml:space="preserve">day</w:t>
      </w:r>
      <w:r>
        <w:t xml:space="preserve"> </w:t>
      </w:r>
      <w:r>
        <w:t xml:space="preserve">of</w:t>
      </w:r>
      <w:r>
        <w:t xml:space="preserve"> </w:t>
      </w:r>
      <w:r>
        <w:t xml:space="preserve">July,</w:t>
      </w:r>
      <w:r>
        <w:t xml:space="preserve"> </w:t>
      </w:r>
      <w:r>
        <w:t xml:space="preserve">2026.</w:t>
      </w:r>
    </w:p>
    <w:p>
      <w:pPr>
        <w:keepNext/>
        <w:keepLines/>
        <w:spacing w:before="0" w:after="0" w:line="276" w:lineRule="exact"/>
        <w:ind w:left="4320" w:firstLine="0"/>
        <w:jc w:val="left"/>
      </w:pPr>
      <w:r>
        <w:t xml:space="preserve">By:</w:t>
      </w:r>
    </w:p>
    <w:p>
      <w:pPr>
        <w:keepNext/>
        <w:keepLines/>
        <w:spacing w:before="0" w:after="0" w:line="276" w:lineRule="exact"/>
        <w:ind w:left="4320" w:firstLine="0"/>
        <w:jc w:val="left"/>
      </w:pPr>
      <w:r>
        <w:t xml:space="preserve">Learon</w:t>
      </w:r>
      <w:r>
        <w:t xml:space="preserve"> </w:t>
      </w:r>
      <w:r>
        <w:t xml:space="preserve">John</w:t>
      </w:r>
      <w:r>
        <w:t xml:space="preserve"> </w:t>
      </w:r>
      <w:r>
        <w:t xml:space="preserve">Bird,</w:t>
      </w:r>
      <w:r>
        <w:t xml:space="preserve"> </w:t>
      </w:r>
      <w:r>
        <w:t xml:space="preserve">OSB</w:t>
      </w:r>
      <w:r>
        <w:t xml:space="preserve"> </w:t>
      </w:r>
      <w:r>
        <w:t xml:space="preserve">#176218</w:t>
      </w:r>
    </w:p>
    <w:p>
      <w:pPr>
        <w:keepNext/>
        <w:keepLines/>
        <w:spacing w:before="0" w:after="0" w:line="276" w:lineRule="exact"/>
        <w:ind w:left="4320" w:firstLine="0"/>
        <w:jc w:val="left"/>
      </w:pPr>
      <w:r>
        <w:t xml:space="preserve">Russell</w:t>
      </w:r>
      <w:r>
        <w:t xml:space="preserve"> </w:t>
      </w:r>
      <w:r>
        <w:t xml:space="preserve">D.</w:t>
      </w:r>
      <w:r>
        <w:t xml:space="preserve"> </w:t>
      </w:r>
      <w:r>
        <w:t xml:space="preserve">Garrett,</w:t>
      </w:r>
      <w:r>
        <w:t xml:space="preserve"> </w:t>
      </w:r>
      <w:r>
        <w:t xml:space="preserve">OSB</w:t>
      </w:r>
      <w:r>
        <w:t xml:space="preserve"> </w:t>
      </w:r>
      <w:r>
        <w:t xml:space="preserve">#882111</w:t>
      </w:r>
    </w:p>
    <w:p>
      <w:pPr>
        <w:spacing w:before="0" w:after="0" w:line="276" w:lineRule="exact"/>
        <w:ind w:left="4320" w:firstLine="0"/>
        <w:jc w:val="left"/>
      </w:pPr>
      <w:r>
        <w:t xml:space="preserve">Attorneys</w:t>
      </w:r>
      <w:r>
        <w:t xml:space="preserve"> </w:t>
      </w:r>
      <w:r>
        <w:t xml:space="preserve">for</w:t>
      </w:r>
      <w:r>
        <w:t xml:space="preserve"> </w:t>
      </w:r>
      <w:r>
        <w:t xml:space="preserve">Candace</w:t>
      </w:r>
      <w:r>
        <w:t xml:space="preserve"> </w:t>
      </w:r>
      <w:r>
        <w:t xml:space="preserve">Amborn,</w:t>
      </w:r>
      <w:r>
        <w:t xml:space="preserve"> </w:t>
      </w:r>
      <w:r>
        <w:t xml:space="preserve">Trustee</w:t>
      </w:r>
    </w:p>
    <w:sectPr>
      <w:footerReference w:type="default" r:id="rIdOrbFooter"/>
      <w:pgSz w:w="12240" w:h="15840"/>
      <w:pgMar w:top="1440" w:right="1080" w:bottom="1440" w:left="1080" w:header="720" w:footer="50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left"/>
    </w:pPr>
    <w:r>
      <w:t xml:space="preserve">COMPLAINT FOR AVOIDANCE AND RECOVERY OF FRAUDULENT TRANSFERS</w:t>
    </w:r>
  </w:p>
  <w:p>
    <w:pPr>
      <w:spacing w:before="40" w:after="0" w:line="276" w:lineRule="exact"/>
      <w:ind w:left="0" w:firstLine="0"/>
      <w:jc w:val="lef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ed">
    <w:name w:val="Body Numbered"/>
    <w:basedOn w:val="BodyText"/>
    <w:qFormat/>
    <w:pPr>
      <w:tabs>
        <w:tab w:val="left" w:pos="1440"/>
      </w:tabs>
    </w:pPr>
  </w:style>
  <w:style w:type="paragraph" w:customStyle="1" w:styleId="BodyTextKeep">
    <w:name w:val="Body Text Keep"/>
    <w:basedOn w:val="BodyText"/>
    <w:qFormat/>
    <w:pPr>
      <w:keepNext/>
      <w:keepLines/>
    </w:pPr>
  </w:style>
  <w:style w:type="paragraph" w:customStyle="1" w:styleId="BodyNumberedKeep">
    <w:name w:val="Body Numbered Keep"/>
    <w:basedOn w:val="BodyNumbered"/>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Or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