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00" w:lineRule="exact"/>
        <w:ind w:left="0" w:firstLine="0"/>
        <w:jc w:val="left"/>
      </w:pPr>
      <w:r>
        <w:t xml:space="preserve">ADAM</w:t>
      </w:r>
      <w:r>
        <w:t xml:space="preserve"> </w:t>
      </w:r>
      <w:r>
        <w:t xml:space="preserve">R.F.</w:t>
      </w:r>
      <w:r>
        <w:t xml:space="preserve"> </w:t>
      </w:r>
      <w:r>
        <w:t xml:space="preserve">GUSTAFSON</w:t>
      </w:r>
    </w:p>
    <w:p>
      <w:pPr>
        <w:spacing w:before="0" w:after="0" w:line="300" w:lineRule="exact"/>
        <w:ind w:left="0" w:firstLine="0"/>
        <w:jc w:val="left"/>
      </w:pPr>
      <w:r>
        <w:t xml:space="preserve">Acting</w:t>
      </w:r>
      <w:r>
        <w:t xml:space="preserve"> </w:t>
      </w:r>
      <w:r>
        <w:t xml:space="preserve">Assistant</w:t>
      </w:r>
      <w:r>
        <w:t xml:space="preserve"> </w:t>
      </w:r>
      <w:r>
        <w:t xml:space="preserve">Attorney</w:t>
      </w:r>
      <w:r>
        <w:t xml:space="preserve"> </w:t>
      </w:r>
      <w:r>
        <w:t xml:space="preserve">General</w:t>
      </w:r>
    </w:p>
    <w:p>
      <w:pPr>
        <w:spacing w:before="0" w:after="0" w:line="300" w:lineRule="exact"/>
        <w:ind w:left="0" w:firstLine="0"/>
        <w:jc w:val="left"/>
      </w:pPr>
      <w:r>
        <w:t xml:space="preserve">United</w:t>
      </w:r>
      <w:r>
        <w:t xml:space="preserve"> </w:t>
      </w:r>
      <w:r>
        <w:t xml:space="preserve">States</w:t>
      </w:r>
      <w:r>
        <w:t xml:space="preserve"> </w:t>
      </w:r>
      <w:r>
        <w:t xml:space="preserve">Department</w:t>
      </w:r>
      <w:r>
        <w:t xml:space="preserve"> </w:t>
      </w:r>
      <w:r>
        <w:t xml:space="preserve">of</w:t>
      </w:r>
      <w:r>
        <w:t xml:space="preserve"> </w:t>
      </w:r>
      <w:r>
        <w:t xml:space="preserve">Justice</w:t>
      </w:r>
    </w:p>
    <w:p>
      <w:pPr>
        <w:spacing w:before="0" w:after="0" w:line="300" w:lineRule="exact"/>
        <w:ind w:left="0" w:firstLine="0"/>
        <w:jc w:val="left"/>
      </w:pPr>
      <w:r>
        <w:t xml:space="preserve">Environment</w:t>
      </w:r>
      <w:r>
        <w:t xml:space="preserve"> </w:t>
      </w:r>
      <w:r>
        <w:t xml:space="preserve">and</w:t>
      </w:r>
      <w:r>
        <w:t xml:space="preserve"> </w:t>
      </w:r>
      <w:r>
        <w:t xml:space="preserve">Natural</w:t>
      </w:r>
      <w:r>
        <w:t xml:space="preserve"> </w:t>
      </w:r>
      <w:r>
        <w:t xml:space="preserve">Resources</w:t>
      </w:r>
      <w:r>
        <w:t xml:space="preserve"> </w:t>
      </w:r>
      <w:r>
        <w:t xml:space="preserve">Division</w:t>
      </w:r>
    </w:p>
    <w:p>
      <w:pPr>
        <w:spacing w:before="0" w:after="0" w:line="300" w:lineRule="exact"/>
        <w:ind w:left="0" w:firstLine="0"/>
        <w:jc w:val="left"/>
      </w:pPr>
      <w:r>
        <w:t xml:space="preserve">LUTHER</w:t>
      </w:r>
      <w:r>
        <w:t xml:space="preserve"> </w:t>
      </w:r>
      <w:r>
        <w:t xml:space="preserve">L.</w:t>
      </w:r>
      <w:r>
        <w:t xml:space="preserve"> </w:t>
      </w:r>
      <w:r>
        <w:t xml:space="preserve">HAJEK</w:t>
      </w:r>
      <w:r>
        <w:t xml:space="preserve"> </w:t>
      </w:r>
      <w:r>
        <w:t xml:space="preserve">(CO</w:t>
      </w:r>
      <w:r>
        <w:t xml:space="preserve"> </w:t>
      </w:r>
      <w:r>
        <w:t xml:space="preserve">Bar</w:t>
      </w:r>
      <w:r>
        <w:t xml:space="preserve"> </w:t>
      </w:r>
      <w:r>
        <w:t xml:space="preserve">#</w:t>
      </w:r>
      <w:r>
        <w:t xml:space="preserve"> </w:t>
      </w:r>
      <w:r>
        <w:t xml:space="preserve">44303)</w:t>
      </w:r>
    </w:p>
    <w:p>
      <w:pPr>
        <w:spacing w:before="0" w:after="0" w:line="300" w:lineRule="exact"/>
        <w:ind w:left="0" w:firstLine="0"/>
        <w:jc w:val="left"/>
      </w:pPr>
      <w:r>
        <w:t xml:space="preserve">Trial</w:t>
      </w:r>
      <w:r>
        <w:t xml:space="preserve"> </w:t>
      </w:r>
      <w:r>
        <w:t xml:space="preserve">Attorney</w:t>
      </w:r>
    </w:p>
    <w:p>
      <w:pPr>
        <w:spacing w:before="0" w:after="0" w:line="300" w:lineRule="exact"/>
        <w:ind w:left="0" w:firstLine="0"/>
        <w:jc w:val="left"/>
      </w:pPr>
      <w:r>
        <w:t xml:space="preserve">United</w:t>
      </w:r>
      <w:r>
        <w:t xml:space="preserve"> </w:t>
      </w:r>
      <w:r>
        <w:t xml:space="preserve">States</w:t>
      </w:r>
      <w:r>
        <w:t xml:space="preserve"> </w:t>
      </w:r>
      <w:r>
        <w:t xml:space="preserve">Department</w:t>
      </w:r>
      <w:r>
        <w:t xml:space="preserve"> </w:t>
      </w:r>
      <w:r>
        <w:t xml:space="preserve">of</w:t>
      </w:r>
      <w:r>
        <w:t xml:space="preserve"> </w:t>
      </w:r>
      <w:r>
        <w:t xml:space="preserve">Justice</w:t>
      </w:r>
    </w:p>
    <w:p>
      <w:pPr>
        <w:spacing w:before="0" w:after="0" w:line="300" w:lineRule="exact"/>
        <w:ind w:left="0" w:firstLine="0"/>
        <w:jc w:val="left"/>
      </w:pPr>
      <w:r>
        <w:t xml:space="preserve">Environment</w:t>
      </w:r>
      <w:r>
        <w:t xml:space="preserve"> </w:t>
      </w:r>
      <w:r>
        <w:t xml:space="preserve">and</w:t>
      </w:r>
      <w:r>
        <w:t xml:space="preserve"> </w:t>
      </w:r>
      <w:r>
        <w:t xml:space="preserve">Natural</w:t>
      </w:r>
      <w:r>
        <w:t xml:space="preserve"> </w:t>
      </w:r>
      <w:r>
        <w:t xml:space="preserve">Resources</w:t>
      </w:r>
      <w:r>
        <w:t xml:space="preserve"> </w:t>
      </w:r>
      <w:r>
        <w:t xml:space="preserve">Division</w:t>
      </w:r>
    </w:p>
    <w:p>
      <w:pPr>
        <w:spacing w:before="0" w:after="0" w:line="300" w:lineRule="exact"/>
        <w:ind w:left="0" w:firstLine="0"/>
        <w:jc w:val="left"/>
      </w:pPr>
      <w:r>
        <w:t xml:space="preserve">999</w:t>
      </w:r>
      <w:r>
        <w:t xml:space="preserve"> </w:t>
      </w:r>
      <w:r>
        <w:t xml:space="preserve">18th</w:t>
      </w:r>
      <w:r>
        <w:t xml:space="preserve"> </w:t>
      </w:r>
      <w:r>
        <w:t xml:space="preserve">Street,</w:t>
      </w:r>
      <w:r>
        <w:t xml:space="preserve"> </w:t>
      </w:r>
      <w:r>
        <w:t xml:space="preserve">North</w:t>
      </w:r>
      <w:r>
        <w:t xml:space="preserve"> </w:t>
      </w:r>
      <w:r>
        <w:t xml:space="preserve">Terrace,</w:t>
      </w:r>
      <w:r>
        <w:t xml:space="preserve"> </w:t>
      </w:r>
      <w:r>
        <w:t xml:space="preserve">Suite</w:t>
      </w:r>
      <w:r>
        <w:t xml:space="preserve"> </w:t>
      </w:r>
      <w:r>
        <w:t xml:space="preserve">600</w:t>
      </w:r>
    </w:p>
    <w:p>
      <w:pPr>
        <w:spacing w:before="0" w:after="0" w:line="300" w:lineRule="exact"/>
        <w:ind w:left="0" w:firstLine="0"/>
        <w:jc w:val="left"/>
      </w:pPr>
      <w:r>
        <w:t xml:space="preserve">Denver,</w:t>
      </w:r>
      <w:r>
        <w:t xml:space="preserve"> </w:t>
      </w:r>
      <w:r>
        <w:t xml:space="preserve">CO</w:t>
      </w:r>
      <w:r>
        <w:t xml:space="preserve"> </w:t>
      </w:r>
      <w:r>
        <w:t xml:space="preserve">80202</w:t>
      </w:r>
    </w:p>
    <w:p>
      <w:pPr>
        <w:spacing w:before="0" w:after="0" w:line="300" w:lineRule="exact"/>
        <w:ind w:left="0" w:firstLine="0"/>
        <w:jc w:val="left"/>
      </w:pPr>
      <w:r>
        <w:t xml:space="preserve">Tel:</w:t>
      </w:r>
      <w:r>
        <w:t xml:space="preserve"> </w:t>
      </w:r>
      <w:r>
        <w:t xml:space="preserve">(303)</w:t>
      </w:r>
      <w:r>
        <w:t xml:space="preserve"> </w:t>
      </w:r>
      <w:r>
        <w:t xml:space="preserve">241-⁠0826</w:t>
      </w:r>
      <w:r>
        <w:t xml:space="preserve"> ⁠</w:t>
      </w:r>
      <w:r>
        <w:t xml:space="preserve">/</w:t>
      </w:r>
      <w:r>
        <w:t xml:space="preserve"> </w:t>
      </w:r>
      <w:r>
        <w:t xml:space="preserve">Fax:</w:t>
      </w:r>
      <w:r>
        <w:t xml:space="preserve"> </w:t>
      </w:r>
      <w:r>
        <w:t xml:space="preserve">(303)</w:t>
      </w:r>
      <w:r>
        <w:t xml:space="preserve"> </w:t>
      </w:r>
      <w:r>
        <w:t xml:space="preserve">844-⁠1350</w:t>
      </w:r>
    </w:p>
    <w:p>
      <w:pPr>
        <w:spacing w:before="0" w:after="0" w:line="300" w:lineRule="exact"/>
        <w:ind w:left="0" w:firstLine="0"/>
        <w:jc w:val="left"/>
      </w:pPr>
      <w:r>
        <w:t xml:space="preserve">luke.hajek@usdoj.gov</w:t>
      </w:r>
    </w:p>
    <w:p>
      <w:pPr>
        <w:spacing w:before="0" w:after="0" w:line="300" w:lineRule="exact"/>
        <w:ind w:left="0" w:firstLine="0"/>
        <w:jc w:val="left"/>
      </w:pPr>
      <w:r>
        <w:t xml:space="preserve">Counsel</w:t>
      </w:r>
      <w:r>
        <w:t xml:space="preserve"> </w:t>
      </w:r>
      <w:r>
        <w:t xml:space="preserve">for</w:t>
      </w:r>
      <w:r>
        <w:t xml:space="preserve"> </w:t>
      </w:r>
      <w:r>
        <w:t xml:space="preserve">Defendants</w:t>
      </w:r>
    </w:p>
    <w:p>
      <w:pPr>
        <w:spacing w:before="1152" w:after="0" w:line="300"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300" w:lineRule="exact"/>
        <w:ind w:left="0" w:firstLine="0"/>
        <w:jc w:val="center"/>
      </w:pP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ALASKA</w:t>
      </w:r>
    </w:p>
    <w:p>
      <w:pPr>
        <w:spacing w:before="0" w:after="0" w:line="60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464"/>
      </w:tblGrid>
      <w:tr>
        <w:trPr>
          <w:cantSplit/>
        </w:trPr>
        <w:tc>
          <w:tcPr>
            <w:tcW w:w="4896" w:type="dxa"/>
          </w:tcPr>
          <w:tbl>
            <w:tblPr>
              <w:tblW w:w="4896" w:type="dxa"/>
              <w:tblInd w:w="0" w:type="dxa"/>
              <w:tblBorders>
                <w:top w:val="nil"/>
                <w:left w:val="nil"/>
                <w:bottom w:val="single" w:sz="6" w:space="0" w:color="000000"/>
                <w:right w:val="nil"/>
              </w:tblBorders>
              <w:tblLayout w:type="fixed"/>
              <w:tblCellMar>
                <w:top w:w="0" w:type="dxa"/>
                <w:left w:w="0" w:type="dxa"/>
                <w:bottom w:w="0" w:type="dxa"/>
                <w:right w:w="0" w:type="dxa"/>
              </w:tblCellMar>
              <w:tblLook w:val="0000" w:firstRow="0" w:lastRow="0" w:firstColumn="0" w:lastColumn="0" w:noHBand="0" w:noVBand="0"/>
            </w:tblPr>
            <w:tblGrid>
              <w:gridCol w:w="4896"/>
            </w:tblGrid>
            <w:tr>
              <w:trPr>
                <w:cantSplit/>
              </w:trPr>
              <w:tc>
                <w:tcPr>
                  <w:tcW w:w="4896" w:type="dxa"/>
                </w:tcPr>
                <w:tbl>
                  <w:tblPr>
                    <w:tblW w:w="4896" w:type="dxa"/>
                    <w:tblInd w:w="0" w:type="dxa"/>
                    <w:tblBorders>
                      <w:top w:val="nil"/>
                      <w:left w:val="nil"/>
                      <w:bottom w:val="nil"/>
                      <w:right w:val="single" w:sz="6" w:space="0" w:color="000000"/>
                    </w:tblBorders>
                    <w:tblLayout w:type="fixed"/>
                    <w:tblCellMar>
                      <w:top w:w="0" w:type="dxa"/>
                      <w:left w:w="0" w:type="dxa"/>
                      <w:bottom w:w="160" w:type="dxa"/>
                      <w:right w:w="160" w:type="dxa"/>
                    </w:tblCellMar>
                    <w:tblLook w:val="0000" w:firstRow="0" w:lastRow="0" w:firstColumn="0" w:lastColumn="0" w:noHBand="0" w:noVBand="0"/>
                  </w:tblPr>
                  <w:tblGrid>
                    <w:gridCol w:w="4896"/>
                  </w:tblGrid>
                  <w:tr>
                    <w:trPr>
                      <w:cantSplit/>
                    </w:trPr>
                    <w:tc>
                      <w:tcPr>
                        <w:tcW w:w="4896" w:type="dxa"/>
                      </w:tcPr>
                      <w:p>
                        <w:pPr>
                          <w:spacing w:before="0" w:after="0" w:line="300" w:lineRule="exact"/>
                          <w:ind w:left="0" w:firstLine="0"/>
                          <w:jc w:val="left"/>
                        </w:pPr>
                        <w:r>
                          <w:t xml:space="preserve">NORTHERN</w:t>
                        </w:r>
                        <w:r>
                          <w:t xml:space="preserve"> </w:t>
                        </w:r>
                        <w:r>
                          <w:t xml:space="preserve">ALASKA</w:t>
                        </w:r>
                        <w:r>
                          <w:t xml:space="preserve"> </w:t>
                        </w:r>
                        <w:r>
                          <w:t xml:space="preserve">ENVIRONMENTAL</w:t>
                        </w:r>
                        <w:r>
                          <w:t xml:space="preserve"> </w:t>
                        </w:r>
                        <w:r>
                          <w:t xml:space="preserve">CENTER,</w:t>
                        </w:r>
                        <w:r>
                          <w:t xml:space="preserve"> </w:t>
                        </w:r>
                        <w:r>
                          <w:t xml:space="preserve">et</w:t>
                        </w:r>
                        <w:r>
                          <w:t xml:space="preserve"> </w:t>
                        </w:r>
                        <w:r>
                          <w:t xml:space="preserve">al.,</w:t>
                        </w:r>
                      </w:p>
                      <w:p>
                        <w:pPr>
                          <w:spacing w:before="120" w:after="0" w:line="300" w:lineRule="exact"/>
                          <w:ind w:left="720" w:firstLine="0"/>
                          <w:jc w:val="left"/>
                        </w:pPr>
                        <w:r>
                          <w:t xml:space="preserve">Plaintiffs,</w:t>
                        </w:r>
                      </w:p>
                      <w:p>
                        <w:pPr>
                          <w:spacing w:before="120" w:after="0" w:line="300" w:lineRule="exact"/>
                          <w:ind w:left="720" w:firstLine="0"/>
                          <w:jc w:val="left"/>
                        </w:pPr>
                        <w:r>
                          <w:t xml:space="preserve">v.</w:t>
                        </w:r>
                      </w:p>
                      <w:p>
                        <w:pPr>
                          <w:spacing w:before="300" w:after="0" w:line="300" w:lineRule="exact"/>
                          <w:ind w:left="0" w:firstLine="0"/>
                          <w:jc w:val="left"/>
                        </w:pPr>
                        <w:r>
                          <w:t xml:space="preserve">DONALD</w:t>
                        </w:r>
                        <w:r>
                          <w:t xml:space="preserve"> </w:t>
                        </w:r>
                        <w:r>
                          <w:t xml:space="preserve">J.</w:t>
                        </w:r>
                        <w:r>
                          <w:t xml:space="preserve"> </w:t>
                        </w:r>
                        <w:r>
                          <w:t xml:space="preserve">TRUMP,</w:t>
                        </w:r>
                        <w:r>
                          <w:t xml:space="preserve"> </w:t>
                        </w:r>
                        <w:r>
                          <w:t xml:space="preserve">President</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et</w:t>
                        </w:r>
                        <w:r>
                          <w:t xml:space="preserve"> </w:t>
                        </w:r>
                        <w:r>
                          <w:t xml:space="preserve">al.,</w:t>
                        </w:r>
                      </w:p>
                      <w:p>
                        <w:pPr>
                          <w:spacing w:before="120" w:after="0" w:line="300" w:lineRule="exact"/>
                          <w:ind w:left="720" w:firstLine="0"/>
                          <w:jc w:val="left"/>
                        </w:pPr>
                        <w:r>
                          <w:t xml:space="preserve">Defendants,</w:t>
                        </w:r>
                      </w:p>
                      <w:p>
                        <w:pPr>
                          <w:spacing w:before="300" w:after="0" w:line="300" w:lineRule="exact"/>
                          <w:ind w:left="0" w:firstLine="0"/>
                          <w:jc w:val="left"/>
                        </w:pPr>
                        <w:r>
                          <w:t xml:space="preserve">and</w:t>
                        </w:r>
                      </w:p>
                      <w:p>
                        <w:pPr>
                          <w:spacing w:before="0" w:after="0" w:line="300" w:lineRule="exact"/>
                          <w:ind w:left="0" w:firstLine="0"/>
                          <w:jc w:val="left"/>
                        </w:pPr>
                        <w:r>
                          <w:t xml:space="preserve">AMERICAN</w:t>
                        </w:r>
                        <w:r>
                          <w:t xml:space="preserve"> </w:t>
                        </w:r>
                        <w:r>
                          <w:t xml:space="preserve">PETROLEUM</w:t>
                        </w:r>
                        <w:r>
                          <w:t xml:space="preserve"> </w:t>
                        </w:r>
                        <w:r>
                          <w:t xml:space="preserve">INSTITUTE,</w:t>
                        </w:r>
                        <w:r>
                          <w:t xml:space="preserve"> </w:t>
                        </w:r>
                        <w:r>
                          <w:t xml:space="preserve">et</w:t>
                        </w:r>
                        <w:r>
                          <w:t xml:space="preserve"> </w:t>
                        </w:r>
                        <w:r>
                          <w:t xml:space="preserve">al.,</w:t>
                        </w:r>
                      </w:p>
                      <w:p>
                        <w:pPr>
                          <w:spacing w:before="120" w:after="0" w:line="300" w:lineRule="exact"/>
                          <w:ind w:left="720" w:firstLine="0"/>
                          <w:jc w:val="left"/>
                        </w:pPr>
                        <w:r>
                          <w:t xml:space="preserve">Intervenor-Defendants.</w:t>
                        </w:r>
                      </w:p>
                    </w:tc>
                  </w:tr>
                </w:tbl>
                <w:p>
                  <w:pPr>
                    <w:spacing w:before="0" w:after="0" w:line="1" w:lineRule="exact"/>
                  </w:pPr>
                </w:p>
              </w:tc>
            </w:tr>
          </w:tbl>
          <w:p>
            <w:pPr>
              <w:spacing w:before="0" w:after="0" w:line="1" w:lineRule="exact"/>
            </w:pPr>
          </w:p>
        </w:tc>
        <w:tc>
          <w:tcPr>
            <w:tcW w:w="4464" w:type="dxa"/>
            <w:tcMar>
              <w:left w:w="160" w:type="dxa"/>
            </w:tcMar>
          </w:tcPr>
          <w:p>
            <w:pPr>
              <w:spacing w:before="0" w:after="0" w:line="300" w:lineRule="exact"/>
              <w:ind w:left="0" w:firstLine="0"/>
              <w:jc w:val="left"/>
            </w:pPr>
            <w:r>
              <w:t xml:space="preserve">No.</w:t>
            </w:r>
            <w:r>
              <w:t xml:space="preserve"> </w:t>
            </w:r>
            <w:r>
              <w:t xml:space="preserve">3:25-cv-⁠00038-SLG</w:t>
            </w:r>
          </w:p>
          <w:p>
            <w:pPr>
              <w:spacing w:before="0" w:after="0" w:line="300" w:lineRule="exact"/>
              <w:ind w:left="0" w:firstLine="0"/>
              <w:jc w:val="left"/>
            </w:pPr>
            <w:r>
              <w:t xml:space="preserve">Honorable</w:t>
            </w:r>
            <w:r>
              <w:t xml:space="preserve"> </w:t>
            </w:r>
            <w:r>
              <w:t xml:space="preserve">Sharon</w:t>
            </w:r>
            <w:r>
              <w:t xml:space="preserve"> </w:t>
            </w:r>
            <w:r>
              <w:t xml:space="preserve">L.</w:t>
            </w:r>
            <w:r>
              <w:t xml:space="preserve"> </w:t>
            </w:r>
            <w:r>
              <w:t xml:space="preserve">Gleason</w:t>
            </w:r>
          </w:p>
        </w:tc>
      </w:tr>
    </w:tbl>
    <w:p>
      <w:pPr>
        <w:spacing w:before="600" w:after="0" w:line="300" w:lineRule="exact"/>
        <w:ind w:left="0" w:firstLine="0"/>
        <w:jc w:val="center"/>
      </w:pPr>
      <w:r>
        <w:rPr>
          <w:b/>
          <w:bCs/>
        </w:rPr>
        <w:t xml:space="preserve">DEFENDANTS’</w:t>
      </w:r>
      <w:r>
        <w:rPr>
          <w:b/>
          <w:bCs/>
        </w:rPr>
        <w:t xml:space="preserve"> </w:t>
      </w: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PLAINTIFFS’</w:t>
      </w:r>
      <w:r>
        <w:rPr>
          <w:b/>
          <w:bCs/>
        </w:rPr>
        <w:t xml:space="preserve"> </w:t>
      </w:r>
      <w:r>
        <w:rPr>
          <w:b/>
          <w:bCs/>
        </w:rPr>
        <w:t xml:space="preserve">SECOND</w:t>
      </w:r>
      <w:r>
        <w:rPr>
          <w:b/>
          <w:bCs/>
        </w:rPr>
        <w:t xml:space="preserve"> </w:t>
      </w:r>
      <w:r>
        <w:rPr>
          <w:b/>
          <w:bCs/>
        </w:rPr>
        <w:t xml:space="preserve">AMENDED</w:t>
      </w:r>
      <w:r>
        <w:rPr>
          <w:b/>
          <w:bCs/>
        </w:rPr>
        <w:t xml:space="preserve"> </w:t>
      </w:r>
      <w:r>
        <w:rPr>
          <w:b/>
          <w:bCs/>
        </w:rPr>
        <w:t xml:space="preserve">COMPLAINT</w:t>
      </w:r>
    </w:p>
    <w:p>
      <w:pPr>
        <w:spacing w:before="0" w:after="0" w:line="300" w:lineRule="exact"/>
        <w:ind w:left="0" w:firstLine="0"/>
        <w:jc w:val="center"/>
      </w:pPr>
      <w:r>
        <w:t xml:space="preserve">(Fed.</w:t>
      </w:r>
      <w:r>
        <w:t xml:space="preserve"> </w:t>
      </w:r>
      <w:r>
        <w:t xml:space="preserve">R.</w:t>
      </w:r>
      <w:r>
        <w:t xml:space="preserve"> </w:t>
      </w:r>
      <w:r>
        <w:t xml:space="preserve">Civ.</w:t>
      </w:r>
      <w:r>
        <w:t xml:space="preserve"> </w:t>
      </w:r>
      <w:r>
        <w:t xml:space="preserve">P.</w:t>
      </w:r>
      <w:r>
        <w:t xml:space="preserve"> </w:t>
      </w:r>
      <w:r>
        <w:t xml:space="preserve">12(b)⁠(1))</w:t>
      </w:r>
    </w:p>
    <w:p>
      <w:pPr>
        <w:spacing w:before="0" w:after="0" w:line="1" w:lineRule="exact"/>
        <w:sectPr>
          <w:footerReference w:type="default" r:id="rIdXdPage"/>
          <w:pgSz w:w="12240" w:h="15840"/>
          <w:pgMar w:top="1440" w:right="1440" w:bottom="1440" w:left="1440" w:header="720" w:footer="420" w:gutter="0"/>
          <w:pgNumType w:fmt="lowerRoman" w:start="1"/>
        </w:sectPr>
      </w:pPr>
    </w:p>
    <w:p>
      <w:pPr>
        <w:keepNext/>
        <w:keepLines/>
        <w:spacing w:before="0" w:after="300" w:line="300"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20" w:after="0" w:line="300" w:lineRule="exact"/>
        <w:ind w:left="720" w:right="720" w:hanging="720"/>
      </w:pPr>
      <w:r>
        <w:t xml:space="preserve">INTRODUCTION</w:t>
      </w:r>
      <w:r>
        <w:t xml:space="preserve">   </w:t>
      </w:r>
      <w:r>
        <w:tab/>
      </w:r>
      <w:r>
        <w:t xml:space="preserve">1</w:t>
      </w:r>
    </w:p>
    <w:p>
      <w:pPr>
        <w:keepLines/>
        <w:tabs>
          <w:tab w:val="right" w:leader="dot" w:pos="9360"/>
        </w:tabs>
        <w:spacing w:before="120" w:after="0" w:line="300" w:lineRule="exact"/>
        <w:ind w:left="720" w:right="720" w:hanging="720"/>
      </w:pPr>
      <w:r>
        <w:t xml:space="preserve">BACKGROUND</w:t>
      </w:r>
      <w:r>
        <w:t xml:space="preserve">   </w:t>
      </w:r>
      <w:r>
        <w:tab/>
      </w:r>
      <w:r>
        <w:t xml:space="preserve">2</w:t>
      </w:r>
    </w:p>
    <w:p>
      <w:pPr>
        <w:keepLines/>
        <w:tabs>
          <w:tab w:val="right" w:leader="dot" w:pos="9360"/>
        </w:tabs>
        <w:spacing w:before="120" w:after="0" w:line="300" w:lineRule="exact"/>
        <w:ind w:left="1440" w:right="720" w:hanging="720"/>
      </w:pPr>
      <w:r>
        <w:t xml:space="preserve">I.</w:t>
      </w:r>
      <w:r>
        <w:tab/>
      </w:r>
      <w:r>
        <w:t xml:space="preserve">The</w:t>
      </w:r>
      <w:r>
        <w:t xml:space="preserve"> </w:t>
      </w:r>
      <w:r>
        <w:t xml:space="preserve">Outer</w:t>
      </w:r>
      <w:r>
        <w:t xml:space="preserve"> </w:t>
      </w:r>
      <w:r>
        <w:t xml:space="preserve">Continental</w:t>
      </w:r>
      <w:r>
        <w:t xml:space="preserve"> </w:t>
      </w:r>
      <w:r>
        <w:t xml:space="preserve">Shelf</w:t>
      </w:r>
      <w:r>
        <w:t xml:space="preserve"> </w:t>
      </w:r>
      <w:r>
        <w:t xml:space="preserve">Lands</w:t>
      </w:r>
      <w:r>
        <w:t xml:space="preserve"> </w:t>
      </w:r>
      <w:r>
        <w:t xml:space="preserve">Act</w:t>
      </w:r>
      <w:r>
        <w:t xml:space="preserve">   </w:t>
      </w:r>
      <w:r>
        <w:tab/>
      </w:r>
      <w:r>
        <w:t xml:space="preserve">2</w:t>
      </w:r>
    </w:p>
    <w:p>
      <w:pPr>
        <w:keepLines/>
        <w:tabs>
          <w:tab w:val="right" w:leader="dot" w:pos="9360"/>
        </w:tabs>
        <w:spacing w:before="120" w:after="0" w:line="300" w:lineRule="exact"/>
        <w:ind w:left="720" w:right="720" w:hanging="720"/>
      </w:pPr>
      <w:r>
        <w:t xml:space="preserve">LEGAL</w:t>
      </w:r>
      <w:r>
        <w:t xml:space="preserve"> </w:t>
      </w:r>
      <w:r>
        <w:t xml:space="preserve">STANDARD</w:t>
      </w:r>
      <w:r>
        <w:t xml:space="preserve"> </w:t>
      </w:r>
      <w:r>
        <w:t xml:space="preserve">FOR</w:t>
      </w:r>
      <w:r>
        <w:t xml:space="preserve"> </w:t>
      </w:r>
      <w:r>
        <w:t xml:space="preserve">A</w:t>
      </w:r>
      <w:r>
        <w:t xml:space="preserve"> </w:t>
      </w:r>
      <w:r>
        <w:t xml:space="preserve">MOTION</w:t>
      </w:r>
      <w:r>
        <w:t xml:space="preserve"> </w:t>
      </w:r>
      <w:r>
        <w:t xml:space="preserve">TO</w:t>
      </w:r>
      <w:r>
        <w:t xml:space="preserve"> </w:t>
      </w:r>
      <w:r>
        <w:t xml:space="preserve">DISMISS</w:t>
      </w:r>
      <w:r>
        <w:t xml:space="preserve">   </w:t>
      </w:r>
      <w:r>
        <w:tab/>
      </w:r>
      <w:r>
        <w:t xml:space="preserve">5</w:t>
      </w:r>
    </w:p>
    <w:p>
      <w:pPr>
        <w:keepLines/>
        <w:tabs>
          <w:tab w:val="right" w:leader="dot" w:pos="9360"/>
        </w:tabs>
        <w:spacing w:before="120" w:after="0" w:line="300" w:lineRule="exact"/>
        <w:ind w:left="720" w:right="720" w:hanging="720"/>
      </w:pPr>
      <w:r>
        <w:t xml:space="preserve">ARGUMENT</w:t>
      </w:r>
      <w:r>
        <w:t xml:space="preserve">   </w:t>
      </w:r>
      <w:r>
        <w:tab/>
      </w:r>
      <w:r>
        <w:t xml:space="preserve">7</w:t>
      </w:r>
    </w:p>
    <w:p>
      <w:pPr>
        <w:keepLines/>
        <w:tabs>
          <w:tab w:val="right" w:leader="dot" w:pos="9360"/>
        </w:tabs>
        <w:spacing w:before="120" w:after="0" w:line="300" w:lineRule="exact"/>
        <w:ind w:left="1440" w:right="720" w:hanging="720"/>
      </w:pPr>
      <w:r>
        <w:t xml:space="preserve">I.</w:t>
      </w:r>
      <w:r>
        <w:tab/>
      </w:r>
      <w:r>
        <w:t xml:space="preserve">Plaintiffs</w:t>
      </w:r>
      <w:r>
        <w:t xml:space="preserve"> </w:t>
      </w:r>
      <w:r>
        <w:t xml:space="preserve">Lack</w:t>
      </w:r>
      <w:r>
        <w:t xml:space="preserve"> </w:t>
      </w:r>
      <w:r>
        <w:t xml:space="preserve">Standing</w:t>
      </w:r>
      <w:r>
        <w:t xml:space="preserve"> </w:t>
      </w:r>
      <w:r>
        <w:t xml:space="preserve">and</w:t>
      </w:r>
      <w:r>
        <w:t xml:space="preserve"> </w:t>
      </w:r>
      <w:r>
        <w:t xml:space="preserve">Their</w:t>
      </w:r>
      <w:r>
        <w:t xml:space="preserve"> </w:t>
      </w:r>
      <w:r>
        <w:t xml:space="preserve">Claims</w:t>
      </w:r>
      <w:r>
        <w:t xml:space="preserve"> </w:t>
      </w:r>
      <w:r>
        <w:t xml:space="preserve">Are</w:t>
      </w:r>
      <w:r>
        <w:t xml:space="preserve"> </w:t>
      </w:r>
      <w:r>
        <w:t xml:space="preserve">Not</w:t>
      </w:r>
      <w:r>
        <w:t xml:space="preserve"> </w:t>
      </w:r>
      <w:r>
        <w:t xml:space="preserve">Ripe</w:t>
      </w:r>
      <w:r>
        <w:t xml:space="preserve">   </w:t>
      </w:r>
      <w:r>
        <w:tab/>
      </w:r>
      <w:r>
        <w:t xml:space="preserve">7</w:t>
      </w:r>
    </w:p>
    <w:p>
      <w:pPr>
        <w:keepLines/>
        <w:tabs>
          <w:tab w:val="right" w:leader="dot" w:pos="9360"/>
        </w:tabs>
        <w:spacing w:before="120" w:after="0" w:line="300" w:lineRule="exact"/>
        <w:ind w:left="2160" w:right="720" w:hanging="720"/>
      </w:pPr>
      <w:r>
        <w:t xml:space="preserve">A.</w:t>
      </w:r>
      <w:r>
        <w:tab/>
      </w:r>
      <w:r>
        <w:t xml:space="preserve">Plaintiffs</w:t>
      </w:r>
      <w:r>
        <w:t xml:space="preserve"> </w:t>
      </w:r>
      <w:r>
        <w:t xml:space="preserve">Have</w:t>
      </w:r>
      <w:r>
        <w:t xml:space="preserve"> </w:t>
      </w:r>
      <w:r>
        <w:t xml:space="preserve">Failed</w:t>
      </w:r>
      <w:r>
        <w:t xml:space="preserve"> </w:t>
      </w:r>
      <w:r>
        <w:t xml:space="preserve">to</w:t>
      </w:r>
      <w:r>
        <w:t xml:space="preserve"> </w:t>
      </w:r>
      <w:r>
        <w:t xml:space="preserve">Demonstrate</w:t>
      </w:r>
      <w:r>
        <w:t xml:space="preserve"> </w:t>
      </w:r>
      <w:r>
        <w:t xml:space="preserve">Standing</w:t>
      </w:r>
      <w:r>
        <w:t xml:space="preserve">   </w:t>
      </w:r>
      <w:r>
        <w:tab/>
      </w:r>
      <w:r>
        <w:t xml:space="preserve">7</w:t>
      </w:r>
    </w:p>
    <w:p>
      <w:pPr>
        <w:keepLines/>
        <w:tabs>
          <w:tab w:val="right" w:leader="dot" w:pos="9360"/>
        </w:tabs>
        <w:spacing w:before="120" w:after="0" w:line="300" w:lineRule="exact"/>
        <w:ind w:left="720" w:right="720" w:hanging="720"/>
      </w:pPr>
      <w:r>
        <w:t xml:space="preserve">CONCLUSION</w:t>
      </w:r>
      <w:r>
        <w:t xml:space="preserve">   </w:t>
      </w:r>
      <w:r>
        <w:tab/>
      </w:r>
      <w:r>
        <w:t xml:space="preserve">8</w:t>
      </w:r>
    </w:p>
    <w:p>
      <w:pPr>
        <w:pageBreakBefore/>
        <w:spacing w:before="0" w:after="0" w:line="1" w:lineRule="exact"/>
      </w:pPr>
    </w:p>
    <w:p>
      <w:pPr>
        <w:keepNext/>
        <w:keepLines/>
        <w:spacing w:before="0" w:after="300" w:line="300"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9360"/>
        </w:tabs>
        <w:spacing w:before="300" w:after="0" w:line="300" w:lineRule="exact"/>
        <w:ind w:left="0" w:firstLine="0"/>
        <w:jc w:val="left"/>
      </w:pPr>
      <w:r>
        <w:rPr>
          <w:b/>
          <w:bCs/>
        </w:rPr>
        <w:t xml:space="preserve">Cases</w:t>
      </w:r>
      <w:r>
        <w:rPr>
          <w:b/>
          <w:bCs/>
        </w:rPr>
        <w:tab/>
      </w:r>
      <w:r>
        <w:rPr>
          <w:b/>
          <w:bCs/>
        </w:rPr>
        <w:t xml:space="preserve">Page(s)</w:t>
      </w:r>
    </w:p>
    <w:p>
      <w:pPr>
        <w:keepLines/>
        <w:tabs>
          <w:tab w:val="right" w:leader="dot" w:pos="9360"/>
        </w:tabs>
        <w:spacing w:before="120" w:after="0" w:line="300" w:lineRule="exact"/>
        <w:ind w:left="504" w:right="1440" w:hanging="504"/>
      </w:pPr>
      <w:r>
        <w:rPr>
          <w:i/>
          <w:iCs/>
        </w:rPr>
        <w:t xml:space="preserve">Bowen</w:t>
      </w:r>
      <w:r>
        <w:rPr>
          <w:i/>
          <w:iCs/>
        </w:rPr>
        <w:t xml:space="preserve"> </w:t>
      </w:r>
      <w:r>
        <w:rPr>
          <w:i/>
          <w:iCs/>
        </w:rPr>
        <w:t xml:space="preserve">v.</w:t>
      </w:r>
      <w:r>
        <w:rPr>
          <w:i/>
          <w:iCs/>
        </w:rPr>
        <w:t xml:space="preserve"> </w:t>
      </w:r>
      <w:r>
        <w:rPr>
          <w:i/>
          <w:iCs/>
        </w:rPr>
        <w:t xml:space="preserve">Energizer</w:t>
      </w:r>
      <w:r>
        <w:rPr>
          <w:i/>
          <w:iCs/>
        </w:rPr>
        <w:t xml:space="preserve"> </w:t>
      </w:r>
      <w:r>
        <w:rPr>
          <w:i/>
          <w:iCs/>
        </w:rPr>
        <w:t xml:space="preserve">Holdings,</w:t>
      </w:r>
      <w:r>
        <w:rPr>
          <w:i/>
          <w:iCs/>
        </w:rPr>
        <w:t xml:space="preserve"> </w:t>
      </w:r>
      <w:r>
        <w:rPr>
          <w:i/>
          <w:iCs/>
        </w:rPr>
        <w:t xml:space="preserve">Inc.</w:t>
      </w:r>
      <w:r>
        <w:t xml:space="preserve">,</w:t>
      </w:r>
      <w:r>
        <w:t xml:space="preserve"> </w:t>
      </w:r>
      <w:r>
        <w:t xml:space="preserve">118</w:t>
      </w:r>
      <w:r>
        <w:t xml:space="preserve"> </w:t>
      </w:r>
      <w:r>
        <w:t xml:space="preserve">F.4th</w:t>
      </w:r>
      <w:r>
        <w:t xml:space="preserve"> </w:t>
      </w:r>
      <w:r>
        <w:t xml:space="preserve">1134</w:t>
      </w:r>
      <w:r>
        <w:t xml:space="preserve"> </w:t>
      </w:r>
      <w:r>
        <w:t xml:space="preserve">(2024)</w:t>
      </w:r>
      <w:r>
        <w:t xml:space="preserve">   </w:t>
      </w:r>
      <w:r>
        <w:tab/>
      </w:r>
      <w:r>
        <w:t xml:space="preserve">7</w:t>
      </w:r>
    </w:p>
    <w:p>
      <w:pPr>
        <w:keepLines/>
        <w:tabs>
          <w:tab w:val="right" w:leader="dot" w:pos="9360"/>
        </w:tabs>
        <w:spacing w:before="120" w:after="0" w:line="300" w:lineRule="exact"/>
        <w:ind w:left="504" w:right="1440" w:hanging="504"/>
      </w:pPr>
      <w:r>
        <w:rPr>
          <w:i/>
          <w:iCs/>
        </w:rPr>
        <w:t xml:space="preserve">Ctr.</w:t>
      </w:r>
      <w:r>
        <w:rPr>
          <w:i/>
          <w:iCs/>
        </w:rPr>
        <w:t xml:space="preserve"> </w:t>
      </w:r>
      <w:r>
        <w:rPr>
          <w:i/>
          <w:iCs/>
        </w:rPr>
        <w:t xml:space="preserve">for</w:t>
      </w:r>
      <w:r>
        <w:rPr>
          <w:i/>
          <w:iCs/>
        </w:rPr>
        <w:t xml:space="preserve"> </w:t>
      </w:r>
      <w:r>
        <w:rPr>
          <w:i/>
          <w:iCs/>
        </w:rPr>
        <w:t xml:space="preserve">Sustainable</w:t>
      </w:r>
      <w:r>
        <w:rPr>
          <w:i/>
          <w:iCs/>
        </w:rPr>
        <w:t xml:space="preserve"> </w:t>
      </w:r>
      <w:r>
        <w:rPr>
          <w:i/>
          <w:iCs/>
        </w:rPr>
        <w:t xml:space="preserve">Econ.</w:t>
      </w:r>
      <w:r>
        <w:rPr>
          <w:i/>
          <w:iCs/>
        </w:rPr>
        <w:t xml:space="preserve"> </w:t>
      </w:r>
      <w:r>
        <w:rPr>
          <w:i/>
          <w:iCs/>
        </w:rPr>
        <w:t xml:space="preserve">v.</w:t>
      </w:r>
      <w:r>
        <w:rPr>
          <w:i/>
          <w:iCs/>
        </w:rPr>
        <w:t xml:space="preserve"> </w:t>
      </w:r>
      <w:r>
        <w:rPr>
          <w:i/>
          <w:iCs/>
        </w:rPr>
        <w:t xml:space="preserve">Jewell</w:t>
      </w:r>
      <w:r>
        <w:t xml:space="preserve">,</w:t>
      </w:r>
      <w:r>
        <w:t xml:space="preserve"> </w:t>
      </w:r>
      <w:r>
        <w:t xml:space="preserve">779</w:t>
      </w:r>
      <w:r>
        <w:t xml:space="preserve"> </w:t>
      </w:r>
      <w:r>
        <w:t xml:space="preserve">F.3d</w:t>
      </w:r>
      <w:r>
        <w:t xml:space="preserve"> </w:t>
      </w:r>
      <w:r>
        <w:t xml:space="preserve">588</w:t>
      </w:r>
      <w:r>
        <w:t xml:space="preserve"> </w:t>
      </w:r>
      <w:r>
        <w:t xml:space="preserve">(D.C.</w:t>
      </w:r>
      <w:r>
        <w:t xml:space="preserve"> </w:t>
      </w:r>
      <w:r>
        <w:t xml:space="preserve">Cir.</w:t>
      </w:r>
      <w:r>
        <w:t xml:space="preserve"> </w:t>
      </w:r>
      <w:r>
        <w:t xml:space="preserve">2015)</w:t>
      </w:r>
      <w:r>
        <w:t xml:space="preserve">   </w:t>
      </w:r>
      <w:r>
        <w:tab/>
      </w:r>
      <w:r>
        <w:t xml:space="preserve">2</w:t>
      </w:r>
    </w:p>
    <w:p>
      <w:pPr>
        <w:keepLines/>
        <w:tabs>
          <w:tab w:val="right" w:leader="dot" w:pos="9360"/>
        </w:tabs>
        <w:spacing w:before="120" w:after="0" w:line="300" w:lineRule="exact"/>
        <w:ind w:left="504" w:right="1440" w:hanging="504"/>
      </w:pPr>
      <w:r>
        <w:rPr>
          <w:i/>
          <w:iCs/>
        </w:rPr>
        <w:t xml:space="preserve">Friends</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Earth</w:t>
      </w:r>
      <w:r>
        <w:rPr>
          <w:i/>
          <w:iCs/>
        </w:rPr>
        <w:t xml:space="preserve"> </w:t>
      </w:r>
      <w:r>
        <w:rPr>
          <w:i/>
          <w:iCs/>
        </w:rPr>
        <w:t xml:space="preserve">v.</w:t>
      </w:r>
      <w:r>
        <w:rPr>
          <w:i/>
          <w:iCs/>
        </w:rPr>
        <w:t xml:space="preserve"> </w:t>
      </w:r>
      <w:r>
        <w:rPr>
          <w:i/>
          <w:iCs/>
        </w:rPr>
        <w:t xml:space="preserve">Sanderson</w:t>
      </w:r>
      <w:r>
        <w:rPr>
          <w:i/>
          <w:iCs/>
        </w:rPr>
        <w:t xml:space="preserve"> </w:t>
      </w:r>
      <w:r>
        <w:rPr>
          <w:i/>
          <w:iCs/>
        </w:rPr>
        <w:t xml:space="preserve">Farms,</w:t>
      </w:r>
      <w:r>
        <w:rPr>
          <w:i/>
          <w:iCs/>
        </w:rPr>
        <w:t xml:space="preserve"> </w:t>
      </w:r>
      <w:r>
        <w:rPr>
          <w:i/>
          <w:iCs/>
        </w:rPr>
        <w:t xml:space="preserve">Inc.</w:t>
      </w:r>
      <w:r>
        <w:t xml:space="preserve">,</w:t>
      </w:r>
      <w:r>
        <w:t xml:space="preserve"> </w:t>
      </w:r>
      <w:r>
        <w:t xml:space="preserve">992</w:t>
      </w:r>
      <w:r>
        <w:t xml:space="preserve"> </w:t>
      </w:r>
      <w:r>
        <w:t xml:space="preserve">F.3d</w:t>
      </w:r>
      <w:r>
        <w:t xml:space="preserve"> </w:t>
      </w:r>
      <w:r>
        <w:t xml:space="preserve">939</w:t>
      </w:r>
      <w:r>
        <w:t xml:space="preserve"> </w:t>
      </w:r>
      <w:r>
        <w:t xml:space="preserve">(9th</w:t>
      </w:r>
      <w:r>
        <w:t xml:space="preserve"> </w:t>
      </w:r>
      <w:r>
        <w:t xml:space="preserve">Cir.</w:t>
      </w:r>
      <w:r>
        <w:t xml:space="preserve"> </w:t>
      </w:r>
      <w:r>
        <w:t xml:space="preserve">2021)</w:t>
      </w:r>
      <w:r>
        <w:t xml:space="preserve">   </w:t>
      </w:r>
      <w:r>
        <w:tab/>
      </w:r>
      <w:r>
        <w:t xml:space="preserve">6</w:t>
      </w:r>
    </w:p>
    <w:p>
      <w:pPr>
        <w:keepLines/>
        <w:tabs>
          <w:tab w:val="right" w:leader="dot" w:pos="9360"/>
        </w:tabs>
        <w:spacing w:before="120" w:after="0" w:line="300" w:lineRule="exact"/>
        <w:ind w:left="504" w:right="1440" w:hanging="504"/>
      </w:pPr>
      <w:r>
        <w:rPr>
          <w:i/>
          <w:iCs/>
        </w:rPr>
        <w:t xml:space="preserve">Leite</w:t>
      </w:r>
      <w:r>
        <w:rPr>
          <w:i/>
          <w:iCs/>
        </w:rPr>
        <w:t xml:space="preserve"> </w:t>
      </w:r>
      <w:r>
        <w:rPr>
          <w:i/>
          <w:iCs/>
        </w:rPr>
        <w:t xml:space="preserve">v.</w:t>
      </w:r>
      <w:r>
        <w:rPr>
          <w:i/>
          <w:iCs/>
        </w:rPr>
        <w:t xml:space="preserve"> </w:t>
      </w:r>
      <w:r>
        <w:rPr>
          <w:i/>
          <w:iCs/>
        </w:rPr>
        <w:t xml:space="preserve">Crane</w:t>
      </w:r>
      <w:r>
        <w:rPr>
          <w:i/>
          <w:iCs/>
        </w:rPr>
        <w:t xml:space="preserve"> </w:t>
      </w:r>
      <w:r>
        <w:rPr>
          <w:i/>
          <w:iCs/>
        </w:rPr>
        <w:t xml:space="preserve">Co.</w:t>
      </w:r>
      <w:r>
        <w:t xml:space="preserve">,</w:t>
      </w:r>
      <w:r>
        <w:t xml:space="preserve"> </w:t>
      </w:r>
      <w:r>
        <w:t xml:space="preserve">749</w:t>
      </w:r>
      <w:r>
        <w:t xml:space="preserve"> </w:t>
      </w:r>
      <w:r>
        <w:t xml:space="preserve">F.3d</w:t>
      </w:r>
      <w:r>
        <w:t xml:space="preserve"> </w:t>
      </w:r>
      <w:r>
        <w:t xml:space="preserve">1117</w:t>
      </w:r>
      <w:r>
        <w:t xml:space="preserve"> </w:t>
      </w:r>
      <w:r>
        <w:t xml:space="preserve">(9th</w:t>
      </w:r>
      <w:r>
        <w:t xml:space="preserve"> </w:t>
      </w:r>
      <w:r>
        <w:t xml:space="preserve">Cir.</w:t>
      </w:r>
      <w:r>
        <w:t xml:space="preserve"> </w:t>
      </w:r>
      <w:r>
        <w:t xml:space="preserve">2014)</w:t>
      </w:r>
      <w:r>
        <w:t xml:space="preserve">   </w:t>
      </w:r>
      <w:r>
        <w:tab/>
      </w:r>
      <w:r>
        <w:t xml:space="preserve">6</w:t>
      </w:r>
    </w:p>
    <w:p>
      <w:pPr>
        <w:keepLines/>
        <w:tabs>
          <w:tab w:val="right" w:leader="dot" w:pos="9360"/>
        </w:tabs>
        <w:spacing w:before="120" w:after="0" w:line="300" w:lineRule="exact"/>
        <w:ind w:left="504" w:right="1440" w:hanging="504"/>
      </w:pPr>
      <w:r>
        <w:rPr>
          <w:i/>
          <w:iCs/>
        </w:rPr>
        <w:t xml:space="preserve">McCarthy</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850</w:t>
      </w:r>
      <w:r>
        <w:t xml:space="preserve"> </w:t>
      </w:r>
      <w:r>
        <w:t xml:space="preserve">F.2d</w:t>
      </w:r>
      <w:r>
        <w:t xml:space="preserve"> </w:t>
      </w:r>
      <w:r>
        <w:t xml:space="preserve">558</w:t>
      </w:r>
      <w:r>
        <w:t xml:space="preserve"> </w:t>
      </w:r>
      <w:r>
        <w:t xml:space="preserve">(9th</w:t>
      </w:r>
      <w:r>
        <w:t xml:space="preserve"> </w:t>
      </w:r>
      <w:r>
        <w:t xml:space="preserve">Cir.</w:t>
      </w:r>
      <w:r>
        <w:t xml:space="preserve"> </w:t>
      </w:r>
      <w:r>
        <w:t xml:space="preserve">1988)</w:t>
      </w:r>
      <w:r>
        <w:t xml:space="preserve">   </w:t>
      </w:r>
      <w:r>
        <w:tab/>
      </w:r>
      <w:r>
        <w:t xml:space="preserve">6</w:t>
      </w:r>
    </w:p>
    <w:p>
      <w:pPr>
        <w:keepLines/>
        <w:tabs>
          <w:tab w:val="right" w:leader="dot" w:pos="9360"/>
        </w:tabs>
        <w:spacing w:before="120" w:after="0" w:line="300" w:lineRule="exact"/>
        <w:ind w:left="504" w:right="1440" w:hanging="504"/>
      </w:pPr>
      <w:r>
        <w:rPr>
          <w:i/>
          <w:iCs/>
        </w:rPr>
        <w:t xml:space="preserve">Native</w:t>
      </w:r>
      <w:r>
        <w:rPr>
          <w:i/>
          <w:iCs/>
        </w:rPr>
        <w:t xml:space="preserve"> </w:t>
      </w:r>
      <w:r>
        <w:rPr>
          <w:i/>
          <w:iCs/>
        </w:rPr>
        <w:t xml:space="preserve">Village</w:t>
      </w:r>
      <w:r>
        <w:rPr>
          <w:i/>
          <w:iCs/>
        </w:rPr>
        <w:t xml:space="preserve"> </w:t>
      </w:r>
      <w:r>
        <w:rPr>
          <w:i/>
          <w:iCs/>
        </w:rPr>
        <w:t xml:space="preserve">of</w:t>
      </w:r>
      <w:r>
        <w:rPr>
          <w:i/>
          <w:iCs/>
        </w:rPr>
        <w:t xml:space="preserve"> </w:t>
      </w:r>
      <w:r>
        <w:rPr>
          <w:i/>
          <w:iCs/>
        </w:rPr>
        <w:t xml:space="preserve">Point</w:t>
      </w:r>
      <w:r>
        <w:rPr>
          <w:i/>
          <w:iCs/>
        </w:rPr>
        <w:t xml:space="preserve"> </w:t>
      </w:r>
      <w:r>
        <w:rPr>
          <w:i/>
          <w:iCs/>
        </w:rPr>
        <w:t xml:space="preserve">Hope</w:t>
      </w:r>
      <w:r>
        <w:rPr>
          <w:i/>
          <w:iCs/>
        </w:rPr>
        <w:t xml:space="preserve"> </w:t>
      </w:r>
      <w:r>
        <w:rPr>
          <w:i/>
          <w:iCs/>
        </w:rPr>
        <w:t xml:space="preserve">v.</w:t>
      </w:r>
      <w:r>
        <w:rPr>
          <w:i/>
          <w:iCs/>
        </w:rPr>
        <w:t xml:space="preserve"> </w:t>
      </w:r>
      <w:r>
        <w:rPr>
          <w:i/>
          <w:iCs/>
        </w:rPr>
        <w:t xml:space="preserve">Jewell</w:t>
      </w:r>
      <w:r>
        <w:t xml:space="preserve">,</w:t>
      </w:r>
      <w:r>
        <w:t xml:space="preserve"> </w:t>
      </w:r>
      <w:r>
        <w:t xml:space="preserve">740</w:t>
      </w:r>
      <w:r>
        <w:t xml:space="preserve"> </w:t>
      </w:r>
      <w:r>
        <w:t xml:space="preserve">F.3d</w:t>
      </w:r>
      <w:r>
        <w:t xml:space="preserve"> </w:t>
      </w:r>
      <w:r>
        <w:t xml:space="preserve">489</w:t>
      </w:r>
      <w:r>
        <w:t xml:space="preserve"> </w:t>
      </w:r>
      <w:r>
        <w:t xml:space="preserve">(9th</w:t>
      </w:r>
      <w:r>
        <w:t xml:space="preserve"> </w:t>
      </w:r>
      <w:r>
        <w:t xml:space="preserve">Cir.</w:t>
      </w:r>
      <w:r>
        <w:t xml:space="preserve"> </w:t>
      </w:r>
      <w:r>
        <w:t xml:space="preserve">2014)</w:t>
      </w:r>
      <w:r>
        <w:t xml:space="preserve">   </w:t>
      </w:r>
      <w:r>
        <w:tab/>
      </w:r>
      <w:r>
        <w:t xml:space="preserve">4</w:t>
      </w:r>
    </w:p>
    <w:p>
      <w:pPr>
        <w:keepLines/>
        <w:tabs>
          <w:tab w:val="right" w:leader="dot" w:pos="9360"/>
        </w:tabs>
        <w:spacing w:before="120" w:after="0" w:line="300" w:lineRule="exact"/>
        <w:ind w:left="504" w:right="1440" w:hanging="504"/>
      </w:pPr>
      <w:r>
        <w:rPr>
          <w:i/>
          <w:iCs/>
        </w:rPr>
        <w:t xml:space="preserve">Pacific</w:t>
      </w:r>
      <w:r>
        <w:rPr>
          <w:i/>
          <w:iCs/>
        </w:rPr>
        <w:t xml:space="preserve"> </w:t>
      </w:r>
      <w:r>
        <w:rPr>
          <w:i/>
          <w:iCs/>
        </w:rPr>
        <w:t xml:space="preserve">Operators</w:t>
      </w:r>
      <w:r>
        <w:rPr>
          <w:i/>
          <w:iCs/>
        </w:rPr>
        <w:t xml:space="preserve"> </w:t>
      </w:r>
      <w:r>
        <w:rPr>
          <w:i/>
          <w:iCs/>
        </w:rPr>
        <w:t xml:space="preserve">Offshore,</w:t>
      </w:r>
      <w:r>
        <w:rPr>
          <w:i/>
          <w:iCs/>
        </w:rPr>
        <w:t xml:space="preserve"> </w:t>
      </w:r>
      <w:r>
        <w:rPr>
          <w:i/>
          <w:iCs/>
        </w:rPr>
        <w:t xml:space="preserve">LLP</w:t>
      </w:r>
      <w:r>
        <w:rPr>
          <w:i/>
          <w:iCs/>
        </w:rPr>
        <w:t xml:space="preserve"> </w:t>
      </w:r>
      <w:r>
        <w:rPr>
          <w:i/>
          <w:iCs/>
        </w:rPr>
        <w:t xml:space="preserve">v.</w:t>
      </w:r>
      <w:r>
        <w:rPr>
          <w:i/>
          <w:iCs/>
        </w:rPr>
        <w:t xml:space="preserve"> </w:t>
      </w:r>
      <w:r>
        <w:rPr>
          <w:i/>
          <w:iCs/>
        </w:rPr>
        <w:t xml:space="preserve">Valladolid</w:t>
      </w:r>
      <w:r>
        <w:t xml:space="preserve">,</w:t>
      </w:r>
      <w:r>
        <w:t xml:space="preserve"> </w:t>
      </w:r>
      <w:r>
        <w:t xml:space="preserve">132</w:t>
      </w:r>
      <w:r>
        <w:t xml:space="preserve"> </w:t>
      </w:r>
      <w:r>
        <w:t xml:space="preserve">S.</w:t>
      </w:r>
      <w:r>
        <w:t xml:space="preserve"> </w:t>
      </w:r>
      <w:r>
        <w:t xml:space="preserve">Ct.</w:t>
      </w:r>
      <w:r>
        <w:t xml:space="preserve"> </w:t>
      </w:r>
      <w:r>
        <w:t xml:space="preserve">680</w:t>
      </w:r>
      <w:r>
        <w:t xml:space="preserve"> </w:t>
      </w:r>
      <w:r>
        <w:t xml:space="preserve">(2012)</w:t>
      </w:r>
      <w:r>
        <w:t xml:space="preserve">   </w:t>
      </w:r>
      <w:r>
        <w:tab/>
      </w:r>
      <w:r>
        <w:t xml:space="preserve">2</w:t>
      </w:r>
    </w:p>
    <w:p>
      <w:pPr>
        <w:keepLines/>
        <w:tabs>
          <w:tab w:val="right" w:leader="dot" w:pos="9360"/>
        </w:tabs>
        <w:spacing w:before="120" w:after="0" w:line="300" w:lineRule="exact"/>
        <w:ind w:left="504" w:right="1440" w:hanging="504"/>
      </w:pPr>
      <w:r>
        <w:rPr>
          <w:i/>
          <w:iCs/>
        </w:rPr>
        <w:t xml:space="preserve">Summers</w:t>
      </w:r>
      <w:r>
        <w:rPr>
          <w:i/>
          <w:iCs/>
        </w:rPr>
        <w:t xml:space="preserve"> </w:t>
      </w:r>
      <w:r>
        <w:rPr>
          <w:i/>
          <w:iCs/>
        </w:rPr>
        <w:t xml:space="preserve">v.</w:t>
      </w:r>
      <w:r>
        <w:rPr>
          <w:i/>
          <w:iCs/>
        </w:rPr>
        <w:t xml:space="preserve"> </w:t>
      </w:r>
      <w:r>
        <w:rPr>
          <w:i/>
          <w:iCs/>
        </w:rPr>
        <w:t xml:space="preserve">Earth</w:t>
      </w:r>
      <w:r>
        <w:rPr>
          <w:i/>
          <w:iCs/>
        </w:rPr>
        <w:t xml:space="preserve"> </w:t>
      </w:r>
      <w:r>
        <w:rPr>
          <w:i/>
          <w:iCs/>
        </w:rPr>
        <w:t xml:space="preserve">Island</w:t>
      </w:r>
      <w:r>
        <w:rPr>
          <w:i/>
          <w:iCs/>
        </w:rPr>
        <w:t xml:space="preserve"> </w:t>
      </w:r>
      <w:r>
        <w:rPr>
          <w:i/>
          <w:iCs/>
        </w:rPr>
        <w:t xml:space="preserve">Inst.</w:t>
      </w:r>
      <w:r>
        <w:t xml:space="preserve">,</w:t>
      </w:r>
      <w:r>
        <w:t xml:space="preserve"> </w:t>
      </w:r>
      <w:r>
        <w:t xml:space="preserve">555</w:t>
      </w:r>
      <w:r>
        <w:t xml:space="preserve"> </w:t>
      </w:r>
      <w:r>
        <w:t xml:space="preserve">U.S.</w:t>
      </w:r>
      <w:r>
        <w:t xml:space="preserve"> </w:t>
      </w:r>
      <w:r>
        <w:t xml:space="preserve">488</w:t>
      </w:r>
      <w:r>
        <w:t xml:space="preserve"> </w:t>
      </w:r>
      <w:r>
        <w:t xml:space="preserve">(2009)</w:t>
      </w:r>
      <w:r>
        <w:t xml:space="preserve">   </w:t>
      </w:r>
      <w:r>
        <w:tab/>
      </w:r>
      <w:r>
        <w:t xml:space="preserve">7</w:t>
      </w:r>
    </w:p>
    <w:p>
      <w:pPr>
        <w:keepLines/>
        <w:tabs>
          <w:tab w:val="right" w:leader="dot" w:pos="9360"/>
        </w:tabs>
        <w:spacing w:before="120" w:after="0" w:line="300" w:lineRule="exact"/>
        <w:ind w:left="504" w:right="1440" w:hanging="504"/>
      </w:pPr>
      <w:r>
        <w:rPr>
          <w:i/>
          <w:iCs/>
        </w:rPr>
        <w:t xml:space="preserve">Thornhill</w:t>
      </w:r>
      <w:r>
        <w:rPr>
          <w:i/>
          <w:iCs/>
        </w:rPr>
        <w:t xml:space="preserve"> </w:t>
      </w:r>
      <w:r>
        <w:rPr>
          <w:i/>
          <w:iCs/>
        </w:rPr>
        <w:t xml:space="preserve">Pub.</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Gen.</w:t>
      </w:r>
      <w:r>
        <w:rPr>
          <w:i/>
          <w:iCs/>
        </w:rPr>
        <w:t xml:space="preserve"> </w:t>
      </w:r>
      <w:r>
        <w:rPr>
          <w:i/>
          <w:iCs/>
        </w:rPr>
        <w:t xml:space="preserve">Tel.</w:t>
      </w:r>
      <w:r>
        <w:rPr>
          <w:i/>
          <w:iCs/>
        </w:rPr>
        <w:t xml:space="preserve"> </w:t>
      </w:r>
      <w:r>
        <w:rPr>
          <w:i/>
          <w:iCs/>
        </w:rPr>
        <w:t xml:space="preserve">&amp;</w:t>
      </w:r>
      <w:r>
        <w:rPr>
          <w:i/>
          <w:iCs/>
        </w:rPr>
        <w:t xml:space="preserve"> </w:t>
      </w:r>
      <w:r>
        <w:rPr>
          <w:i/>
          <w:iCs/>
        </w:rPr>
        <w:t xml:space="preserve">Elecs.</w:t>
      </w:r>
      <w:r>
        <w:rPr>
          <w:i/>
          <w:iCs/>
        </w:rPr>
        <w:t xml:space="preserve"> </w:t>
      </w:r>
      <w:r>
        <w:rPr>
          <w:i/>
          <w:iCs/>
        </w:rPr>
        <w:t xml:space="preserve">Corp.</w:t>
      </w:r>
      <w:r>
        <w:t xml:space="preserve">,</w:t>
      </w:r>
      <w:r>
        <w:t xml:space="preserve"> </w:t>
      </w:r>
      <w:r>
        <w:t xml:space="preserve">594</w:t>
      </w:r>
      <w:r>
        <w:t xml:space="preserve"> </w:t>
      </w:r>
      <w:r>
        <w:t xml:space="preserve">F.2d</w:t>
      </w:r>
      <w:r>
        <w:t xml:space="preserve"> </w:t>
      </w:r>
      <w:r>
        <w:t xml:space="preserve">730</w:t>
      </w:r>
      <w:r>
        <w:t xml:space="preserve"> </w:t>
      </w:r>
      <w:r>
        <w:t xml:space="preserve">(9th</w:t>
      </w:r>
      <w:r>
        <w:t xml:space="preserve"> </w:t>
      </w:r>
      <w:r>
        <w:t xml:space="preserve">Cir.</w:t>
      </w:r>
      <w:r>
        <w:t xml:space="preserve"> </w:t>
      </w:r>
      <w:r>
        <w:t xml:space="preserve">1979)</w:t>
      </w:r>
      <w:r>
        <w:t xml:space="preserve">   </w:t>
      </w:r>
      <w:r>
        <w:tab/>
      </w:r>
      <w:r>
        <w:t xml:space="preserve">6</w:t>
      </w:r>
    </w:p>
    <w:p>
      <w:pPr>
        <w:keepLines/>
        <w:tabs>
          <w:tab w:val="right" w:leader="dot" w:pos="9360"/>
        </w:tabs>
        <w:spacing w:before="120" w:after="0" w:line="300" w:lineRule="exact"/>
        <w:ind w:left="504" w:right="144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Florida</w:t>
      </w:r>
      <w:r>
        <w:t xml:space="preserve">,</w:t>
      </w:r>
      <w:r>
        <w:t xml:space="preserve"> </w:t>
      </w:r>
      <w:r>
        <w:t xml:space="preserve">363</w:t>
      </w:r>
      <w:r>
        <w:t xml:space="preserve"> </w:t>
      </w:r>
      <w:r>
        <w:t xml:space="preserve">U.S.</w:t>
      </w:r>
      <w:r>
        <w:t xml:space="preserve"> </w:t>
      </w:r>
      <w:r>
        <w:t xml:space="preserve">121</w:t>
      </w:r>
      <w:r>
        <w:t xml:space="preserve"> </w:t>
      </w:r>
      <w:r>
        <w:t xml:space="preserve">(1960)</w:t>
      </w:r>
      <w:r>
        <w:t xml:space="preserve">   </w:t>
      </w:r>
      <w:r>
        <w:tab/>
      </w:r>
      <w:r>
        <w:t xml:space="preserve">3</w:t>
      </w:r>
    </w:p>
    <w:p>
      <w:pPr>
        <w:keepLines/>
        <w:tabs>
          <w:tab w:val="right" w:leader="dot" w:pos="9360"/>
        </w:tabs>
        <w:spacing w:before="120" w:after="0" w:line="300" w:lineRule="exact"/>
        <w:ind w:left="504" w:right="144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Louisiana</w:t>
      </w:r>
      <w:r>
        <w:t xml:space="preserve">,</w:t>
      </w:r>
      <w:r>
        <w:t xml:space="preserve"> </w:t>
      </w:r>
      <w:r>
        <w:t xml:space="preserve">363</w:t>
      </w:r>
      <w:r>
        <w:t xml:space="preserve"> </w:t>
      </w:r>
      <w:r>
        <w:t xml:space="preserve">U.S.</w:t>
      </w:r>
      <w:r>
        <w:t xml:space="preserve"> </w:t>
      </w:r>
      <w:r>
        <w:t xml:space="preserve">1</w:t>
      </w:r>
      <w:r>
        <w:t xml:space="preserve"> </w:t>
      </w:r>
      <w:r>
        <w:t xml:space="preserve">(1960)</w:t>
      </w:r>
      <w:r>
        <w:t xml:space="preserve">   </w:t>
      </w:r>
      <w:r>
        <w:tab/>
      </w:r>
      <w:r>
        <w:t xml:space="preserve">3</w:t>
      </w:r>
    </w:p>
    <w:p>
      <w:pPr>
        <w:keepNext/>
        <w:keepLines/>
        <w:spacing w:before="300" w:after="0" w:line="300" w:lineRule="exact"/>
        <w:ind w:left="0" w:firstLine="0"/>
        <w:jc w:val="left"/>
      </w:pPr>
      <w:r>
        <w:rPr>
          <w:b/>
          <w:bCs/>
        </w:rPr>
        <w:t xml:space="preserve">Statutes</w:t>
      </w:r>
    </w:p>
    <w:p>
      <w:pPr>
        <w:keepLines/>
        <w:tabs>
          <w:tab w:val="right" w:leader="dot" w:pos="9360"/>
        </w:tabs>
        <w:spacing w:before="120" w:after="0" w:line="300" w:lineRule="exact"/>
        <w:ind w:left="504" w:right="1440" w:hanging="504"/>
      </w:pPr>
      <w:r>
        <w:t xml:space="preserve">43</w:t>
      </w:r>
      <w:r>
        <w:t xml:space="preserve"> </w:t>
      </w:r>
      <w:r>
        <w:t xml:space="preserve">U.S.C.</w:t>
      </w:r>
      <w:r>
        <w:t xml:space="preserve"> </w:t>
      </w:r>
      <w:r>
        <w:t xml:space="preserve">§</w:t>
      </w:r>
      <w:r>
        <w:t xml:space="preserve"> </w:t>
      </w:r>
      <w:r>
        <w:t xml:space="preserve">1312</w:t>
      </w:r>
      <w:r>
        <w:t xml:space="preserve">   </w:t>
      </w:r>
      <w:r>
        <w:tab/>
      </w:r>
      <w:r>
        <w:t xml:space="preserve">3</w:t>
      </w:r>
    </w:p>
    <w:p>
      <w:pPr>
        <w:keepLines/>
        <w:tabs>
          <w:tab w:val="right" w:leader="dot" w:pos="9360"/>
        </w:tabs>
        <w:spacing w:before="120" w:after="0" w:line="300" w:lineRule="exact"/>
        <w:ind w:left="504" w:right="1440" w:hanging="504"/>
      </w:pPr>
      <w:r>
        <w:t xml:space="preserve">43</w:t>
      </w:r>
      <w:r>
        <w:t xml:space="preserve"> </w:t>
      </w:r>
      <w:r>
        <w:t xml:space="preserve">U.S.C.</w:t>
      </w:r>
      <w:r>
        <w:t xml:space="preserve"> </w:t>
      </w:r>
      <w:r>
        <w:t xml:space="preserve">§</w:t>
      </w:r>
      <w:r>
        <w:t xml:space="preserve"> </w:t>
      </w:r>
      <w:r>
        <w:t xml:space="preserve">1331(a)</w:t>
      </w:r>
      <w:r>
        <w:t xml:space="preserve">   </w:t>
      </w:r>
      <w:r>
        <w:tab/>
      </w:r>
      <w:r>
        <w:t xml:space="preserve">2</w:t>
      </w:r>
    </w:p>
    <w:p>
      <w:pPr>
        <w:keepLines/>
        <w:tabs>
          <w:tab w:val="right" w:leader="dot" w:pos="9360"/>
        </w:tabs>
        <w:spacing w:before="120" w:after="0" w:line="300" w:lineRule="exact"/>
        <w:ind w:left="504" w:right="1440" w:hanging="504"/>
      </w:pPr>
      <w:r>
        <w:t xml:space="preserve">43</w:t>
      </w:r>
      <w:r>
        <w:t xml:space="preserve"> </w:t>
      </w:r>
      <w:r>
        <w:t xml:space="preserve">U.S.C.</w:t>
      </w:r>
      <w:r>
        <w:t xml:space="preserve"> </w:t>
      </w:r>
      <w:r>
        <w:t xml:space="preserve">§</w:t>
      </w:r>
      <w:r>
        <w:t xml:space="preserve"> </w:t>
      </w:r>
      <w:r>
        <w:t xml:space="preserve">1341(a)</w:t>
      </w:r>
      <w:r>
        <w:t xml:space="preserve">   </w:t>
      </w:r>
      <w:r>
        <w:tab/>
      </w:r>
      <w:r>
        <w:t xml:space="preserve">5</w:t>
      </w:r>
    </w:p>
    <w:p>
      <w:pPr>
        <w:keepLines/>
        <w:tabs>
          <w:tab w:val="right" w:leader="dot" w:pos="9360"/>
        </w:tabs>
        <w:spacing w:before="120" w:after="0" w:line="300" w:lineRule="exact"/>
        <w:ind w:left="504" w:right="1440" w:hanging="504"/>
      </w:pPr>
      <w:r>
        <w:t xml:space="preserve">43</w:t>
      </w:r>
      <w:r>
        <w:t xml:space="preserve"> </w:t>
      </w:r>
      <w:r>
        <w:t xml:space="preserve">U.S.C.</w:t>
      </w:r>
      <w:r>
        <w:t xml:space="preserve"> </w:t>
      </w:r>
      <w:r>
        <w:t xml:space="preserve">§</w:t>
      </w:r>
      <w:r>
        <w:t xml:space="preserve"> </w:t>
      </w:r>
      <w:r>
        <w:t xml:space="preserve">1344</w:t>
      </w:r>
      <w:r>
        <w:t xml:space="preserve">   </w:t>
      </w:r>
      <w:r>
        <w:tab/>
      </w:r>
      <w:r>
        <w:t xml:space="preserve">4</w:t>
      </w:r>
    </w:p>
    <w:p>
      <w:pPr>
        <w:keepNext/>
        <w:keepLines/>
        <w:spacing w:before="300" w:after="0" w:line="300" w:lineRule="exact"/>
        <w:ind w:left="0" w:firstLine="0"/>
        <w:jc w:val="left"/>
      </w:pPr>
      <w:r>
        <w:rPr>
          <w:b/>
          <w:bCs/>
        </w:rPr>
        <w:t xml:space="preserve">Rules</w:t>
      </w:r>
    </w:p>
    <w:p>
      <w:pPr>
        <w:keepLines/>
        <w:tabs>
          <w:tab w:val="right" w:leader="dot" w:pos="9360"/>
        </w:tabs>
        <w:spacing w:before="120" w:after="0" w:line="300" w:lineRule="exact"/>
        <w:ind w:left="504" w:right="1440" w:hanging="504"/>
      </w:pPr>
      <w:r>
        <w:t xml:space="preserve">Fed.</w:t>
      </w:r>
      <w:r>
        <w:t xml:space="preserve"> </w:t>
      </w:r>
      <w:r>
        <w:t xml:space="preserve">R.</w:t>
      </w:r>
      <w:r>
        <w:t xml:space="preserve"> </w:t>
      </w:r>
      <w:r>
        <w:t xml:space="preserve">Civ.</w:t>
      </w:r>
      <w:r>
        <w:t xml:space="preserve"> </w:t>
      </w:r>
      <w:r>
        <w:t xml:space="preserve">P.</w:t>
      </w:r>
      <w:r>
        <w:t xml:space="preserve"> </w:t>
      </w:r>
      <w:r>
        <w:t xml:space="preserve">12(b)⁠(1)</w:t>
      </w:r>
      <w:r>
        <w:t xml:space="preserve">   </w:t>
      </w:r>
      <w:r>
        <w:tab/>
      </w:r>
      <w:r>
        <w:t xml:space="preserve">5</w:t>
      </w:r>
    </w:p>
    <w:p>
      <w:pPr>
        <w:keepNext/>
        <w:keepLines/>
        <w:spacing w:before="300" w:after="0" w:line="300" w:lineRule="exact"/>
        <w:ind w:left="0" w:firstLine="0"/>
        <w:jc w:val="left"/>
      </w:pPr>
      <w:r>
        <w:rPr>
          <w:b/>
          <w:bCs/>
        </w:rPr>
        <w:t xml:space="preserve">Regulations</w:t>
      </w:r>
    </w:p>
    <w:p>
      <w:pPr>
        <w:keepLines/>
        <w:tabs>
          <w:tab w:val="right" w:leader="dot" w:pos="9360"/>
        </w:tabs>
        <w:spacing w:before="120" w:after="0" w:line="300" w:lineRule="exact"/>
        <w:ind w:left="504" w:right="1440" w:hanging="504"/>
      </w:pPr>
      <w:r>
        <w:t xml:space="preserve">30</w:t>
      </w:r>
      <w:r>
        <w:t xml:space="preserve"> </w:t>
      </w:r>
      <w:r>
        <w:t xml:space="preserve">C.F.R.</w:t>
      </w:r>
      <w:r>
        <w:t xml:space="preserve"> </w:t>
      </w:r>
      <w:r>
        <w:t xml:space="preserve">pt.</w:t>
      </w:r>
      <w:r>
        <w:t xml:space="preserve"> </w:t>
      </w:r>
      <w:r>
        <w:t xml:space="preserve">551</w:t>
      </w:r>
      <w:r>
        <w:t xml:space="preserve">   </w:t>
      </w:r>
      <w:r>
        <w:tab/>
      </w:r>
      <w:r>
        <w:t xml:space="preserve">5</w:t>
      </w:r>
    </w:p>
    <w:p>
      <w:pPr>
        <w:keepLines/>
        <w:tabs>
          <w:tab w:val="right" w:leader="dot" w:pos="9360"/>
        </w:tabs>
        <w:spacing w:before="120" w:after="0" w:line="300" w:lineRule="exact"/>
        <w:ind w:left="504" w:right="1440" w:hanging="504"/>
      </w:pPr>
      <w:r>
        <w:t xml:space="preserve">Proclamation</w:t>
      </w:r>
      <w:r>
        <w:t xml:space="preserve"> </w:t>
      </w:r>
      <w:r>
        <w:t xml:space="preserve">No.</w:t>
      </w:r>
      <w:r>
        <w:t xml:space="preserve"> </w:t>
      </w:r>
      <w:r>
        <w:t xml:space="preserve">2667,</w:t>
      </w:r>
      <w:r>
        <w:t xml:space="preserve"> </w:t>
      </w:r>
      <w:r>
        <w:t xml:space="preserve">10</w:t>
      </w:r>
      <w:r>
        <w:t xml:space="preserve"> </w:t>
      </w:r>
      <w:r>
        <w:t xml:space="preserve">Fed.</w:t>
      </w:r>
      <w:r>
        <w:t xml:space="preserve"> </w:t>
      </w:r>
      <w:r>
        <w:t xml:space="preserve">Reg.</w:t>
      </w:r>
      <w:r>
        <w:t xml:space="preserve"> </w:t>
      </w:r>
      <w:r>
        <w:t xml:space="preserve">12,303</w:t>
      </w:r>
      <w:r>
        <w:t xml:space="preserve"> </w:t>
      </w:r>
      <w:r>
        <w:t xml:space="preserve">(Sept.</w:t>
      </w:r>
      <w:r>
        <w:t xml:space="preserve"> </w:t>
      </w:r>
      <w:r>
        <w:t xml:space="preserve">28,</w:t>
      </w:r>
      <w:r>
        <w:t xml:space="preserve"> </w:t>
      </w:r>
      <w:r>
        <w:t xml:space="preserve">1945)</w:t>
      </w:r>
      <w:r>
        <w:t xml:space="preserve">   </w:t>
      </w:r>
      <w:r>
        <w:tab/>
      </w:r>
      <w:r>
        <w:t xml:space="preserve">3</w:t>
      </w:r>
    </w:p>
    <w:p>
      <w:pPr>
        <w:spacing w:before="0" w:after="0" w:line="1" w:lineRule="exact"/>
        <w:sectPr>
          <w:footerReference w:type="default" r:id="rIdXdPage"/>
          <w:pgSz w:w="12240" w:h="15840"/>
          <w:pgMar w:top="1440" w:right="1440" w:bottom="1440" w:left="1440" w:header="720" w:footer="420" w:gutter="0"/>
          <w:pgNumType w:fmt="lowerRoman"/>
        </w:sectPr>
      </w:pPr>
    </w:p>
    <w:p>
      <w:pPr>
        <w:keepNext/>
        <w:keepLines/>
        <w:spacing w:before="0" w:after="300" w:line="300" w:lineRule="exact"/>
        <w:ind w:left="0" w:firstLine="0"/>
        <w:jc w:val="center"/>
      </w:pPr>
      <w:r>
        <w:rPr>
          <w:b/>
          <w:bCs/>
        </w:rPr>
        <w:t xml:space="preserve">INTRODUCTION</w:t>
      </w:r>
    </w:p>
    <w:p>
      <w:pPr>
        <w:pStyle w:val="BodyText"/>
      </w:pPr>
      <w:r>
        <w:t xml:space="preserve">Plaintiffs’ Second Amended Complaint (</w:t>
      </w:r>
      <w:r>
        <w:t xml:space="preserve">“Complaint”</w:t>
      </w:r>
      <w:r>
        <w:t xml:space="preserve">) should be dismissed for lack of jurisdiction. In January 2025, just prior to the change in administration, former President Biden issued sweeping memoranda withdrawing large areas of the Arctic, Atlantic and Pacific Oceans, and the Gulf of America from oil and gas leasing. Upon taking office, President Trump decided to reverse those actions, returning those areas to the status they had occupied just two weeks before. Plaintiffs claim that it was unlawful for President Trump to reverse the withdrawals and that only Congress can do so. Plaintiffs are wrong on the merits, but the case should not get to that stage because their Complaint fails on multiple jurisdictional grounds.</w:t>
      </w:r>
    </w:p>
    <w:p>
      <w:pPr>
        <w:pStyle w:val="BodyText"/>
      </w:pPr>
      <w:r>
        <w:t xml:space="preserve">It is a basic prerequisite to bringing a lawsuit that a plaintiff must establish an actual case or controversy under Article III of the Constitution. Plaintiffs fail this requirement because they have not pled any harms resulting from President Trump’s decision to rescind the withdrawals. The Complaint generally describes impacts that could occur from oil and gas exploration and development, but lacks any allegation that such impacts are actually occurring or will imminently occur. Therefore, Plaintiffs lack standing. For similar reasons, Plaintiffs’ claims are not ripe—they have not shown that their interests are affected by any oil and gas activities caused by President Trump’s reversal. To the contrary, numerous steps remain before their interests could be affected under the multi-stage leasing and development process set out in the Outer Continental Shelf Lands Act (</w:t>
      </w:r>
      <w:r>
        <w:t xml:space="preserve">“OCSLA”</w:t>
      </w:r>
      <w:r>
        <w:t xml:space="preserve">).</w:t>
      </w:r>
    </w:p>
    <w:p>
      <w:pPr>
        <w:pStyle w:val="BodyText"/>
      </w:pPr>
      <w:r>
        <w:t xml:space="preserve">Plaintiffs’ claims against the President must also be dismissed because they are barred by sovereign immunity. The waiver of sovereign immunity in the Administrative Procedure Act (</w:t>
      </w:r>
      <w:r>
        <w:t xml:space="preserve">“APA”</w:t>
      </w:r>
      <w:r>
        <w:t xml:space="preserve">) is not available based on well-established precedent; and Plaintiffs cannot evade that precedent by recasting their claims as so-called ultra vires claims. In addition, they lack a right of action to sue the President. The APA right of action is not available, and the right of action in OCSLA is limited to other types of claims. The Supreme Court has made clear that a plaintiff must have a right of action, even for constitutional claims, and Plaintiffs have not pled one.</w:t>
      </w:r>
    </w:p>
    <w:p>
      <w:pPr>
        <w:pStyle w:val="BodyText"/>
      </w:pPr>
      <w:r>
        <w:t xml:space="preserve">Finally, the claims against the Secretary of the Interior and the Secretary of Commerce must be dismissed because the Complaint identifies no final action taken by either cabinet secretary.</w:t>
      </w:r>
    </w:p>
    <w:p>
      <w:pPr>
        <w:keepNext/>
        <w:keepLines/>
        <w:spacing w:before="600" w:after="300" w:line="300" w:lineRule="exact"/>
        <w:ind w:left="0" w:firstLine="0"/>
        <w:jc w:val="center"/>
      </w:pPr>
      <w:r>
        <w:rPr>
          <w:b/>
          <w:bCs/>
        </w:rPr>
        <w:t xml:space="preserve">BACKGROUND</w:t>
      </w:r>
    </w:p>
    <w:p>
      <w:pPr>
        <w:keepNext/>
        <w:keepLines/>
        <w:spacing w:before="600" w:after="300" w:line="300" w:lineRule="exact"/>
        <w:ind w:left="720" w:hanging="720"/>
        <w:jc w:val="left"/>
      </w:pPr>
      <w:r>
        <w:rPr>
          <w:b/>
          <w:bCs/>
        </w:rPr>
        <w:t xml:space="preserve">I.</w:t>
      </w:r>
      <w:r>
        <w:rPr>
          <w:b/>
          <w:bCs/>
        </w:rPr>
        <w:tab/>
      </w:r>
      <w:r>
        <w:rPr>
          <w:b/>
          <w:bCs/>
        </w:rPr>
        <w:t xml:space="preserve">The</w:t>
      </w:r>
      <w:r>
        <w:rPr>
          <w:b/>
          <w:bCs/>
        </w:rPr>
        <w:t xml:space="preserve"> </w:t>
      </w:r>
      <w:r>
        <w:rPr>
          <w:b/>
          <w:bCs/>
        </w:rPr>
        <w:t xml:space="preserve">Outer</w:t>
      </w:r>
      <w:r>
        <w:rPr>
          <w:b/>
          <w:bCs/>
        </w:rPr>
        <w:t xml:space="preserve"> </w:t>
      </w:r>
      <w:r>
        <w:rPr>
          <w:b/>
          <w:bCs/>
        </w:rPr>
        <w:t xml:space="preserve">Continental</w:t>
      </w:r>
      <w:r>
        <w:rPr>
          <w:b/>
          <w:bCs/>
        </w:rPr>
        <w:t xml:space="preserve"> </w:t>
      </w:r>
      <w:r>
        <w:rPr>
          <w:b/>
          <w:bCs/>
        </w:rPr>
        <w:t xml:space="preserve">Shelf</w:t>
      </w:r>
      <w:r>
        <w:rPr>
          <w:b/>
          <w:bCs/>
        </w:rPr>
        <w:t xml:space="preserve"> </w:t>
      </w:r>
      <w:r>
        <w:rPr>
          <w:b/>
          <w:bCs/>
        </w:rPr>
        <w:t xml:space="preserve">Lands</w:t>
      </w:r>
      <w:r>
        <w:rPr>
          <w:b/>
          <w:bCs/>
        </w:rPr>
        <w:t xml:space="preserve"> </w:t>
      </w:r>
      <w:r>
        <w:rPr>
          <w:b/>
          <w:bCs/>
        </w:rPr>
        <w:t xml:space="preserve">Act</w:t>
      </w:r>
    </w:p>
    <w:p>
      <w:pPr>
        <w:pStyle w:val="BodyText"/>
      </w:pPr>
      <w:r>
        <w:t xml:space="preserve">The Outer Continental Shelf (</w:t>
      </w:r>
      <w:r>
        <w:t xml:space="preserve">“OCS”</w:t>
      </w:r>
      <w:r>
        <w:t xml:space="preserve">) of the United States</w:t>
      </w:r>
      <w:r>
        <w:t xml:space="preserve"> </w:t>
      </w:r>
      <w:r>
        <w:t xml:space="preserve">“is a vast underwater expanse nearly equal in size to the Australian continent.”</w:t>
      </w:r>
      <w:r>
        <w:t xml:space="preserve"> </w:t>
      </w:r>
      <w:r>
        <w:rPr>
          <w:i/>
          <w:iCs/>
        </w:rPr>
        <w:t xml:space="preserve">Ctr.</w:t>
      </w:r>
      <w:r>
        <w:rPr>
          <w:i/>
          <w:iCs/>
        </w:rPr>
        <w:t xml:space="preserve"> </w:t>
      </w:r>
      <w:r>
        <w:rPr>
          <w:i/>
          <w:iCs/>
        </w:rPr>
        <w:t xml:space="preserve">for Sustainable Econ. v. Jewell</w:t>
      </w:r>
      <w:r>
        <w:t xml:space="preserve">, 779 F.3d 588, 592 (D.C. Cir. 2015). The OCS includes</w:t>
      </w:r>
      <w:r>
        <w:t xml:space="preserve"> </w:t>
      </w:r>
      <w:r>
        <w:t xml:space="preserve">“all submerged lands lying seaward”</w:t>
      </w:r>
      <w:r>
        <w:t xml:space="preserve"> </w:t>
      </w:r>
      <w:r>
        <w:t xml:space="preserve">of coastal state jurisdiction. 43</w:t>
      </w:r>
      <w:r>
        <w:t xml:space="preserve"> </w:t>
      </w:r>
      <w:r>
        <w:t xml:space="preserve">U.S.C. § 1331(a);</w:t>
      </w:r>
      <w:r>
        <w:t xml:space="preserve"> </w:t>
      </w:r>
      <w:r>
        <w:rPr>
          <w:i/>
          <w:iCs/>
        </w:rPr>
        <w:t xml:space="preserve">see also</w:t>
      </w:r>
      <w:r>
        <w:t xml:space="preserve"> </w:t>
      </w:r>
      <w:r>
        <w:rPr>
          <w:i/>
          <w:iCs/>
        </w:rPr>
        <w:t xml:space="preserve">Pacific</w:t>
      </w:r>
      <w:r>
        <w:rPr>
          <w:i/>
          <w:iCs/>
        </w:rPr>
        <w:t xml:space="preserve"> </w:t>
      </w:r>
      <w:r>
        <w:rPr>
          <w:i/>
          <w:iCs/>
        </w:rPr>
        <w:t xml:space="preserve">Operators Offshore, LLP v. Valladolid</w:t>
      </w:r>
      <w:r>
        <w:t xml:space="preserve">, 132 S. Ct. 680, 685 (2012). For most coastal states (except those adjacent to Texas, the Gulf coast of Florida, and certain states where the line has become fixed and no longer adjusts with the coastline), the inward boundary of the outer continental shelf begins three nautical miles from the coastline. 43</w:t>
      </w:r>
      <w:r>
        <w:t xml:space="preserve"> </w:t>
      </w:r>
      <w:r>
        <w:t xml:space="preserve">U.S.C. §§ 1301(b), 1312;</w:t>
      </w:r>
      <w:r>
        <w:t xml:space="preserve"> </w:t>
      </w:r>
      <w:r>
        <w:rPr>
          <w:i/>
          <w:iCs/>
        </w:rPr>
        <w:t xml:space="preserve">United</w:t>
      </w:r>
      <w:r>
        <w:rPr>
          <w:i/>
          <w:iCs/>
        </w:rPr>
        <w:t xml:space="preserve"> </w:t>
      </w:r>
      <w:r>
        <w:rPr>
          <w:i/>
          <w:iCs/>
        </w:rPr>
        <w:t xml:space="preserve">States v. Louisiana</w:t>
      </w:r>
      <w:r>
        <w:t xml:space="preserve">, 363 U.S. 1, 66 (1960);</w:t>
      </w:r>
      <w:r>
        <w:t xml:space="preserve"> </w:t>
      </w:r>
      <w:r>
        <w:rPr>
          <w:i/>
          <w:iCs/>
        </w:rPr>
        <w:t xml:space="preserve">United</w:t>
      </w:r>
      <w:r>
        <w:rPr>
          <w:i/>
          <w:iCs/>
        </w:rPr>
        <w:t xml:space="preserve"> </w:t>
      </w:r>
      <w:r>
        <w:rPr>
          <w:i/>
          <w:iCs/>
        </w:rPr>
        <w:t xml:space="preserve">States v. Florida</w:t>
      </w:r>
      <w:r>
        <w:t xml:space="preserve">, 363 U.S. 121, 129 (1960). The outer boundary of the OCS shelf extends roughly two hundred nautical miles into the ocean to the seaward limit of the international-law jurisdiction of the United States. 43</w:t>
      </w:r>
      <w:r>
        <w:t xml:space="preserve"> </w:t>
      </w:r>
      <w:r>
        <w:t xml:space="preserve">U.S.C. § 1312;</w:t>
      </w:r>
      <w:r>
        <w:t xml:space="preserve"> </w:t>
      </w:r>
      <w:r>
        <w:rPr>
          <w:i/>
          <w:iCs/>
        </w:rPr>
        <w:t xml:space="preserve">Ctr. for Sustainable Econ.</w:t>
      </w:r>
      <w:r>
        <w:t xml:space="preserve">, 779 F.3d at 592.</w:t>
      </w:r>
    </w:p>
    <w:p>
      <w:pPr>
        <w:pStyle w:val="BodyText"/>
      </w:pPr>
      <w:r>
        <w:t xml:space="preserve">In 1945, President Truman, recognizing the</w:t>
      </w:r>
      <w:r>
        <w:t xml:space="preserve"> </w:t>
      </w:r>
      <w:r>
        <w:t xml:space="preserve">“long range world-wide need for new sources of petroleum and other minerals,”</w:t>
      </w:r>
      <w:r>
        <w:t xml:space="preserve"> </w:t>
      </w:r>
      <w:r>
        <w:t xml:space="preserve">exercised the United States’ control over the natural resources of the OCS by issuing the</w:t>
      </w:r>
      <w:r>
        <w:t xml:space="preserve"> </w:t>
      </w:r>
      <w:r>
        <w:t xml:space="preserve">“Truman Proclamation.”</w:t>
      </w:r>
      <w:r>
        <w:t xml:space="preserve"> </w:t>
      </w:r>
      <w:r>
        <w:t xml:space="preserve">Proclamation</w:t>
      </w:r>
      <w:r>
        <w:t xml:space="preserve"> </w:t>
      </w:r>
      <w:r>
        <w:t xml:space="preserve">No. 2667, 10 Fed. Reg. 12,303 (Sept. 28, 1945). The Proclamation informed other nations that:</w:t>
      </w:r>
    </w:p>
    <w:p>
      <w:pPr>
        <w:pStyle w:val="XdQuoteOnly"/>
      </w:pPr>
      <w:r>
        <w:t xml:space="preserve">the Government of the United States regards the natural resources of the subsoil and sea bed of the continental shelf beneath the high seas but contiguous to the coasts of the United States as appertaining to the United States, subject to its jurisdiction and control.</w:t>
      </w:r>
    </w:p>
    <w:p>
      <w:pPr>
        <w:pStyle w:val="BodyText"/>
      </w:pPr>
      <w:r>
        <w:rPr>
          <w:i/>
          <w:iCs/>
        </w:rPr>
        <w:t xml:space="preserve">Id.</w:t>
      </w:r>
      <w:r>
        <w:t xml:space="preserve"> </w:t>
      </w:r>
      <w:r>
        <w:t xml:space="preserve">Shortly thereafter, President Truman issued another Executive Order to reserve and set aside the Outer Continental Shelf’s natural resources under the jurisdiction and control of the Secretary of the Interior. Exec. Order 9633, 10 Fed. Reg. 12,305 (Oct. 2, 1945).</w:t>
      </w:r>
    </w:p>
    <w:p>
      <w:pPr>
        <w:pStyle w:val="BodyText"/>
      </w:pPr>
      <w:r>
        <w:t xml:space="preserve">In 1953, Congress enacted OCSLA, which governs the management of mineral resources on the OCS.</w:t>
      </w:r>
      <w:r>
        <w:t xml:space="preserve"> </w:t>
      </w:r>
      <w:r>
        <w:rPr>
          <w:i/>
          <w:iCs/>
        </w:rPr>
        <w:t xml:space="preserve">See</w:t>
      </w:r>
      <w:r>
        <w:t xml:space="preserve"> </w:t>
      </w:r>
      <w:r>
        <w:t xml:space="preserve">43 U.S.C. §§ 1331-⁠1356(c). In passing OCSLA, Congress declared that the oil and gas reserves beneath the OCS are</w:t>
      </w:r>
      <w:r>
        <w:t xml:space="preserve"> </w:t>
      </w:r>
      <w:r>
        <w:t xml:space="preserve">“a vital national resource ⁠. ⁠. ⁠. which should be made available for expeditious and orderly development, subject to environmental safeguards, in a manner which is consistent with the maintenance of competition and other national needs.”</w:t>
      </w:r>
      <w:r>
        <w:t xml:space="preserve"> </w:t>
      </w:r>
      <w:r>
        <w:rPr>
          <w:i/>
          <w:iCs/>
        </w:rPr>
        <w:t xml:space="preserve">Id.</w:t>
      </w:r>
      <w:r>
        <w:t xml:space="preserve"> </w:t>
      </w:r>
      <w:r>
        <w:t xml:space="preserve">§ 1332(3). A congressional report issued upon OCSLA’s enactment similarly declared that:</w:t>
      </w:r>
      <w:r>
        <w:t xml:space="preserve"> </w:t>
      </w:r>
      <w:r>
        <w:t xml:space="preserve">“The principal purpose of [OCSLA] is to authorize the leasing by the Federal Government of [] the shelf.”</w:t>
      </w:r>
      <w:r>
        <w:t xml:space="preserve"> </w:t>
      </w:r>
      <w:r>
        <w:t xml:space="preserve">H.R. Rep. No. 413, 83rd Congress, 1st Sess. (1953), reprinted in 1953 U.S.C.C.A.N. 2177, 2178.</w:t>
      </w:r>
    </w:p>
    <w:p>
      <w:pPr>
        <w:pStyle w:val="BodyText"/>
      </w:pPr>
      <w:r>
        <w:t xml:space="preserve">Consistent with this purpose, OCSLA sets forth a four-stage process to allow development of oil or gas: (1) the Department of the Interior prepares a five-year program of proposed lease sales across the OCS,</w:t>
      </w:r>
      <w:r>
        <w:t xml:space="preserve"> </w:t>
      </w:r>
      <w:r>
        <w:rPr>
          <w:i/>
          <w:iCs/>
        </w:rPr>
        <w:t xml:space="preserve">see</w:t>
      </w:r>
      <w:r>
        <w:t xml:space="preserve"> </w:t>
      </w:r>
      <w:r>
        <w:t xml:space="preserve">43</w:t>
      </w:r>
      <w:r>
        <w:t xml:space="preserve"> </w:t>
      </w:r>
      <w:r>
        <w:t xml:space="preserve">U.S.C. § 1344; (2) the Department may hold lease sales and issues leases in accordance with the program,</w:t>
      </w:r>
      <w:r>
        <w:t xml:space="preserve"> </w:t>
      </w:r>
      <w:r>
        <w:rPr>
          <w:i/>
          <w:iCs/>
        </w:rPr>
        <w:t xml:space="preserve">see id.</w:t>
      </w:r>
      <w:r>
        <w:t xml:space="preserve"> </w:t>
      </w:r>
      <w:r>
        <w:t xml:space="preserve">§§ 1337(a), 1344(d); (3) the Department reviews the lessee’s exploration plans,</w:t>
      </w:r>
      <w:r>
        <w:t xml:space="preserve"> </w:t>
      </w:r>
      <w:r>
        <w:rPr>
          <w:i/>
          <w:iCs/>
        </w:rPr>
        <w:t xml:space="preserve">see id.</w:t>
      </w:r>
      <w:r>
        <w:t xml:space="preserve"> </w:t>
      </w:r>
      <w:r>
        <w:t xml:space="preserve">§ 1340; and (4) the Department, in consultation with state and local governments, reviews the lessee’s development plans.</w:t>
      </w:r>
      <w:r>
        <w:t xml:space="preserve"> </w:t>
      </w:r>
      <w:r>
        <w:rPr>
          <w:i/>
          <w:iCs/>
        </w:rPr>
        <w:t xml:space="preserve">See id.</w:t>
      </w:r>
      <w:r>
        <w:t xml:space="preserve"> </w:t>
      </w:r>
      <w:r>
        <w:t xml:space="preserve">§ 1351;</w:t>
      </w:r>
      <w:r>
        <w:t xml:space="preserve"> </w:t>
      </w:r>
      <w:r>
        <w:rPr>
          <w:i/>
          <w:iCs/>
        </w:rPr>
        <w:t xml:space="preserve">see also</w:t>
      </w:r>
      <w:r>
        <w:t xml:space="preserve"> </w:t>
      </w:r>
      <w:r>
        <w:rPr>
          <w:i/>
          <w:iCs/>
        </w:rPr>
        <w:t xml:space="preserve">Native</w:t>
      </w:r>
      <w:r>
        <w:rPr>
          <w:i/>
          <w:iCs/>
        </w:rPr>
        <w:t xml:space="preserve"> </w:t>
      </w:r>
      <w:r>
        <w:rPr>
          <w:i/>
          <w:iCs/>
        </w:rPr>
        <w:t xml:space="preserve">Village of Point Hope v. Jewell</w:t>
      </w:r>
      <w:r>
        <w:t xml:space="preserve">, 740 F.3d 489, 493 (9th Cir. 2014);</w:t>
      </w:r>
      <w:r>
        <w:t xml:space="preserve"> </w:t>
      </w:r>
      <w:r>
        <w:rPr>
          <w:i/>
          <w:iCs/>
        </w:rPr>
        <w:t xml:space="preserve">Ctr. for Sustainable Econ.</w:t>
      </w:r>
      <w:r>
        <w:t xml:space="preserve">, 779 F.3d at 594.</w:t>
      </w:r>
    </w:p>
    <w:p>
      <w:pPr>
        <w:pStyle w:val="BodyText"/>
      </w:pPr>
      <w:r>
        <w:t xml:space="preserve">The five-year leasing program must address the nation’s energy needs for a five-year period and</w:t>
      </w:r>
      <w:r>
        <w:t xml:space="preserve"> </w:t>
      </w:r>
      <w:r>
        <w:t xml:space="preserve">“serves as the template for the Government’s leasing of drilling rights on the [Shelf] for the five-year period following its preparation.”</w:t>
      </w:r>
      <w:r>
        <w:t xml:space="preserve"> </w:t>
      </w:r>
      <w:r>
        <w:rPr>
          <w:i/>
          <w:iCs/>
        </w:rPr>
        <w:t xml:space="preserve">Ctr. for Sustainable Econ.</w:t>
      </w:r>
      <w:r>
        <w:t xml:space="preserve">, 779 F.3d at 592 n.6;</w:t>
      </w:r>
      <w:r>
        <w:t xml:space="preserve"> </w:t>
      </w:r>
      <w:r>
        <w:rPr>
          <w:i/>
          <w:iCs/>
        </w:rPr>
        <w:t xml:space="preserve">see also</w:t>
      </w:r>
      <w:r>
        <w:t xml:space="preserve"> </w:t>
      </w:r>
      <w:r>
        <w:t xml:space="preserve">43</w:t>
      </w:r>
      <w:r>
        <w:t xml:space="preserve"> </w:t>
      </w:r>
      <w:r>
        <w:t xml:space="preserve">U.S.C. § 1344. The five-year program establishes a schedule for potential lease sales, but it does not itself require those sales to occur or authorize any oil and gas activities.</w:t>
      </w:r>
      <w:r>
        <w:t xml:space="preserve"> </w:t>
      </w:r>
      <w:r>
        <w:rPr>
          <w:i/>
          <w:iCs/>
        </w:rPr>
        <w:t xml:space="preserve">See id.</w:t>
      </w:r>
      <w:r>
        <w:t xml:space="preserve"> </w:t>
      </w:r>
      <w:r>
        <w:t xml:space="preserve">Under the statute, the leasing program</w:t>
      </w:r>
      <w:r>
        <w:t xml:space="preserve"> </w:t>
      </w:r>
      <w:r>
        <w:t xml:space="preserve">“considers economic, social, and environmental values of the renewable and nonrenewable resources contained in the [OCS], and the potential impact of oil and gas exploration on other resource values of the [OCS] ⁠. ⁠. ⁠. ⁠.”</w:t>
      </w:r>
      <w:r>
        <w:t xml:space="preserve"> </w:t>
      </w:r>
      <w:r>
        <w:rPr>
          <w:i/>
          <w:iCs/>
        </w:rPr>
        <w:t xml:space="preserve">Id.</w:t>
      </w:r>
      <w:r>
        <w:t xml:space="preserve"> </w:t>
      </w:r>
      <w:r>
        <w:t xml:space="preserve">§ 1344(a)⁠(1). Similar requirements apply to the remaining three steps. Leasing and later development of oil and gas resources on the OCS can only occur pursuant to this program.</w:t>
      </w:r>
      <w:r>
        <w:t xml:space="preserve"> </w:t>
      </w:r>
      <w:r>
        <w:rPr>
          <w:i/>
          <w:iCs/>
        </w:rPr>
        <w:t xml:space="preserve">See, e.g., id.</w:t>
      </w:r>
      <w:r>
        <w:t xml:space="preserve"> </w:t>
      </w:r>
      <w:r>
        <w:t xml:space="preserve">§ 1344(d)⁠(3). Even exploration, such as seismic surveys, can only occur after the proponent of a survey obtains the relevant federal permits or plan approvals, which are subject to environmental and other procedural requirements.</w:t>
      </w:r>
      <w:r>
        <w:t xml:space="preserve"> </w:t>
      </w:r>
      <w:r>
        <w:rPr>
          <w:i/>
          <w:iCs/>
        </w:rPr>
        <w:t xml:space="preserve">See id.</w:t>
      </w:r>
      <w:r>
        <w:t xml:space="preserve"> </w:t>
      </w:r>
      <w:r>
        <w:t xml:space="preserve">§ 1340; 30</w:t>
      </w:r>
      <w:r>
        <w:t xml:space="preserve"> </w:t>
      </w:r>
      <w:r>
        <w:t xml:space="preserve">C.F.R. pt. 551.</w:t>
      </w:r>
    </w:p>
    <w:p>
      <w:pPr>
        <w:pStyle w:val="BodyText"/>
      </w:pPr>
      <w:r>
        <w:t xml:space="preserve">OCSLA also contains a provision allowing the President to reserve areas of the OCS from disposition by leasing, including for oil and gas development. Specifically, section 12(a) states,</w:t>
      </w:r>
      <w:r>
        <w:t xml:space="preserve"> </w:t>
      </w:r>
      <w:r>
        <w:t xml:space="preserve">“The President of the United States may, from time to time, withdraw from disposition any of the unleased lands of the outer Continental Shelf.”</w:t>
      </w:r>
      <w:r>
        <w:t xml:space="preserve"> </w:t>
      </w:r>
      <w:r>
        <w:t xml:space="preserve">43</w:t>
      </w:r>
      <w:r>
        <w:t xml:space="preserve"> </w:t>
      </w:r>
      <w:r>
        <w:t xml:space="preserve">U.S.C. § 1341(a). The statute also provides that</w:t>
      </w:r>
      <w:r>
        <w:t xml:space="preserve"> </w:t>
      </w:r>
      <w:r>
        <w:t xml:space="preserve">“[t]he United States reserves and retains the right to designate by and through the Secretary of Defense, with the approval of the President, as areas restricted from exploration and operation that part of the [OCS] needed for national defense ⁠. ⁠. ⁠. ⁠.”</w:t>
      </w:r>
      <w:r>
        <w:t xml:space="preserve"> </w:t>
      </w:r>
      <w:r>
        <w:rPr>
          <w:i/>
          <w:iCs/>
        </w:rPr>
        <w:t xml:space="preserve">Id.</w:t>
      </w:r>
      <w:r>
        <w:t xml:space="preserve"> </w:t>
      </w:r>
      <w:r>
        <w:t xml:space="preserve">§ 1341(d).</w:t>
      </w:r>
    </w:p>
    <w:p>
      <w:pPr>
        <w:keepNext/>
        <w:keepLines/>
        <w:spacing w:before="600" w:after="300" w:line="300" w:lineRule="exact"/>
        <w:ind w:left="0" w:firstLine="0"/>
        <w:jc w:val="center"/>
      </w:pPr>
      <w:r>
        <w:rPr>
          <w:b/>
          <w:bCs/>
        </w:rPr>
        <w:t xml:space="preserve">LEGAL</w:t>
      </w:r>
      <w:r>
        <w:rPr>
          <w:b/>
          <w:bCs/>
        </w:rPr>
        <w:t xml:space="preserve"> </w:t>
      </w:r>
      <w:r>
        <w:rPr>
          <w:b/>
          <w:bCs/>
        </w:rPr>
        <w:t xml:space="preserve">STANDARD</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pStyle w:val="BodyTextNote"/>
      </w:pPr>
      <w:r>
        <w:t xml:space="preserve">Pursuant to Fed.</w:t>
      </w:r>
      <w:r>
        <w:t xml:space="preserve"> </w:t>
      </w:r>
      <w:r>
        <w:t xml:space="preserve">R. Civ. P. 12(b)⁠(1), a complaint, or any claims therein, may be dismissed for lack of subject matter jurisdiction. An attack on the court’s jurisdiction may be made either as a facial challenge, in which case the usual pleading standard applies, or as a factual challenge.</w:t>
      </w:r>
      <w:r>
        <w:t xml:space="preserve"> </w:t>
      </w:r>
      <w:r>
        <w:rPr>
          <w:i/>
          <w:iCs/>
        </w:rPr>
        <w:t xml:space="preserve">Leite</w:t>
      </w:r>
      <w:r>
        <w:rPr>
          <w:i/>
          <w:iCs/>
        </w:rPr>
        <w:t xml:space="preserve"> </w:t>
      </w:r>
      <w:r>
        <w:rPr>
          <w:i/>
          <w:iCs/>
        </w:rPr>
        <w:t xml:space="preserve">v. Crane Co.</w:t>
      </w:r>
      <w:r>
        <w:t xml:space="preserve">, 749 F.3d 1117, 1121 (9th Cir. 2014).</w:t>
      </w:r>
      <w:r>
        <w:rPr>
          <w:rStyle w:val="FootnoteReference"/>
        </w:rPr>
        <w:footnoteReference w:id="9"/>
      </w:r>
      <w:r>
        <w:t xml:space="preserve"> </w:t>
      </w:r>
      <w:r>
        <w:t xml:space="preserve">In response to a facial challenge, a plaintiff may rely on factual allegations, which the court will accept</w:t>
      </w:r>
      <w:r>
        <w:t xml:space="preserve"> </w:t>
      </w:r>
      <w:r>
        <w:t xml:space="preserve">“as true and drawing all reasonable inferences in the plaintiff’s favor.”</w:t>
      </w:r>
      <w:r>
        <w:t xml:space="preserve"> </w:t>
      </w:r>
      <w:r>
        <w:rPr>
          <w:i/>
          <w:iCs/>
        </w:rPr>
        <w:t xml:space="preserve">Id.</w:t>
      </w:r>
      <w:r>
        <w:t xml:space="preserve"> </w:t>
      </w:r>
      <w:r>
        <w:t xml:space="preserve">On the other hand, when considering a motion that challenges the existence of jurisdiction in fact, no presumption of truthfulness attaches to the plaintiff’s allegations.</w:t>
      </w:r>
      <w:r>
        <w:t xml:space="preserve"> </w:t>
      </w:r>
      <w:r>
        <w:rPr>
          <w:i/>
          <w:iCs/>
        </w:rPr>
        <w:t xml:space="preserve">Thornhill</w:t>
      </w:r>
      <w:r>
        <w:rPr>
          <w:i/>
          <w:iCs/>
        </w:rPr>
        <w:t xml:space="preserve"> </w:t>
      </w:r>
      <w:r>
        <w:rPr>
          <w:i/>
          <w:iCs/>
        </w:rPr>
        <w:t xml:space="preserve">Pub. Co. v. Gen. Tel. &amp; Elecs. Corp.</w:t>
      </w:r>
      <w:r>
        <w:t xml:space="preserve">, 594 F.2d 730, 733 (9th Cir. 1979). The Court</w:t>
      </w:r>
      <w:r>
        <w:t xml:space="preserve"> </w:t>
      </w:r>
      <w:r>
        <w:t xml:space="preserve">“is not restricted to the face of the pleadings, but may review any evidence, such as affidavits and testimony, to resolve factual disputes concerning the existence of jurisdiction.”</w:t>
      </w:r>
      <w:r>
        <w:t xml:space="preserve"> </w:t>
      </w:r>
      <w:r>
        <w:rPr>
          <w:i/>
          <w:iCs/>
        </w:rPr>
        <w:t xml:space="preserve">McCarthy</w:t>
      </w:r>
      <w:r>
        <w:rPr>
          <w:i/>
          <w:iCs/>
        </w:rPr>
        <w:t xml:space="preserve"> </w:t>
      </w:r>
      <w:r>
        <w:rPr>
          <w:i/>
          <w:iCs/>
        </w:rPr>
        <w:t xml:space="preserve">v. United States</w:t>
      </w:r>
      <w:r>
        <w:t xml:space="preserve">, 850 F.2d 558, 560 (9th Cir. 1988).</w:t>
      </w:r>
      <w:r>
        <w:t xml:space="preserve"> </w:t>
      </w:r>
      <w:r>
        <w:t xml:space="preserve">“When the defendant raises a factual attack, the plaintiff must support her jurisdictional allegations with</w:t>
      </w:r>
      <w:r>
        <w:t xml:space="preserve"> </w:t>
      </w:r>
      <w:r>
        <w:t xml:space="preserve">‘competent proof,’</w:t>
      </w:r>
      <w:r>
        <w:t xml:space="preserve"> </w:t>
      </w:r>
      <w:r>
        <w:t xml:space="preserve">under the same evidentiary standard that governs in the summary judgment context.”</w:t>
      </w:r>
      <w:r>
        <w:t xml:space="preserve"> </w:t>
      </w:r>
      <w:r>
        <w:rPr>
          <w:i/>
          <w:iCs/>
        </w:rPr>
        <w:t xml:space="preserve">Liete</w:t>
      </w:r>
      <w:r>
        <w:t xml:space="preserve">, 749 F.3d at 1121 (citations omitted);</w:t>
      </w:r>
      <w:r>
        <w:t xml:space="preserve"> </w:t>
      </w:r>
      <w:r>
        <w:rPr>
          <w:i/>
          <w:iCs/>
        </w:rPr>
        <w:t xml:space="preserve">see also</w:t>
      </w:r>
      <w:r>
        <w:t xml:space="preserve"> </w:t>
      </w:r>
      <w:r>
        <w:rPr>
          <w:i/>
          <w:iCs/>
        </w:rPr>
        <w:t xml:space="preserve">Friends</w:t>
      </w:r>
      <w:r>
        <w:rPr>
          <w:i/>
          <w:iCs/>
        </w:rPr>
        <w:t xml:space="preserve"> </w:t>
      </w:r>
      <w:r>
        <w:rPr>
          <w:i/>
          <w:iCs/>
        </w:rPr>
        <w:t xml:space="preserve">of the Earth v. Sanderson Farms, Inc.</w:t>
      </w:r>
      <w:r>
        <w:t xml:space="preserve">, 992 F.3d 939, 944 (9th Cir. 2021).</w:t>
      </w:r>
      <w:r>
        <w:t xml:space="preserve"> </w:t>
      </w:r>
      <w:r>
        <w:t xml:space="preserve">“The plaintiff bears the burden of proving by a preponderance of the evidence that each of the requirements for subject-matter jurisdiction has been met.”</w:t>
      </w:r>
      <w:r>
        <w:t xml:space="preserve"> </w:t>
      </w:r>
      <w:r>
        <w:rPr>
          <w:i/>
          <w:iCs/>
        </w:rPr>
        <w:t xml:space="preserve">Liete</w:t>
      </w:r>
      <w:r>
        <w:t xml:space="preserve">, 749 F.3d at 1121.</w:t>
      </w:r>
    </w:p>
    <w:p>
      <w:pPr>
        <w:keepNext/>
        <w:keepLines/>
        <w:spacing w:before="600" w:after="300" w:line="300" w:lineRule="exact"/>
        <w:ind w:left="0" w:firstLine="0"/>
        <w:jc w:val="center"/>
      </w:pPr>
      <w:r>
        <w:rPr>
          <w:b/>
          <w:bCs/>
        </w:rPr>
        <w:t xml:space="preserve">ARGUMENT</w:t>
      </w:r>
    </w:p>
    <w:p>
      <w:pPr>
        <w:keepNext/>
        <w:keepLines/>
        <w:spacing w:before="600" w:after="300" w:line="300" w:lineRule="exact"/>
        <w:ind w:left="720" w:hanging="720"/>
        <w:jc w:val="left"/>
      </w:pPr>
      <w:r>
        <w:rPr>
          <w:b/>
          <w:bCs/>
        </w:rPr>
        <w:t xml:space="preserve">I.</w:t>
      </w:r>
      <w:r>
        <w:rPr>
          <w:b/>
          <w:bCs/>
        </w:rPr>
        <w:tab/>
      </w:r>
      <w:r>
        <w:rPr>
          <w:b/>
          <w:bCs/>
        </w:rPr>
        <w:t xml:space="preserve">Plaintiffs</w:t>
      </w:r>
      <w:r>
        <w:rPr>
          <w:b/>
          <w:bCs/>
        </w:rPr>
        <w:t xml:space="preserve"> </w:t>
      </w:r>
      <w:r>
        <w:rPr>
          <w:b/>
          <w:bCs/>
        </w:rPr>
        <w:t xml:space="preserve">Lack</w:t>
      </w:r>
      <w:r>
        <w:rPr>
          <w:b/>
          <w:bCs/>
        </w:rPr>
        <w:t xml:space="preserve"> </w:t>
      </w:r>
      <w:r>
        <w:rPr>
          <w:b/>
          <w:bCs/>
        </w:rPr>
        <w:t xml:space="preserve">Standing</w:t>
      </w:r>
      <w:r>
        <w:rPr>
          <w:b/>
          <w:bCs/>
        </w:rPr>
        <w:t xml:space="preserve"> </w:t>
      </w:r>
      <w:r>
        <w:rPr>
          <w:b/>
          <w:bCs/>
        </w:rPr>
        <w:t xml:space="preserve">and</w:t>
      </w:r>
      <w:r>
        <w:rPr>
          <w:b/>
          <w:bCs/>
        </w:rPr>
        <w:t xml:space="preserve"> </w:t>
      </w:r>
      <w:r>
        <w:rPr>
          <w:b/>
          <w:bCs/>
        </w:rPr>
        <w:t xml:space="preserve">Their</w:t>
      </w:r>
      <w:r>
        <w:rPr>
          <w:b/>
          <w:bCs/>
        </w:rPr>
        <w:t xml:space="preserve"> </w:t>
      </w:r>
      <w:r>
        <w:rPr>
          <w:b/>
          <w:bCs/>
        </w:rPr>
        <w:t xml:space="preserve">Claims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Ripe</w:t>
      </w:r>
    </w:p>
    <w:p>
      <w:pPr>
        <w:pStyle w:val="BodyText"/>
      </w:pPr>
      <w:r>
        <w:t xml:space="preserve">Plaintiffs have failed to demonstrate any imminent harm to their interests caused by President Trump’s rescission of the OCS withdrawals. Therefore, they lack standing, and their claims are not ripe.</w:t>
      </w:r>
    </w:p>
    <w:p>
      <w:pPr>
        <w:keepNext/>
        <w:keepLines/>
        <w:spacing w:before="600" w:after="300" w:line="300" w:lineRule="exact"/>
        <w:ind w:left="1440" w:hanging="720"/>
        <w:jc w:val="left"/>
      </w:pPr>
      <w:r>
        <w:rPr>
          <w:b/>
          <w:bCs/>
        </w:rPr>
        <w:t xml:space="preserve">A.</w:t>
      </w:r>
      <w:r>
        <w:rPr>
          <w:b/>
          <w:bCs/>
        </w:rPr>
        <w:tab/>
      </w:r>
      <w:r>
        <w:rPr>
          <w:b/>
          <w:bCs/>
        </w:rPr>
        <w:t xml:space="preserve">Plaintiffs</w:t>
      </w:r>
      <w:r>
        <w:rPr>
          <w:b/>
          <w:bCs/>
        </w:rPr>
        <w:t xml:space="preserve"> </w:t>
      </w:r>
      <w:r>
        <w:rPr>
          <w:b/>
          <w:bCs/>
        </w:rPr>
        <w:t xml:space="preserve">Have</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Demonstrate</w:t>
      </w:r>
      <w:r>
        <w:rPr>
          <w:b/>
          <w:bCs/>
        </w:rPr>
        <w:t xml:space="preserve"> </w:t>
      </w:r>
      <w:r>
        <w:rPr>
          <w:b/>
          <w:bCs/>
        </w:rPr>
        <w:t xml:space="preserve">Standing</w:t>
      </w:r>
    </w:p>
    <w:p>
      <w:pPr>
        <w:pStyle w:val="BodyText"/>
      </w:pPr>
      <w:r>
        <w:t xml:space="preserve">Plaintiffs bear the burden of demonstrating that they have standing under Article III of the Constitution.</w:t>
      </w:r>
      <w:r>
        <w:t xml:space="preserve"> </w:t>
      </w:r>
      <w:r>
        <w:rPr>
          <w:i/>
          <w:iCs/>
        </w:rPr>
        <w:t xml:space="preserve">Summers</w:t>
      </w:r>
      <w:r>
        <w:rPr>
          <w:i/>
          <w:iCs/>
        </w:rPr>
        <w:t xml:space="preserve"> </w:t>
      </w:r>
      <w:r>
        <w:rPr>
          <w:i/>
          <w:iCs/>
        </w:rPr>
        <w:t xml:space="preserve">v. Earth Island Inst.</w:t>
      </w:r>
      <w:r>
        <w:t xml:space="preserve">, 555 U.S. 488, 493 (2009);</w:t>
      </w:r>
      <w:r>
        <w:t xml:space="preserve"> </w:t>
      </w:r>
      <w:r>
        <w:rPr>
          <w:i/>
          <w:iCs/>
        </w:rPr>
        <w:t xml:space="preserve">see also</w:t>
      </w:r>
      <w:r>
        <w:t xml:space="preserve"> </w:t>
      </w:r>
      <w:r>
        <w:rPr>
          <w:i/>
          <w:iCs/>
        </w:rPr>
        <w:t xml:space="preserve">Bowen</w:t>
      </w:r>
      <w:r>
        <w:rPr>
          <w:i/>
          <w:iCs/>
        </w:rPr>
        <w:t xml:space="preserve"> </w:t>
      </w:r>
      <w:r>
        <w:rPr>
          <w:i/>
          <w:iCs/>
        </w:rPr>
        <w:t xml:space="preserve">v. Energizer Holdings, Inc.</w:t>
      </w:r>
      <w:r>
        <w:t xml:space="preserve">, 118 F.4th 1134, 1142 (2024).</w:t>
      </w:r>
    </w:p>
    <w:p>
      <w:pPr>
        <w:keepNext/>
        <w:keepLines/>
        <w:spacing w:before="600" w:after="300" w:line="300" w:lineRule="exact"/>
        <w:ind w:left="0" w:firstLine="0"/>
        <w:jc w:val="center"/>
      </w:pPr>
      <w:r>
        <w:rPr>
          <w:b/>
          <w:bCs/>
        </w:rPr>
        <w:t xml:space="preserve">CONCLUSION</w:t>
      </w:r>
    </w:p>
    <w:p>
      <w:pPr>
        <w:pStyle w:val="BodyTextKeep"/>
      </w:pPr>
      <w:r>
        <w:t xml:space="preserve">For the foregoing reasons, Plaintiffs’ Complaint should be dismissed for lack of jurisdiction.</w:t>
      </w:r>
    </w:p>
    <w:p>
      <w:pPr>
        <w:keepNext/>
        <w:keepLines/>
        <w:spacing w:before="0" w:after="0" w:line="60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00" w:lineRule="exact"/>
              <w:ind w:left="720" w:firstLine="0"/>
              <w:jc w:val="left"/>
            </w:pPr>
            <w:r>
              <w:t xml:space="preserve">Respectfully</w:t>
            </w:r>
            <w:r>
              <w:t xml:space="preserve"> </w:t>
            </w:r>
            <w:r>
              <w:t xml:space="preserve">submitted</w:t>
            </w:r>
            <w:r>
              <w:t xml:space="preserve"> </w:t>
            </w:r>
            <w:r>
              <w:t xml:space="preserve">this</w:t>
            </w:r>
            <w:r>
              <w:t xml:space="preserve"> </w:t>
            </w:r>
            <w:r>
              <w:t xml:space="preserve">16th</w:t>
            </w:r>
            <w:r>
              <w:t xml:space="preserve"> </w:t>
            </w:r>
            <w:r>
              <w:t xml:space="preserve">day</w:t>
            </w:r>
            <w:r>
              <w:t xml:space="preserve"> </w:t>
            </w:r>
            <w:r>
              <w:t xml:space="preserve">of</w:t>
            </w:r>
            <w:r>
              <w:t xml:space="preserve"> </w:t>
            </w:r>
            <w:r>
              <w:t xml:space="preserve">January</w:t>
            </w:r>
            <w:r>
              <w:t xml:space="preserve"> </w:t>
            </w:r>
            <w:r>
              <w:t xml:space="preserve">2026.</w:t>
            </w:r>
          </w:p>
          <w:p>
            <w:pPr>
              <w:spacing w:before="300" w:after="0" w:line="300" w:lineRule="exact"/>
              <w:ind w:left="3600" w:firstLine="0"/>
              <w:jc w:val="left"/>
            </w:pPr>
            <w:r>
              <w:t xml:space="preserve">ADAM</w:t>
            </w:r>
            <w:r>
              <w:t xml:space="preserve"> </w:t>
            </w:r>
            <w:r>
              <w:t xml:space="preserve">R.F.</w:t>
            </w:r>
            <w:r>
              <w:t xml:space="preserve"> </w:t>
            </w:r>
            <w:r>
              <w:t xml:space="preserve">GUSTAFSON</w:t>
            </w:r>
          </w:p>
          <w:p>
            <w:pPr>
              <w:spacing w:before="0" w:after="0" w:line="300" w:lineRule="exact"/>
              <w:ind w:left="3600" w:firstLine="0"/>
              <w:jc w:val="left"/>
            </w:pPr>
            <w:r>
              <w:t xml:space="preserve">Acting</w:t>
            </w:r>
            <w:r>
              <w:t xml:space="preserve"> </w:t>
            </w:r>
            <w:r>
              <w:t xml:space="preserve">Assistant</w:t>
            </w:r>
            <w:r>
              <w:t xml:space="preserve"> </w:t>
            </w:r>
            <w:r>
              <w:t xml:space="preserve">Attorney</w:t>
            </w:r>
            <w:r>
              <w:t xml:space="preserve"> </w:t>
            </w:r>
            <w:r>
              <w:t xml:space="preserve">General</w:t>
            </w:r>
          </w:p>
          <w:p>
            <w:pPr>
              <w:spacing w:before="0" w:after="0" w:line="300" w:lineRule="exact"/>
              <w:ind w:left="3600" w:firstLine="0"/>
              <w:jc w:val="left"/>
            </w:pPr>
            <w:r>
              <w:t xml:space="preserve">Environment</w:t>
            </w:r>
            <w:r>
              <w:t xml:space="preserve"> </w:t>
            </w:r>
            <w:r>
              <w:t xml:space="preserve">&amp;</w:t>
            </w:r>
            <w:r>
              <w:t xml:space="preserve"> </w:t>
            </w:r>
            <w:r>
              <w:t xml:space="preserve">Natural</w:t>
            </w:r>
            <w:r>
              <w:t xml:space="preserve"> </w:t>
            </w:r>
            <w:r>
              <w:t xml:space="preserve">Resources</w:t>
            </w:r>
            <w:r>
              <w:t xml:space="preserve"> </w:t>
            </w:r>
            <w:r>
              <w:t xml:space="preserve">Division</w:t>
            </w:r>
          </w:p>
          <w:p>
            <w:pPr>
              <w:spacing w:before="0" w:after="0" w:line="300" w:lineRule="exact"/>
              <w:ind w:left="3600" w:firstLine="0"/>
              <w:jc w:val="left"/>
            </w:pPr>
            <w:r>
              <w:t xml:space="preserve">United</w:t>
            </w:r>
            <w:r>
              <w:t xml:space="preserve"> </w:t>
            </w:r>
            <w:r>
              <w:t xml:space="preserve">States</w:t>
            </w:r>
            <w:r>
              <w:t xml:space="preserve"> </w:t>
            </w:r>
            <w:r>
              <w:t xml:space="preserve">Department</w:t>
            </w:r>
            <w:r>
              <w:t xml:space="preserve"> </w:t>
            </w:r>
            <w:r>
              <w:t xml:space="preserve">of</w:t>
            </w:r>
            <w:r>
              <w:t xml:space="preserve"> </w:t>
            </w:r>
            <w:r>
              <w:t xml:space="preserve">Justice</w:t>
            </w:r>
          </w:p>
          <w:p>
            <w:pPr>
              <w:spacing w:before="300" w:after="0" w:line="300" w:lineRule="exact"/>
              <w:ind w:left="3600" w:firstLine="0"/>
              <w:jc w:val="left"/>
            </w:pPr>
            <w:r>
              <w:t xml:space="preserve">/s/</w:t>
            </w:r>
            <w:r>
              <w:t xml:space="preserve"> </w:t>
            </w:r>
            <w:r>
              <w:t xml:space="preserve">Luther</w:t>
            </w:r>
            <w:r>
              <w:t xml:space="preserve"> </w:t>
            </w:r>
            <w:r>
              <w:t xml:space="preserve">L.</w:t>
            </w:r>
            <w:r>
              <w:t xml:space="preserve"> </w:t>
            </w:r>
            <w:r>
              <w:t xml:space="preserve">Hajek</w:t>
            </w:r>
          </w:p>
          <w:p>
            <w:pPr>
              <w:spacing w:before="0" w:after="0" w:line="300" w:lineRule="exact"/>
              <w:ind w:left="3600" w:firstLine="0"/>
              <w:jc w:val="left"/>
            </w:pPr>
            <w:r>
              <w:t xml:space="preserve">Trial</w:t>
            </w:r>
            <w:r>
              <w:t xml:space="preserve"> </w:t>
            </w:r>
            <w:r>
              <w:t xml:space="preserve">Attorney</w:t>
            </w:r>
          </w:p>
          <w:p>
            <w:pPr>
              <w:spacing w:before="0" w:after="0" w:line="300" w:lineRule="exact"/>
              <w:ind w:left="3600" w:firstLine="0"/>
              <w:jc w:val="left"/>
            </w:pPr>
            <w:r>
              <w:t xml:space="preserve">United</w:t>
            </w:r>
            <w:r>
              <w:t xml:space="preserve"> </w:t>
            </w:r>
            <w:r>
              <w:t xml:space="preserve">States</w:t>
            </w:r>
            <w:r>
              <w:t xml:space="preserve"> </w:t>
            </w:r>
            <w:r>
              <w:t xml:space="preserve">Department</w:t>
            </w:r>
            <w:r>
              <w:t xml:space="preserve"> </w:t>
            </w:r>
            <w:r>
              <w:t xml:space="preserve">of</w:t>
            </w:r>
            <w:r>
              <w:t xml:space="preserve"> </w:t>
            </w:r>
            <w:r>
              <w:t xml:space="preserve">Justice</w:t>
            </w:r>
          </w:p>
          <w:p>
            <w:pPr>
              <w:spacing w:before="0" w:after="0" w:line="300" w:lineRule="exact"/>
              <w:ind w:left="3600" w:firstLine="0"/>
              <w:jc w:val="left"/>
            </w:pPr>
            <w:r>
              <w:t xml:space="preserve">Environment</w:t>
            </w:r>
            <w:r>
              <w:t xml:space="preserve"> </w:t>
            </w:r>
            <w:r>
              <w:t xml:space="preserve">and</w:t>
            </w:r>
            <w:r>
              <w:t xml:space="preserve"> </w:t>
            </w:r>
            <w:r>
              <w:t xml:space="preserve">Natural</w:t>
            </w:r>
            <w:r>
              <w:t xml:space="preserve"> </w:t>
            </w:r>
            <w:r>
              <w:t xml:space="preserve">Resources</w:t>
            </w:r>
            <w:r>
              <w:t xml:space="preserve"> </w:t>
            </w:r>
            <w:r>
              <w:t xml:space="preserve">Division</w:t>
            </w:r>
          </w:p>
          <w:p>
            <w:pPr>
              <w:spacing w:before="0" w:after="0" w:line="300" w:lineRule="exact"/>
              <w:ind w:left="3600" w:firstLine="0"/>
              <w:jc w:val="left"/>
            </w:pPr>
            <w:r>
              <w:t xml:space="preserve">999</w:t>
            </w:r>
            <w:r>
              <w:t xml:space="preserve"> </w:t>
            </w:r>
            <w:r>
              <w:t xml:space="preserve">18th</w:t>
            </w:r>
            <w:r>
              <w:t xml:space="preserve"> </w:t>
            </w:r>
            <w:r>
              <w:t xml:space="preserve">Street,</w:t>
            </w:r>
            <w:r>
              <w:t xml:space="preserve"> </w:t>
            </w:r>
            <w:r>
              <w:t xml:space="preserve">North</w:t>
            </w:r>
            <w:r>
              <w:t xml:space="preserve"> </w:t>
            </w:r>
            <w:r>
              <w:t xml:space="preserve">Terrace,</w:t>
            </w:r>
            <w:r>
              <w:t xml:space="preserve"> </w:t>
            </w:r>
            <w:r>
              <w:t xml:space="preserve">Suite</w:t>
            </w:r>
            <w:r>
              <w:t xml:space="preserve"> </w:t>
            </w:r>
            <w:r>
              <w:t xml:space="preserve">600</w:t>
            </w:r>
          </w:p>
          <w:p>
            <w:pPr>
              <w:spacing w:before="0" w:after="0" w:line="300" w:lineRule="exact"/>
              <w:ind w:left="3600" w:firstLine="0"/>
              <w:jc w:val="left"/>
            </w:pPr>
            <w:r>
              <w:t xml:space="preserve">Denver,</w:t>
            </w:r>
            <w:r>
              <w:t xml:space="preserve"> </w:t>
            </w:r>
            <w:r>
              <w:t xml:space="preserve">CO</w:t>
            </w:r>
            <w:r>
              <w:t xml:space="preserve"> </w:t>
            </w:r>
            <w:r>
              <w:t xml:space="preserve">80202</w:t>
            </w:r>
          </w:p>
          <w:p>
            <w:pPr>
              <w:spacing w:before="0" w:after="0" w:line="300" w:lineRule="exact"/>
              <w:ind w:left="3600" w:firstLine="0"/>
              <w:jc w:val="left"/>
            </w:pPr>
            <w:r>
              <w:t xml:space="preserve">Tel:</w:t>
            </w:r>
            <w:r>
              <w:t xml:space="preserve"> </w:t>
            </w:r>
            <w:r>
              <w:t xml:space="preserve">(303)</w:t>
            </w:r>
            <w:r>
              <w:t xml:space="preserve"> </w:t>
            </w:r>
            <w:r>
              <w:t xml:space="preserve">241-⁠0826</w:t>
            </w:r>
            <w:r>
              <w:t xml:space="preserve"> ⁠</w:t>
            </w:r>
            <w:r>
              <w:t xml:space="preserve">/</w:t>
            </w:r>
            <w:r>
              <w:t xml:space="preserve"> </w:t>
            </w:r>
            <w:r>
              <w:t xml:space="preserve">Fax:</w:t>
            </w:r>
            <w:r>
              <w:t xml:space="preserve"> </w:t>
            </w:r>
            <w:r>
              <w:t xml:space="preserve">(303)</w:t>
            </w:r>
            <w:r>
              <w:t xml:space="preserve"> </w:t>
            </w:r>
            <w:r>
              <w:t xml:space="preserve">844-⁠1350</w:t>
            </w:r>
          </w:p>
          <w:p>
            <w:pPr>
              <w:spacing w:before="0" w:after="0" w:line="300" w:lineRule="exact"/>
              <w:ind w:left="3600" w:firstLine="0"/>
              <w:jc w:val="left"/>
            </w:pPr>
            <w:r>
              <w:t xml:space="preserve">luke.hajek@usdoj.gov</w:t>
            </w:r>
          </w:p>
          <w:p>
            <w:pPr>
              <w:spacing w:before="0" w:after="0" w:line="300" w:lineRule="exact"/>
              <w:ind w:left="3600" w:firstLine="0"/>
              <w:jc w:val="left"/>
            </w:pPr>
            <w:r>
              <w:t xml:space="preserve">Counsel</w:t>
            </w:r>
            <w:r>
              <w:t xml:space="preserve"> </w:t>
            </w:r>
            <w:r>
              <w:t xml:space="preserve">for</w:t>
            </w:r>
            <w:r>
              <w:t xml:space="preserve"> </w:t>
            </w:r>
            <w:r>
              <w:t xml:space="preserve">Defendants</w:t>
            </w:r>
          </w:p>
        </w:tc>
      </w:tr>
    </w:tbl>
    <w:sectPr>
      <w:footerReference w:type="default" r:id="rIdXdPage"/>
      <w:pgSz w:w="12240" w:h="15840"/>
      <w:pgMar w:top="1440" w:right="1440" w:bottom="1440" w:left="1440" w:header="720" w:footer="4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00" w:lineRule="exact"/>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Defendants’ motion is brought both as a factual and facial challenge. To the extent the Defendants’ challenge Plaintiffs’ assertions of imminent harm with factual information in the standing and ripeness arguments in sections I and II of the Argument section, it is a factual challenge. Otherwise, it is a facial challenge.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00" w:lineRule="exact"/>
      <w:jc w:val="center"/>
    </w:pPr>
    <w:r>
      <w:fldChar w:fldCharType="begin"/>
    </w:r>
    <w:r>
      <w:instrText xml:space="preserve"> PAGE </w:instrText>
    </w:r>
    <w:r>
      <w:fldChar w:fldCharType="separate"/>
    </w:r>
    <w:r>
      <w:t>1</w:t>
    </w:r>
    <w:r>
      <w:fldChar w:fldCharType="end"/>
    </w:r>
  </w:p>
  <w:p>
    <w:pPr>
      <w:spacing w:before="0" w:after="0" w:line="300" w:lineRule="exact"/>
      <w:jc w:val="center"/>
    </w:pPr>
    <w:r>
      <w:t xml:space="preserve">Defs.’</w:t>
    </w:r>
    <w:r>
      <w:t xml:space="preserve"> </w:t>
    </w:r>
    <w:r>
      <w:t xml:space="preserve">Mem.</w:t>
    </w:r>
    <w:r>
      <w:t xml:space="preserve"> </w:t>
    </w:r>
    <w:r>
      <w:t xml:space="preserve">in</w:t>
    </w:r>
    <w:r>
      <w:t xml:space="preserve"> </w:t>
    </w:r>
    <w:r>
      <w:t xml:space="preserve">Supp.</w:t>
    </w:r>
    <w:r>
      <w:t xml:space="preserve"> </w:t>
    </w:r>
    <w:r>
      <w:t xml:space="preserve">of</w:t>
    </w:r>
    <w:r>
      <w:t xml:space="preserve"> </w:t>
    </w:r>
    <w:r>
      <w:t xml:space="preserve">Motion</w:t>
    </w:r>
    <w:r>
      <w:t xml:space="preserve"> </w:t>
    </w:r>
    <w:r>
      <w:t xml:space="preserve">to</w:t>
    </w:r>
    <w:r>
      <w:t xml:space="preserve"> </w:t>
    </w:r>
    <w:r>
      <w:t xml:space="preserve">Dismiss</w:t>
    </w:r>
    <w:r>
      <w:t xml:space="preserve"> </w:t>
    </w:r>
    <w:r>
      <w:t xml:space="preserve">Sec.</w:t>
    </w:r>
    <w:r>
      <w:t xml:space="preserve"> </w:t>
    </w:r>
    <w:r>
      <w:t xml:space="preserve">Am.</w:t>
    </w:r>
    <w:r>
      <w:t xml:space="preserve"> </w:t>
    </w:r>
    <w:r>
      <w:t xml:space="preserve">Compl.</w:t>
    </w:r>
  </w:p>
  <w:p>
    <w:pPr>
      <w:spacing w:before="0" w:after="0" w:line="300" w:lineRule="exact"/>
      <w:jc w:val="center"/>
    </w:pPr>
    <w:r>
      <w:t xml:space="preserve">Northern</w:t>
    </w:r>
    <w:r>
      <w:t xml:space="preserve"> </w:t>
    </w:r>
    <w:r>
      <w:t xml:space="preserve">Alaska</w:t>
    </w:r>
    <w:r>
      <w:t xml:space="preserve"> </w:t>
    </w:r>
    <w:r>
      <w:t xml:space="preserve">Environmental</w:t>
    </w:r>
    <w:r>
      <w:t xml:space="preserve"> </w:t>
    </w:r>
    <w:r>
      <w:t xml:space="preserve">Center</w:t>
    </w:r>
    <w:r>
      <w:t xml:space="preserve"> </w:t>
    </w:r>
    <w:r>
      <w:t xml:space="preserve">v.</w:t>
    </w:r>
    <w:r>
      <w:t xml:space="preserve"> </w:t>
    </w:r>
    <w:r>
      <w:t xml:space="preserve">Trump,</w:t>
    </w:r>
    <w:r>
      <w:t xml:space="preserve"> </w:t>
    </w:r>
    <w:r>
      <w:t xml:space="preserve">et</w:t>
    </w:r>
    <w:r>
      <w:t xml:space="preserve"> </w:t>
    </w:r>
    <w:r>
      <w:t xml:space="preserve">al.</w:t>
    </w:r>
    <w:r>
      <w:t xml:space="preserve">, Case No. </w:t>
    </w:r>
    <w:r>
      <w:t xml:space="preserve">3:25-cv-⁠00038-SLG</w:t>
    </w:r>
  </w:p>
</w:ftr>
</file>

<file path=word/ftr-own2.xml><?xml version="1.0" encoding="utf-8"?>
<w:ftr xmlns:w="http://schemas.openxmlformats.org/wordprocessingml/2006/main" xmlns:r="http://schemas.openxmlformats.org/officeDocument/2006/relationships">
  <w:p>
    <w:pPr>
      <w:spacing w:before="0" w:after="0" w:line="300"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0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00"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00"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00"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00"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00"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00" w:lineRule="exact"/>
      <w:ind w:left="720" w:hanging="720"/>
    </w:pPr>
  </w:style>
  <w:style w:type="paragraph" w:styleId="BlockText">
    <w:name w:val="Block Text"/>
    <w:basedOn w:val="BodyText"/>
    <w:next w:val="BodyText"/>
    <w:uiPriority w:val="9"/>
    <w:unhideWhenUsed/>
    <w:qFormat/>
    <w:pPr>
      <w:spacing w:before="280" w:after="280" w:line="300" w:lineRule="exact"/>
      <w:ind w:firstLine="0" w:left="720" w:right="720"/>
    </w:pPr>
  </w:style>
  <w:style w:type="paragraph" w:styleId="FootnoteText">
    <w:name w:val="Footnote Text"/>
    <w:basedOn w:val="Normal"/>
    <w:next w:val="FootnoteText"/>
    <w:uiPriority w:val="9"/>
    <w:unhideWhenUsed/>
    <w:qFormat/>
    <w:pPr>
      <w:keepLines/>
      <w:spacing w:before="0" w:after="140" w:line="300"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00" w:lineRule="exact"/>
      <w:ind w:left="720" w:right="720" w:firstLine="0"/>
    </w:pPr>
  </w:style>
  <w:style w:type="paragraph" w:customStyle="1" w:styleId="XdQuoteFirst">
    <w:name w:val="Xd Quote First"/>
    <w:basedOn w:val="Normal"/>
    <w:qFormat/>
    <w:pPr>
      <w:spacing w:before="300" w:after="0" w:line="300" w:lineRule="exact"/>
      <w:ind w:left="720" w:right="720" w:firstLine="0"/>
    </w:pPr>
  </w:style>
  <w:style w:type="paragraph" w:customStyle="1" w:styleId="XdQuoteLast">
    <w:name w:val="Xd Quote Last"/>
    <w:basedOn w:val="Normal"/>
    <w:qFormat/>
    <w:pPr>
      <w:spacing w:before="0" w:after="300" w:line="300" w:lineRule="exact"/>
      <w:ind w:left="720" w:right="720" w:firstLine="0"/>
    </w:pPr>
  </w:style>
  <w:style w:type="paragraph" w:customStyle="1" w:styleId="XdQuoteOnly">
    <w:name w:val="Xd Quote Only"/>
    <w:basedOn w:val="Normal"/>
    <w:qFormat/>
    <w:pPr>
      <w:spacing w:before="300" w:after="300" w:line="300" w:lineRule="exact"/>
      <w:ind w:left="720" w:right="720" w:firstLine="0"/>
    </w:pPr>
  </w:style>
  <w:style w:type="paragraph" w:customStyle="1" w:styleId="XdTail">
    <w:name w:val="Xd Tail"/>
    <w:basedOn w:val="Normal"/>
    <w:qFormat/>
    <w:pPr>
      <w:spacing w:before="0" w:after="0" w:line="300"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00" w:lineRule="exact"/>
      <w:ind w:left="720" w:hanging="720"/>
    </w:pPr>
  </w:style>
  <w:style w:type="paragraph" w:customStyle="1" w:styleId="XdList2">
    <w:name w:val="XdList 2"/>
    <w:basedOn w:val="Normal"/>
    <w:qFormat/>
    <w:pPr>
      <w:spacing w:before="0" w:after="0" w:line="600" w:lineRule="exact"/>
      <w:ind w:left="1440" w:hanging="720"/>
    </w:pPr>
  </w:style>
  <w:style w:type="paragraph" w:customStyle="1" w:styleId="XdList3">
    <w:name w:val="XdList 3"/>
    <w:basedOn w:val="Normal"/>
    <w:qFormat/>
    <w:pPr>
      <w:spacing w:before="0" w:after="0" w:line="600" w:lineRule="exact"/>
      <w:ind w:left="2160" w:hanging="720"/>
    </w:pPr>
  </w:style>
  <w:style w:type="paragraph" w:customStyle="1" w:styleId="XdTailList1">
    <w:name w:val="XdTailList 1"/>
    <w:basedOn w:val="Normal"/>
    <w:qFormat/>
    <w:pPr>
      <w:spacing w:before="0" w:after="0" w:line="300" w:lineRule="exact"/>
      <w:ind w:left="720" w:hanging="720"/>
    </w:pPr>
  </w:style>
  <w:style w:type="paragraph" w:customStyle="1" w:styleId="XdTailList2">
    <w:name w:val="XdTailList 2"/>
    <w:basedOn w:val="Normal"/>
    <w:qFormat/>
    <w:pPr>
      <w:spacing w:before="0" w:after="0" w:line="300" w:lineRule="exact"/>
      <w:ind w:left="1440" w:hanging="720"/>
    </w:pPr>
  </w:style>
  <w:style w:type="paragraph" w:customStyle="1" w:styleId="XdTailList3">
    <w:name w:val="XdTailList 3"/>
    <w:basedOn w:val="Normal"/>
    <w:qFormat/>
    <w:pPr>
      <w:spacing w:before="0" w:after="0" w:line="300" w:lineRule="exact"/>
      <w:ind w:left="2160" w:hanging="720"/>
    </w:pPr>
  </w:style>
  <w:style w:type="paragraph" w:customStyle="1" w:styleId="XdQuoteList1">
    <w:name w:val="Xd Quote List 1"/>
    <w:basedOn w:val="Normal"/>
    <w:qFormat/>
    <w:pPr>
      <w:spacing w:before="0" w:after="0" w:line="300" w:lineRule="exact"/>
      <w:ind w:left="1440" w:right="720" w:hanging="720"/>
    </w:pPr>
  </w:style>
  <w:style w:type="paragraph" w:customStyle="1" w:styleId="XdQuoteList2">
    <w:name w:val="Xd Quote List 2"/>
    <w:basedOn w:val="Normal"/>
    <w:qFormat/>
    <w:pPr>
      <w:spacing w:before="0" w:after="0" w:line="300" w:lineRule="exact"/>
      <w:ind w:left="2160" w:right="720" w:hanging="720"/>
    </w:pPr>
  </w:style>
  <w:style w:type="paragraph" w:customStyle="1" w:styleId="XdQuoteList3">
    <w:name w:val="Xd Quote List 3"/>
    <w:basedOn w:val="Normal"/>
    <w:qFormat/>
    <w:pPr>
      <w:spacing w:before="0" w:after="0" w:line="300"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