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168" w:after="0" w:line="400" w:lineRule="exact"/>
        <w:ind w:left="0" w:firstLine="0"/>
        <w:jc w:val="center"/>
      </w:pPr>
      <w:r>
        <w:rPr>
          <w:b/>
          <w:bCs/>
        </w:rPr>
        <w:t xml:space="preserve">No. </w:t>
      </w:r>
      <w:r>
        <w:rPr>
          <w:b/>
          <w:bCs/>
        </w:rPr>
        <w:t xml:space="preserve">26</w:t>
        <w:noBreakHyphen/>
        <w:t xml:space="preserve">4014</w:t>
      </w:r>
    </w:p>
    <w:p>
      <w:pPr>
        <w:keepNext/>
        <w:keepLines/>
        <w:spacing w:before="280" w:after="280" w:line="400" w:lineRule="exact"/>
        <w:ind w:left="0" w:firstLine="0"/>
        <w:jc w:val="center"/>
      </w:pPr>
      <w:r>
        <w:rPr>
          <w:b/>
          <w:bCs/>
        </w:rPr>
        <w:t xml:space="preserve">IN THE UNITED STATES COURT OF APPEALS</w:t>
      </w:r>
      <w:r>
        <w:br/>
      </w:r>
      <w:r>
        <w:rPr>
          <w:b/>
          <w:bCs/>
        </w:rPr>
        <w:t xml:space="preserve">FOR THE TENTH CIRCUIT</w:t>
      </w:r>
    </w:p>
    <w:p>
      <w:pPr>
        <w:keepNext/>
        <w:keepLines/>
        <w:spacing w:before="0" w:after="98" w:line="400" w:lineRule="exact"/>
        <w:ind w:left="0" w:firstLine="0"/>
        <w:jc w:val="center"/>
      </w:pPr>
      <w:r>
        <w:t xml:space="preserve">PHIL</w:t>
      </w:r>
      <w:r>
        <w:t xml:space="preserve"> </w:t>
      </w:r>
      <w:r>
        <w:t xml:space="preserve">LYMAN,</w:t>
      </w:r>
    </w:p>
    <w:p>
      <w:pPr>
        <w:keepNext/>
        <w:keepLines/>
        <w:spacing w:before="0" w:after="98" w:line="400" w:lineRule="exact"/>
        <w:ind w:left="4680"/>
      </w:pPr>
      <w:r>
        <w:rPr>
          <w:i/>
          <w:iCs/>
        </w:rPr>
        <w:t xml:space="preserve">Plaintiff-Appellant</w:t>
      </w:r>
    </w:p>
    <w:p>
      <w:pPr>
        <w:keepNext/>
        <w:keepLines/>
        <w:spacing w:before="84" w:after="84" w:line="400" w:lineRule="exact"/>
        <w:ind w:left="0" w:firstLine="0"/>
        <w:jc w:val="center"/>
      </w:pPr>
      <w:r>
        <w:t xml:space="preserve">v.</w:t>
      </w:r>
    </w:p>
    <w:p>
      <w:pPr>
        <w:keepNext/>
        <w:keepLines/>
        <w:spacing w:before="0" w:after="98" w:line="400" w:lineRule="exact"/>
        <w:ind w:left="0" w:firstLine="0"/>
        <w:jc w:val="center"/>
      </w:pPr>
      <w:r>
        <w:t xml:space="preserve">DEIDRE</w:t>
      </w:r>
      <w:r>
        <w:t xml:space="preserve"> </w:t>
      </w:r>
      <w:r>
        <w:t xml:space="preserve">HENDERSON,</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Lt.</w:t>
      </w:r>
      <w:r>
        <w:t xml:space="preserve"> </w:t>
      </w:r>
      <w:r>
        <w:t xml:space="preserve">Governor</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Utah,</w:t>
      </w:r>
    </w:p>
    <w:p>
      <w:pPr>
        <w:keepNext/>
        <w:keepLines/>
        <w:spacing w:before="0" w:after="98" w:line="400" w:lineRule="exact"/>
        <w:ind w:left="4680"/>
      </w:pPr>
      <w:r>
        <w:rPr>
          <w:i/>
          <w:iCs/>
        </w:rPr>
        <w:t xml:space="preserve">Defendant-Appellee</w:t>
      </w:r>
    </w:p>
    <w:p>
      <w:pPr>
        <w:keepNext/>
        <w:keepLines/>
        <w:pBdr>
          <w:bottom w:val="single" w:sz="6" w:space="1" w:color="000000"/>
        </w:pBdr>
        <w:spacing w:before="280" w:after="280" w:line="120" w:lineRule="exact"/>
        <w:ind w:left="3240" w:right="3240"/>
      </w:pPr>
    </w:p>
    <w:p>
      <w:pPr>
        <w:keepNext/>
        <w:keepLines/>
        <w:spacing w:before="0" w:after="98" w:line="400" w:lineRule="exact"/>
        <w:ind w:left="0" w:firstLine="0"/>
        <w:jc w:val="center"/>
      </w:pP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Utah</w:t>
      </w:r>
    </w:p>
    <w:p>
      <w:pPr>
        <w:keepNext/>
        <w:keepLines/>
        <w:spacing w:before="0" w:after="0" w:line="400" w:lineRule="exact"/>
        <w:ind w:left="0" w:firstLine="0"/>
        <w:jc w:val="center"/>
      </w:pPr>
      <w:r>
        <w:t xml:space="preserve">D.C. No. </w:t>
      </w:r>
      <w:r>
        <w:t xml:space="preserve">4:25-CV</w:t>
        <w:noBreakHyphen/>
        <w:t xml:space="preserve">00069-DN-PK</w:t>
      </w:r>
      <w:r>
        <w:t xml:space="preserve">; </w:t>
      </w:r>
      <w:r>
        <w:t xml:space="preserve">Honorable</w:t>
      </w:r>
      <w:r>
        <w:t xml:space="preserve"> </w:t>
      </w:r>
      <w:r>
        <w:t xml:space="preserve">David</w:t>
      </w:r>
      <w:r>
        <w:t xml:space="preserve"> </w:t>
      </w:r>
      <w:r>
        <w:t xml:space="preserve">Nuffer,</w:t>
      </w:r>
      <w:r>
        <w:t xml:space="preserve"> </w:t>
      </w:r>
      <w:r>
        <w:t xml:space="preserve">District</w:t>
      </w:r>
      <w:r>
        <w:t xml:space="preserve"> </w:t>
      </w:r>
      <w:r>
        <w:t xml:space="preserve">Judge</w:t>
      </w:r>
    </w:p>
    <w:p>
      <w:pPr>
        <w:keepNext/>
        <w:keepLines/>
        <w:pBdr>
          <w:bottom w:val="single" w:sz="6" w:space="1" w:color="000000"/>
        </w:pBdr>
        <w:spacing w:before="280" w:after="280" w:line="120" w:lineRule="exact"/>
        <w:ind w:left="3240" w:right="3240"/>
      </w:pPr>
    </w:p>
    <w:p>
      <w:pPr>
        <w:keepNext/>
        <w:keepLines/>
        <w:spacing w:before="0" w:after="0" w:line="400" w:lineRule="exact"/>
        <w:ind w:left="0" w:firstLine="0"/>
        <w:jc w:val="center"/>
      </w:pPr>
      <w:r>
        <w:rPr>
          <w:b/>
          <w:bCs/>
          <w:caps/>
        </w:rPr>
        <w:t xml:space="preserve">Appellant’s</w:t>
      </w:r>
      <w:r>
        <w:rPr>
          <w:b/>
          <w:bCs/>
          <w:caps/>
        </w:rPr>
        <w:t xml:space="preserve"> </w:t>
      </w:r>
      <w:r>
        <w:rPr>
          <w:b/>
          <w:bCs/>
          <w:caps/>
        </w:rPr>
        <w:t xml:space="preserve">Reply</w:t>
      </w:r>
      <w:r>
        <w:rPr>
          <w:b/>
          <w:bCs/>
          <w:caps/>
        </w:rPr>
        <w:t xml:space="preserve"> </w:t>
      </w:r>
      <w:r>
        <w:rPr>
          <w:b/>
          <w:bCs/>
          <w:caps/>
        </w:rPr>
        <w:t xml:space="preserve">Brief</w:t>
      </w:r>
    </w:p>
    <w:p>
      <w:pPr>
        <w:keepNext/>
        <w:keepLines/>
        <w:pBdr>
          <w:bottom w:val="single" w:sz="6" w:space="1" w:color="000000"/>
        </w:pBdr>
        <w:spacing w:before="280" w:after="280" w:line="120" w:lineRule="exact"/>
        <w:ind w:left="3240" w:right="3240"/>
      </w:pPr>
    </w:p>
    <w:p>
      <w:pPr>
        <w:keepNext/>
        <w:keepLines/>
        <w:spacing w:before="0" w:after="0" w:line="400" w:lineRule="exact"/>
        <w:ind w:left="4680"/>
      </w:pPr>
      <w:r>
        <w:t xml:space="preserve">Kaylan</w:t>
      </w:r>
      <w:r>
        <w:t xml:space="preserve"> </w:t>
      </w:r>
      <w:r>
        <w:t xml:space="preserve">Phillips</w:t>
      </w:r>
    </w:p>
    <w:p>
      <w:pPr>
        <w:keepNext/>
        <w:keepLines/>
        <w:spacing w:before="0" w:after="0" w:line="400" w:lineRule="exact"/>
        <w:ind w:left="4680" w:firstLine="140"/>
      </w:pPr>
      <w:r>
        <w:rPr>
          <w:i/>
          <w:iCs/>
        </w:rPr>
        <w:t xml:space="preserve">PUBLIC</w:t>
      </w:r>
      <w:r>
        <w:rPr>
          <w:i/>
          <w:iCs/>
        </w:rPr>
        <w:t xml:space="preserve"> </w:t>
      </w:r>
      <w:r>
        <w:rPr>
          <w:i/>
          <w:iCs/>
        </w:rPr>
        <w:t xml:space="preserve">INTEREST</w:t>
      </w:r>
      <w:r>
        <w:rPr>
          <w:i/>
          <w:iCs/>
        </w:rPr>
        <w:t xml:space="preserve"> </w:t>
      </w:r>
      <w:r>
        <w:rPr>
          <w:i/>
          <w:iCs/>
        </w:rPr>
        <w:t xml:space="preserve">LEGAL</w:t>
      </w:r>
      <w:r>
        <w:rPr>
          <w:i/>
          <w:iCs/>
        </w:rPr>
        <w:t xml:space="preserve"> </w:t>
      </w:r>
      <w:r>
        <w:rPr>
          <w:i/>
          <w:iCs/>
        </w:rPr>
        <w:t xml:space="preserve">FOUNDATION</w:t>
      </w:r>
    </w:p>
    <w:p>
      <w:pPr>
        <w:keepNext/>
        <w:keepLines/>
        <w:spacing w:before="0" w:after="0" w:line="400" w:lineRule="exact"/>
        <w:ind w:left="4680" w:firstLine="140"/>
      </w:pPr>
      <w:r>
        <w:rPr>
          <w:i/>
          <w:iCs/>
        </w:rPr>
        <w:t xml:space="preserve">107</w:t>
      </w:r>
      <w:r>
        <w:rPr>
          <w:i/>
          <w:iCs/>
        </w:rPr>
        <w:t xml:space="preserve"> </w:t>
      </w:r>
      <w:r>
        <w:rPr>
          <w:i/>
          <w:iCs/>
        </w:rPr>
        <w:t xml:space="preserve">S.</w:t>
      </w:r>
      <w:r>
        <w:rPr>
          <w:i/>
          <w:iCs/>
        </w:rPr>
        <w:t xml:space="preserve"> </w:t>
      </w:r>
      <w:r>
        <w:rPr>
          <w:i/>
          <w:iCs/>
        </w:rPr>
        <w:t xml:space="preserve">West</w:t>
      </w:r>
      <w:r>
        <w:rPr>
          <w:i/>
          <w:iCs/>
        </w:rPr>
        <w:t xml:space="preserve"> </w:t>
      </w:r>
      <w:r>
        <w:rPr>
          <w:i/>
          <w:iCs/>
        </w:rPr>
        <w:t xml:space="preserve">Street,</w:t>
      </w:r>
      <w:r>
        <w:rPr>
          <w:i/>
          <w:iCs/>
        </w:rPr>
        <w:t xml:space="preserve"> </w:t>
      </w:r>
      <w:r>
        <w:rPr>
          <w:i/>
          <w:iCs/>
        </w:rPr>
        <w:t xml:space="preserve">Ste.</w:t>
      </w:r>
      <w:r>
        <w:rPr>
          <w:i/>
          <w:iCs/>
        </w:rPr>
        <w:t xml:space="preserve"> </w:t>
      </w:r>
      <w:r>
        <w:rPr>
          <w:i/>
          <w:iCs/>
        </w:rPr>
        <w:t xml:space="preserve">700</w:t>
      </w:r>
    </w:p>
    <w:p>
      <w:pPr>
        <w:keepNext/>
        <w:keepLines/>
        <w:spacing w:before="0" w:after="0" w:line="400" w:lineRule="exact"/>
        <w:ind w:left="4680" w:firstLine="140"/>
      </w:pPr>
      <w:r>
        <w:rPr>
          <w:i/>
          <w:iCs/>
        </w:rPr>
        <w:t xml:space="preserve">Alexandria,</w:t>
      </w:r>
      <w:r>
        <w:rPr>
          <w:i/>
          <w:iCs/>
        </w:rPr>
        <w:t xml:space="preserve"> </w:t>
      </w:r>
      <w:r>
        <w:rPr>
          <w:i/>
          <w:iCs/>
        </w:rPr>
        <w:t xml:space="preserve">VA</w:t>
      </w:r>
      <w:r>
        <w:rPr>
          <w:i/>
          <w:iCs/>
        </w:rPr>
        <w:t xml:space="preserve"> </w:t>
      </w:r>
      <w:r>
        <w:rPr>
          <w:i/>
          <w:iCs/>
        </w:rPr>
        <w:t xml:space="preserve">22314</w:t>
      </w:r>
    </w:p>
    <w:p>
      <w:pPr>
        <w:keepNext/>
        <w:keepLines/>
        <w:spacing w:before="0" w:after="0" w:line="400" w:lineRule="exact"/>
        <w:ind w:left="4680" w:firstLine="140"/>
      </w:pPr>
      <w:r>
        <w:rPr>
          <w:i/>
          <w:iCs/>
        </w:rPr>
        <w:t xml:space="preserve">kphillips@publicinterestlegal.org</w:t>
      </w:r>
    </w:p>
    <w:p>
      <w:pPr>
        <w:keepNext/>
        <w:keepLines/>
        <w:spacing w:before="0" w:after="0" w:line="400" w:lineRule="exact"/>
        <w:ind w:left="4680" w:firstLine="140"/>
      </w:pPr>
      <w:r>
        <w:rPr>
          <w:i/>
          <w:iCs/>
        </w:rPr>
        <w:t xml:space="preserve">(703)</w:t>
      </w:r>
      <w:r>
        <w:rPr>
          <w:i/>
          <w:iCs/>
        </w:rPr>
        <w:t xml:space="preserve"> </w:t>
      </w:r>
      <w:r>
        <w:rPr>
          <w:i/>
          <w:iCs/>
        </w:rPr>
        <w:t xml:space="preserve">745</w:t>
        <w:noBreakHyphen/>
        <w:t xml:space="preserve">5870</w:t>
      </w:r>
    </w:p>
    <w:p>
      <w:pPr>
        <w:spacing w:before="0" w:after="0" w:line="20" w:lineRule="exact"/>
        <w:sectPr>
          <w:footerReference w:type="default" r:id="rIdFtrNone"/>
          <w:pgSz w:w="12240" w:h="15840"/>
          <w:pgMar w:top="1440" w:right="1440" w:bottom="1440" w:left="1440" w:header="720" w:footer="608"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400" w:lineRule="exact"/>
        <w:ind w:left="0" w:right="20"/>
        <w:jc w:val="right"/>
      </w:pPr>
      <w:r>
        <w:rPr>
          <w:b/>
          <w:bCs/>
          <w:u w:val="single"/>
        </w:rPr>
        <w:t xml:space="preserve">Page</w:t>
      </w:r>
    </w:p>
    <w:p>
      <w:pPr>
        <w:keepLines/>
        <w:tabs>
          <w:tab w:val="right" w:leader="dot" w:pos="9360"/>
        </w:tabs>
        <w:spacing w:before="168" w:after="0" w:line="400" w:lineRule="exact"/>
        <w:ind w:left="720" w:right="720" w:hanging="720"/>
      </w:pPr>
      <w:r>
        <w:t xml:space="preserve">TABLE OF AUTHORITIES</w:t>
      </w:r>
      <w:r>
        <w:t xml:space="preserve">   </w:t>
      </w:r>
      <w:r>
        <w:tab/>
      </w:r>
      <w:r>
        <w:t xml:space="preserve">ii</w:t>
      </w:r>
    </w:p>
    <w:p>
      <w:pPr>
        <w:keepLines/>
        <w:tabs>
          <w:tab w:val="right" w:leader="dot" w:pos="9360"/>
        </w:tabs>
        <w:spacing w:before="168" w:after="0" w:line="400" w:lineRule="exact"/>
        <w:ind w:left="720" w:right="720" w:hanging="720"/>
      </w:pPr>
      <w:r>
        <w:t xml:space="preserve">ARGUMENT</w:t>
      </w:r>
      <w:r>
        <w:t xml:space="preserve">   </w:t>
      </w:r>
      <w:r>
        <w:tab/>
      </w:r>
      <w:r>
        <w:t xml:space="preserve">1</w:t>
      </w:r>
    </w:p>
    <w:p>
      <w:pPr>
        <w:keepLines/>
        <w:tabs>
          <w:tab w:val="right" w:leader="dot" w:pos="9360"/>
        </w:tabs>
        <w:spacing w:before="98" w:after="0" w:line="400" w:lineRule="exact"/>
        <w:ind w:left="720" w:right="720" w:hanging="720"/>
      </w:pPr>
      <w:r>
        <w:t xml:space="preserve">I.</w:t>
      </w:r>
      <w:r>
        <w:tab/>
      </w:r>
      <w:r>
        <w:t xml:space="preserve">The</w:t>
      </w:r>
      <w:r>
        <w:t xml:space="preserve"> </w:t>
      </w:r>
      <w:r>
        <w:t xml:space="preserve">Ninth</w:t>
      </w:r>
      <w:r>
        <w:t xml:space="preserve"> </w:t>
      </w:r>
      <w:r>
        <w:t xml:space="preserve">Circuit</w:t>
      </w:r>
      <w:r>
        <w:t xml:space="preserve"> </w:t>
      </w:r>
      <w:r>
        <w:t xml:space="preserve">Just</w:t>
      </w:r>
      <w:r>
        <w:t xml:space="preserve"> </w:t>
      </w:r>
      <w:r>
        <w:t xml:space="preserve">Resolved</w:t>
      </w:r>
      <w:r>
        <w:t xml:space="preserve"> </w:t>
      </w:r>
      <w:r>
        <w:t xml:space="preserve">the</w:t>
      </w:r>
      <w:r>
        <w:t xml:space="preserve"> </w:t>
      </w:r>
      <w:r>
        <w:t xml:space="preserve">Standing</w:t>
      </w:r>
      <w:r>
        <w:t xml:space="preserve"> </w:t>
      </w:r>
      <w:r>
        <w:t xml:space="preserve">Standard</w:t>
      </w:r>
      <w:r>
        <w:t xml:space="preserve"> </w:t>
      </w:r>
      <w:r>
        <w:t xml:space="preserve">and</w:t>
      </w:r>
      <w:r>
        <w:t xml:space="preserve"> </w:t>
      </w:r>
      <w:r>
        <w:t xml:space="preserve">Mr.</w:t>
      </w:r>
      <w:r>
        <w:t xml:space="preserve"> </w:t>
      </w:r>
      <w:r>
        <w:t xml:space="preserve">Lyman</w:t>
      </w:r>
      <w:r>
        <w:t xml:space="preserve"> </w:t>
      </w:r>
      <w:r>
        <w:t xml:space="preserve">Meets</w:t>
      </w:r>
      <w:r>
        <w:t xml:space="preserve"> </w:t>
      </w:r>
      <w:r>
        <w:t xml:space="preserve">It.</w:t>
      </w:r>
      <w:r>
        <w:t xml:space="preserve">   </w:t>
      </w:r>
      <w:r>
        <w:tab/>
      </w:r>
      <w:r>
        <w:t xml:space="preserve">1</w:t>
      </w:r>
    </w:p>
    <w:p>
      <w:pPr>
        <w:keepLines/>
        <w:tabs>
          <w:tab w:val="right" w:leader="dot" w:pos="9360"/>
        </w:tabs>
        <w:spacing w:before="98" w:after="0" w:line="400" w:lineRule="exact"/>
        <w:ind w:left="720" w:right="720" w:hanging="720"/>
      </w:pPr>
      <w:r>
        <w:t xml:space="preserve">II.</w:t>
      </w:r>
      <w:r>
        <w:tab/>
      </w:r>
      <w:r>
        <w:t xml:space="preserve">Mr.</w:t>
      </w:r>
      <w:r>
        <w:t xml:space="preserve"> </w:t>
      </w:r>
      <w:r>
        <w:t xml:space="preserve">Lyman’s</w:t>
      </w:r>
      <w:r>
        <w:t xml:space="preserve"> </w:t>
      </w:r>
      <w:r>
        <w:t xml:space="preserve">Status</w:t>
      </w:r>
      <w:r>
        <w:t xml:space="preserve"> </w:t>
      </w:r>
      <w:r>
        <w:t xml:space="preserve">as</w:t>
      </w:r>
      <w:r>
        <w:t xml:space="preserve"> </w:t>
      </w:r>
      <w:r>
        <w:t xml:space="preserve">a</w:t>
      </w:r>
      <w:r>
        <w:t xml:space="preserve"> </w:t>
      </w:r>
      <w:r>
        <w:t xml:space="preserve">Candidate</w:t>
      </w:r>
      <w:r>
        <w:t xml:space="preserve"> </w:t>
      </w:r>
      <w:r>
        <w:t xml:space="preserve">Is</w:t>
      </w:r>
      <w:r>
        <w:t xml:space="preserve"> </w:t>
      </w:r>
      <w:r>
        <w:t xml:space="preserve">Indisputable.</w:t>
      </w:r>
      <w:r>
        <w:t xml:space="preserve">   </w:t>
      </w:r>
      <w:r>
        <w:tab/>
      </w:r>
      <w:r>
        <w:t xml:space="preserve">4</w:t>
      </w:r>
    </w:p>
    <w:p>
      <w:pPr>
        <w:keepLines/>
        <w:tabs>
          <w:tab w:val="right" w:leader="dot" w:pos="9360"/>
        </w:tabs>
        <w:spacing w:before="98" w:after="0" w:line="400" w:lineRule="exact"/>
        <w:ind w:left="1440" w:right="720" w:hanging="720"/>
      </w:pPr>
      <w:r>
        <w:t xml:space="preserve">A.</w:t>
      </w:r>
      <w:r>
        <w:tab/>
      </w:r>
      <w:r>
        <w:t xml:space="preserve">The</w:t>
      </w:r>
      <w:r>
        <w:t xml:space="preserve"> </w:t>
      </w:r>
      <w:r>
        <w:t xml:space="preserve">Lower</w:t>
      </w:r>
      <w:r>
        <w:t xml:space="preserve"> </w:t>
      </w:r>
      <w:r>
        <w:t xml:space="preserve">Court</w:t>
      </w:r>
      <w:r>
        <w:t xml:space="preserve"> </w:t>
      </w:r>
      <w:r>
        <w:t xml:space="preserve">Acknowledged</w:t>
      </w:r>
      <w:r>
        <w:t xml:space="preserve"> </w:t>
      </w:r>
      <w:r>
        <w:t xml:space="preserve">Mr.</w:t>
      </w:r>
      <w:r>
        <w:t xml:space="preserve"> </w:t>
      </w:r>
      <w:r>
        <w:t xml:space="preserve">Lyman’s</w:t>
      </w:r>
      <w:r>
        <w:t xml:space="preserve"> </w:t>
      </w:r>
      <w:r>
        <w:t xml:space="preserve">Status</w:t>
      </w:r>
      <w:r>
        <w:t xml:space="preserve"> </w:t>
      </w:r>
      <w:r>
        <w:t xml:space="preserve">as</w:t>
      </w:r>
      <w:r>
        <w:t xml:space="preserve"> </w:t>
      </w:r>
      <w:r>
        <w:t xml:space="preserve">a</w:t>
      </w:r>
      <w:r>
        <w:t xml:space="preserve"> </w:t>
      </w:r>
      <w:r>
        <w:t xml:space="preserve">Candidate.</w:t>
      </w:r>
      <w:r>
        <w:t xml:space="preserve">   </w:t>
      </w:r>
      <w:r>
        <w:tab/>
      </w:r>
      <w:r>
        <w:t xml:space="preserve">4</w:t>
      </w:r>
    </w:p>
    <w:p>
      <w:pPr>
        <w:keepLines/>
        <w:tabs>
          <w:tab w:val="right" w:leader="dot" w:pos="9360"/>
        </w:tabs>
        <w:spacing w:before="98" w:after="0" w:line="400" w:lineRule="exact"/>
        <w:ind w:left="1440" w:right="720" w:hanging="720"/>
      </w:pPr>
      <w:r>
        <w:t xml:space="preserve">B.</w:t>
      </w:r>
      <w:r>
        <w:tab/>
      </w:r>
      <w:r>
        <w:rPr>
          <w:i/>
          <w:iCs/>
        </w:rPr>
        <w:t xml:space="preserve">Bost</w:t>
      </w:r>
      <w:r>
        <w:t xml:space="preserve"> </w:t>
      </w:r>
      <w:r>
        <w:t xml:space="preserve">Controls.</w:t>
      </w:r>
      <w:r>
        <w:t xml:space="preserve">   </w:t>
      </w:r>
      <w:r>
        <w:tab/>
      </w:r>
      <w:r>
        <w:t xml:space="preserve">6</w:t>
      </w:r>
    </w:p>
    <w:p>
      <w:pPr>
        <w:keepLines/>
        <w:tabs>
          <w:tab w:val="right" w:leader="dot" w:pos="9360"/>
        </w:tabs>
        <w:spacing w:before="98" w:after="0" w:line="400" w:lineRule="exact"/>
        <w:ind w:left="720" w:right="720" w:hanging="720"/>
      </w:pPr>
      <w:r>
        <w:t xml:space="preserve">III.</w:t>
      </w:r>
      <w:r>
        <w:tab/>
      </w:r>
      <w:r>
        <w:t xml:space="preserve">Utah’s</w:t>
      </w:r>
      <w:r>
        <w:t xml:space="preserve"> </w:t>
      </w:r>
      <w:r>
        <w:t xml:space="preserve">New</w:t>
      </w:r>
      <w:r>
        <w:t xml:space="preserve"> </w:t>
      </w:r>
      <w:r>
        <w:t xml:space="preserve">Privacy</w:t>
      </w:r>
      <w:r>
        <w:t xml:space="preserve"> </w:t>
      </w:r>
      <w:r>
        <w:t xml:space="preserve">Law</w:t>
      </w:r>
      <w:r>
        <w:t xml:space="preserve"> </w:t>
      </w:r>
      <w:r>
        <w:t xml:space="preserve">Confirms</w:t>
      </w:r>
      <w:r>
        <w:t xml:space="preserve"> </w:t>
      </w:r>
      <w:r>
        <w:t xml:space="preserve">the</w:t>
      </w:r>
      <w:r>
        <w:t xml:space="preserve"> </w:t>
      </w:r>
      <w:r>
        <w:t xml:space="preserve">Controversy</w:t>
      </w:r>
      <w:r>
        <w:t xml:space="preserve"> </w:t>
      </w:r>
      <w:r>
        <w:t xml:space="preserve">before</w:t>
      </w:r>
      <w:r>
        <w:t xml:space="preserve"> </w:t>
      </w:r>
      <w:r>
        <w:t xml:space="preserve">this</w:t>
      </w:r>
      <w:r>
        <w:t xml:space="preserve"> </w:t>
      </w:r>
      <w:r>
        <w:t xml:space="preserve">Court.</w:t>
      </w:r>
      <w:r>
        <w:t xml:space="preserve">   </w:t>
      </w:r>
      <w:r>
        <w:tab/>
      </w:r>
      <w:r>
        <w:t xml:space="preserve">7</w:t>
      </w:r>
    </w:p>
    <w:p>
      <w:pPr>
        <w:keepLines/>
        <w:tabs>
          <w:tab w:val="right" w:leader="dot" w:pos="9360"/>
        </w:tabs>
        <w:spacing w:before="168" w:after="0" w:line="400" w:lineRule="exact"/>
        <w:ind w:left="720" w:right="720" w:hanging="720"/>
      </w:pPr>
      <w:r>
        <w:t xml:space="preserve">CONCLUSION</w:t>
      </w:r>
      <w:r>
        <w:t xml:space="preserve">   </w:t>
      </w:r>
      <w:r>
        <w:tab/>
      </w:r>
      <w:r>
        <w:t xml:space="preserve">8</w:t>
      </w:r>
    </w:p>
    <w:p>
      <w:pPr>
        <w:keepLines/>
        <w:tabs>
          <w:tab w:val="right" w:leader="dot" w:pos="9360"/>
        </w:tabs>
        <w:spacing w:before="168" w:after="0" w:line="400" w:lineRule="exact"/>
        <w:ind w:left="720" w:right="720" w:hanging="720"/>
      </w:pPr>
      <w:r>
        <w:t xml:space="preserve">CERTIFICATE OF COMPLIANCE WITH TYPE-VOLUME LIMIT, TYPEFACE REQUIREMENTS, AND TYPE STYLE REQUIREMENTS</w:t>
      </w:r>
      <w:r>
        <w:t xml:space="preserve">   </w:t>
      </w:r>
      <w:r>
        <w:tab/>
      </w:r>
      <w:r>
        <w:t xml:space="preserve">9</w:t>
      </w:r>
    </w:p>
    <w:p>
      <w:pPr>
        <w:keepLines/>
        <w:tabs>
          <w:tab w:val="right" w:leader="dot" w:pos="9360"/>
        </w:tabs>
        <w:spacing w:before="168" w:after="0" w:line="400" w:lineRule="exact"/>
        <w:ind w:left="720" w:right="720" w:hanging="720"/>
      </w:pPr>
      <w:r>
        <w:t xml:space="preserve">CERTIFICATE OF DIGITAL SUBMISSION</w:t>
      </w:r>
      <w:r>
        <w:t xml:space="preserve">   </w:t>
      </w:r>
      <w:r>
        <w:tab/>
      </w:r>
      <w:r>
        <w:t xml:space="preserve">10</w:t>
      </w:r>
    </w:p>
    <w:p>
      <w:pPr>
        <w:keepLines/>
        <w:tabs>
          <w:tab w:val="right" w:leader="dot" w:pos="9360"/>
        </w:tabs>
        <w:spacing w:before="168" w:after="0" w:line="400" w:lineRule="exact"/>
        <w:ind w:left="720" w:right="720" w:hanging="720"/>
      </w:pPr>
      <w:r>
        <w:t xml:space="preserve">CERTIFICATE OF SERVICE</w:t>
      </w:r>
      <w:r>
        <w:t xml:space="preserve">   </w:t>
      </w:r>
      <w:r>
        <w:tab/>
      </w:r>
      <w:r>
        <w:t xml:space="preserve">11</w:t>
      </w:r>
    </w:p>
    <w:p>
      <w:pPr>
        <w:pStyle w:val="Heading1"/>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400" w:lineRule="exact"/>
        <w:ind w:left="0"/>
      </w:pPr>
      <w:r>
        <w:rPr>
          <w:b/>
          <w:bCs/>
        </w:rPr>
        <w:t xml:space="preserve">Cases:</w:t>
      </w:r>
      <w:r>
        <w:tab/>
      </w:r>
      <w:r>
        <w:rPr>
          <w:b/>
          <w:bCs/>
          <w:u w:val="single"/>
        </w:rPr>
        <w:t xml:space="preserve">Page(s)</w:t>
      </w:r>
    </w:p>
    <w:p>
      <w:pPr>
        <w:keepLines/>
        <w:tabs>
          <w:tab w:val="right" w:leader="dot" w:pos="9360"/>
        </w:tabs>
        <w:spacing w:before="196" w:after="0" w:line="400" w:lineRule="exact"/>
        <w:ind w:left="504" w:right="1120" w:hanging="504"/>
      </w:pPr>
      <w:r>
        <w:rPr>
          <w:i/>
          <w:iCs/>
        </w:rPr>
        <w:t xml:space="preserve">Bost</w:t>
      </w:r>
      <w:r>
        <w:rPr>
          <w:i/>
          <w:iCs/>
        </w:rPr>
        <w:t xml:space="preserve"> </w:t>
      </w:r>
      <w:r>
        <w:rPr>
          <w:i/>
          <w:iCs/>
        </w:rPr>
        <w:t xml:space="preserve">v.</w:t>
      </w:r>
      <w:r>
        <w:rPr>
          <w:i/>
          <w:iCs/>
        </w:rPr>
        <w:t xml:space="preserve"> </w:t>
      </w:r>
      <w:r>
        <w:rPr>
          <w:i/>
          <w:iCs/>
        </w:rPr>
        <w:t xml:space="preserve">Ill.</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t xml:space="preserve">,</w:t>
      </w:r>
      <w:r>
        <w:br/>
      </w:r>
      <w:r>
        <w:t xml:space="preserve">607</w:t>
      </w:r>
      <w:r>
        <w:t xml:space="preserve"> </w:t>
      </w:r>
      <w:r>
        <w:t xml:space="preserve">U.S.</w:t>
      </w:r>
      <w:r>
        <w:t xml:space="preserve"> </w:t>
      </w:r>
      <w:r>
        <w:t xml:space="preserve">71</w:t>
      </w:r>
      <w:r>
        <w:t xml:space="preserve"> </w:t>
      </w:r>
      <w:r>
        <w:t xml:space="preserve">(2026)</w:t>
      </w:r>
      <w:r>
        <w:t xml:space="preserve">   </w:t>
      </w:r>
      <w:r>
        <w:tab/>
      </w:r>
      <w:r>
        <w:t xml:space="preserve">6</w:t>
      </w:r>
    </w:p>
    <w:p>
      <w:pPr>
        <w:keepLines/>
        <w:tabs>
          <w:tab w:val="right" w:leader="dot" w:pos="9360"/>
        </w:tabs>
        <w:spacing w:before="196" w:after="0" w:line="400" w:lineRule="exact"/>
        <w:ind w:left="504" w:right="1120" w:hanging="504"/>
      </w:pPr>
      <w:r>
        <w:rPr>
          <w:i/>
          <w:iCs/>
        </w:rPr>
        <w:t xml:space="preserve">California</w:t>
      </w:r>
      <w:r>
        <w:rPr>
          <w:i/>
          <w:iCs/>
        </w:rPr>
        <w:t xml:space="preserve"> </w:t>
      </w:r>
      <w:r>
        <w:rPr>
          <w:i/>
          <w:iCs/>
        </w:rPr>
        <w:t xml:space="preserve">v.</w:t>
      </w:r>
      <w:r>
        <w:rPr>
          <w:i/>
          <w:iCs/>
        </w:rPr>
        <w:t xml:space="preserve"> </w:t>
      </w:r>
      <w:r>
        <w:rPr>
          <w:i/>
          <w:iCs/>
        </w:rPr>
        <w:t xml:space="preserve">Texas</w:t>
      </w:r>
      <w:r>
        <w:t xml:space="preserve">,</w:t>
      </w:r>
      <w:r>
        <w:br/>
      </w:r>
      <w:r>
        <w:t xml:space="preserve">593</w:t>
      </w:r>
      <w:r>
        <w:t xml:space="preserve"> </w:t>
      </w:r>
      <w:r>
        <w:t xml:space="preserve">U.S.</w:t>
      </w:r>
      <w:r>
        <w:t xml:space="preserve"> </w:t>
      </w:r>
      <w:r>
        <w:t xml:space="preserve">659</w:t>
      </w:r>
      <w:r>
        <w:t xml:space="preserve"> </w:t>
      </w:r>
      <w:r>
        <w:t xml:space="preserve">(2021)</w:t>
      </w:r>
      <w:r>
        <w:t xml:space="preserve">   </w:t>
      </w:r>
      <w:r>
        <w:tab/>
      </w:r>
      <w:r>
        <w:t xml:space="preserve">5</w:t>
      </w:r>
    </w:p>
    <w:p>
      <w:pPr>
        <w:keepLines/>
        <w:tabs>
          <w:tab w:val="right" w:leader="dot" w:pos="9360"/>
        </w:tabs>
        <w:spacing w:before="196" w:after="0" w:line="400" w:lineRule="exact"/>
        <w:ind w:left="504" w:right="1120" w:hanging="504"/>
      </w:pPr>
      <w:r>
        <w:rPr>
          <w:i/>
          <w:iCs/>
        </w:rPr>
        <w:t xml:space="preserve">FEC</w:t>
      </w:r>
      <w:r>
        <w:rPr>
          <w:i/>
          <w:iCs/>
        </w:rPr>
        <w:t xml:space="preserve"> </w:t>
      </w:r>
      <w:r>
        <w:rPr>
          <w:i/>
          <w:iCs/>
        </w:rPr>
        <w:t xml:space="preserve">v.</w:t>
      </w:r>
      <w:r>
        <w:rPr>
          <w:i/>
          <w:iCs/>
        </w:rPr>
        <w:t xml:space="preserve"> </w:t>
      </w:r>
      <w:r>
        <w:rPr>
          <w:i/>
          <w:iCs/>
        </w:rPr>
        <w:t xml:space="preserve">Akins</w:t>
      </w:r>
      <w:r>
        <w:t xml:space="preserve">,</w:t>
      </w:r>
      <w:r>
        <w:br/>
      </w:r>
      <w:r>
        <w:t xml:space="preserve">524</w:t>
      </w:r>
      <w:r>
        <w:t xml:space="preserve"> </w:t>
      </w:r>
      <w:r>
        <w:t xml:space="preserve">U.S.</w:t>
      </w:r>
      <w:r>
        <w:t xml:space="preserve"> </w:t>
      </w:r>
      <w:r>
        <w:t xml:space="preserve">11(1988)</w:t>
      </w:r>
      <w:r>
        <w:t xml:space="preserve">   </w:t>
      </w:r>
      <w:r>
        <w:tab/>
      </w:r>
      <w:r>
        <w:t xml:space="preserve">2</w:t>
      </w:r>
    </w:p>
    <w:p>
      <w:pPr>
        <w:keepLines/>
        <w:tabs>
          <w:tab w:val="right" w:leader="dot" w:pos="9360"/>
        </w:tabs>
        <w:spacing w:before="196" w:after="0" w:line="400" w:lineRule="exact"/>
        <w:ind w:left="504" w:right="1120" w:hanging="504"/>
      </w:pPr>
      <w:r>
        <w:rPr>
          <w:i/>
          <w:iCs/>
        </w:rPr>
        <w:t xml:space="preserve">Fuqua</w:t>
      </w:r>
      <w:r>
        <w:rPr>
          <w:i/>
          <w:iCs/>
        </w:rPr>
        <w:t xml:space="preserve"> </w:t>
      </w:r>
      <w:r>
        <w:rPr>
          <w:i/>
          <w:iCs/>
        </w:rPr>
        <w:t xml:space="preserve">v.</w:t>
      </w:r>
      <w:r>
        <w:rPr>
          <w:i/>
          <w:iCs/>
        </w:rPr>
        <w:t xml:space="preserve"> </w:t>
      </w:r>
      <w:r>
        <w:rPr>
          <w:i/>
          <w:iCs/>
        </w:rPr>
        <w:t xml:space="preserve">Santa</w:t>
      </w:r>
      <w:r>
        <w:rPr>
          <w:i/>
          <w:iCs/>
        </w:rPr>
        <w:t xml:space="preserve"> </w:t>
      </w:r>
      <w:r>
        <w:rPr>
          <w:i/>
          <w:iCs/>
        </w:rPr>
        <w:t xml:space="preserve">Fe</w:t>
      </w:r>
      <w:r>
        <w:rPr>
          <w:i/>
          <w:iCs/>
        </w:rPr>
        <w:t xml:space="preserve"> </w:t>
      </w:r>
      <w:r>
        <w:rPr>
          <w:i/>
          <w:iCs/>
        </w:rPr>
        <w:t xml:space="preserve">Cnty.</w:t>
      </w:r>
      <w:r>
        <w:rPr>
          <w:i/>
          <w:iCs/>
        </w:rPr>
        <w:t xml:space="preserve"> </w:t>
      </w:r>
      <w:r>
        <w:rPr>
          <w:i/>
          <w:iCs/>
        </w:rPr>
        <w:t xml:space="preserve">Sherriff’s</w:t>
      </w:r>
      <w:r>
        <w:rPr>
          <w:i/>
          <w:iCs/>
        </w:rPr>
        <w:t xml:space="preserve"> </w:t>
      </w:r>
      <w:r>
        <w:rPr>
          <w:i/>
          <w:iCs/>
        </w:rPr>
        <w:t xml:space="preserve">Off.</w:t>
      </w:r>
      <w:r>
        <w:t xml:space="preserve">,</w:t>
      </w:r>
      <w:r>
        <w:br/>
      </w:r>
      <w:r>
        <w:t xml:space="preserve">157</w:t>
      </w:r>
      <w:r>
        <w:t xml:space="preserve"> </w:t>
      </w:r>
      <w:r>
        <w:t xml:space="preserve">F.4th</w:t>
      </w:r>
      <w:r>
        <w:t xml:space="preserve"> </w:t>
      </w:r>
      <w:r>
        <w:t xml:space="preserve">1288</w:t>
      </w:r>
      <w:r>
        <w:t xml:space="preserve"> </w:t>
      </w:r>
      <w:r>
        <w:t xml:space="preserve">(2025)</w:t>
      </w:r>
      <w:r>
        <w:t xml:space="preserve">   </w:t>
      </w:r>
      <w:r>
        <w:tab/>
      </w:r>
      <w:r>
        <w:t xml:space="preserve">4</w:t>
      </w:r>
    </w:p>
    <w:p>
      <w:pPr>
        <w:keepLines/>
        <w:tabs>
          <w:tab w:val="right" w:leader="dot" w:pos="9360"/>
        </w:tabs>
        <w:spacing w:before="196" w:after="0" w:line="400" w:lineRule="exact"/>
        <w:ind w:left="504" w:right="1120" w:hanging="504"/>
      </w:pPr>
      <w:r>
        <w:rPr>
          <w:i/>
          <w:iCs/>
        </w:rPr>
        <w:t xml:space="preserve">Pub.</w:t>
      </w:r>
      <w:r>
        <w:rPr>
          <w:i/>
          <w:iCs/>
        </w:rPr>
        <w:t xml:space="preserve"> </w:t>
      </w:r>
      <w:r>
        <w:rPr>
          <w:i/>
          <w:iCs/>
        </w:rPr>
        <w:t xml:space="preserve">Citizen</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Justice</w:t>
      </w:r>
      <w:r>
        <w:t xml:space="preserve">,</w:t>
      </w:r>
      <w:r>
        <w:br/>
      </w:r>
      <w:r>
        <w:t xml:space="preserve">491</w:t>
      </w:r>
      <w:r>
        <w:t xml:space="preserve"> </w:t>
      </w:r>
      <w:r>
        <w:t xml:space="preserve">U.S.</w:t>
      </w:r>
      <w:r>
        <w:t xml:space="preserve"> </w:t>
      </w:r>
      <w:r>
        <w:t xml:space="preserve">440</w:t>
      </w:r>
      <w:r>
        <w:t xml:space="preserve"> </w:t>
      </w:r>
      <w:r>
        <w:t xml:space="preserve">(1989)</w:t>
      </w:r>
      <w:r>
        <w:t xml:space="preserve">   </w:t>
      </w:r>
      <w:r>
        <w:tab/>
      </w:r>
      <w:r>
        <w:t xml:space="preserve">2</w:t>
      </w:r>
    </w:p>
    <w:p>
      <w:pPr>
        <w:keepLines/>
        <w:tabs>
          <w:tab w:val="right" w:leader="dot" w:pos="9360"/>
        </w:tabs>
        <w:spacing w:before="196" w:after="0" w:line="400" w:lineRule="exact"/>
        <w:ind w:left="504" w:right="1120" w:hanging="504"/>
      </w:pPr>
      <w:r>
        <w:rPr>
          <w:i/>
          <w:iCs/>
        </w:rPr>
        <w:t xml:space="preserve">Pub.</w:t>
      </w:r>
      <w:r>
        <w:rPr>
          <w:i/>
          <w:iCs/>
        </w:rPr>
        <w:t xml:space="preserve"> </w:t>
      </w:r>
      <w:r>
        <w:rPr>
          <w:i/>
          <w:iCs/>
        </w:rPr>
        <w:t xml:space="preserve">Int.</w:t>
      </w:r>
      <w:r>
        <w:rPr>
          <w:i/>
          <w:iCs/>
        </w:rPr>
        <w:t xml:space="preserve"> </w:t>
      </w:r>
      <w:r>
        <w:rPr>
          <w:i/>
          <w:iCs/>
        </w:rPr>
        <w:t xml:space="preserve">Leg.</w:t>
      </w:r>
      <w:r>
        <w:rPr>
          <w:i/>
          <w:iCs/>
        </w:rPr>
        <w:t xml:space="preserve"> </w:t>
      </w:r>
      <w:r>
        <w:rPr>
          <w:i/>
          <w:iCs/>
        </w:rPr>
        <w:t xml:space="preserve">Found.,</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Nago</w:t>
      </w:r>
      <w:r>
        <w:t xml:space="preserve">,</w:t>
      </w:r>
      <w:r>
        <w:br/>
      </w:r>
      <w:r>
        <w:t xml:space="preserve">174</w:t>
      </w:r>
      <w:r>
        <w:t xml:space="preserve"> </w:t>
      </w:r>
      <w:r>
        <w:t xml:space="preserve">F.4th</w:t>
      </w:r>
      <w:r>
        <w:t xml:space="preserve"> </w:t>
      </w:r>
      <w:r>
        <w:t xml:space="preserve">664</w:t>
      </w:r>
      <w:r>
        <w:t xml:space="preserve"> </w:t>
      </w:r>
      <w:r>
        <w:t xml:space="preserve">(2026)</w:t>
      </w:r>
      <w:r>
        <w:t xml:space="preserve">   </w:t>
      </w:r>
      <w:r>
        <w:tab/>
      </w:r>
      <w:r>
        <w:t xml:space="preserve">2, 3</w:t>
      </w:r>
    </w:p>
    <w:p>
      <w:pPr>
        <w:keepLines/>
        <w:tabs>
          <w:tab w:val="right" w:leader="dot" w:pos="9360"/>
        </w:tabs>
        <w:spacing w:before="196" w:after="0" w:line="400" w:lineRule="exact"/>
        <w:ind w:left="504" w:right="1120" w:hanging="504"/>
      </w:pPr>
      <w:r>
        <w:rPr>
          <w:i/>
          <w:iCs/>
        </w:rPr>
        <w:t xml:space="preserve">TransUnion</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Ramirez</w:t>
      </w:r>
      <w:r>
        <w:t xml:space="preserve">,</w:t>
      </w:r>
      <w:r>
        <w:br/>
      </w:r>
      <w:r>
        <w:t xml:space="preserve">594</w:t>
      </w:r>
      <w:r>
        <w:t xml:space="preserve"> </w:t>
      </w:r>
      <w:r>
        <w:t xml:space="preserve">U.S.</w:t>
      </w:r>
      <w:r>
        <w:t xml:space="preserve"> </w:t>
      </w:r>
      <w:r>
        <w:t xml:space="preserve">413</w:t>
      </w:r>
      <w:r>
        <w:t xml:space="preserve"> </w:t>
      </w:r>
      <w:r>
        <w:t xml:space="preserve">(2021)</w:t>
      </w:r>
      <w:r>
        <w:t xml:space="preserve">   </w:t>
      </w:r>
      <w:r>
        <w:tab/>
      </w:r>
      <w:r>
        <w:t xml:space="preserve">3</w:t>
      </w:r>
    </w:p>
    <w:p>
      <w:pPr>
        <w:keepLines/>
        <w:tabs>
          <w:tab w:val="right" w:leader="dot" w:pos="9360"/>
        </w:tabs>
        <w:spacing w:before="196" w:after="0" w:line="40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Leffler</w:t>
      </w:r>
      <w:r>
        <w:t xml:space="preserve">,</w:t>
      </w:r>
      <w:r>
        <w:br/>
      </w:r>
      <w:r>
        <w:t xml:space="preserve">942</w:t>
      </w:r>
      <w:r>
        <w:t xml:space="preserve"> </w:t>
      </w:r>
      <w:r>
        <w:t xml:space="preserve">F.3d</w:t>
      </w:r>
      <w:r>
        <w:t xml:space="preserve"> </w:t>
      </w:r>
      <w:r>
        <w:t xml:space="preserve">1192</w:t>
      </w:r>
      <w:r>
        <w:t xml:space="preserve"> </w:t>
      </w:r>
      <w:r>
        <w:t xml:space="preserve">(2019)</w:t>
      </w:r>
      <w:r>
        <w:t xml:space="preserve">   </w:t>
      </w:r>
      <w:r>
        <w:tab/>
      </w:r>
      <w:r>
        <w:t xml:space="preserve">5</w:t>
      </w:r>
    </w:p>
    <w:p>
      <w:pPr>
        <w:keepNext/>
        <w:keepLines/>
        <w:tabs>
          <w:tab w:val="right" w:pos="9360"/>
        </w:tabs>
        <w:spacing w:before="392" w:after="56" w:line="400" w:lineRule="exact"/>
        <w:ind w:left="0"/>
      </w:pPr>
      <w:r>
        <w:rPr>
          <w:b/>
          <w:bCs/>
        </w:rPr>
        <w:t xml:space="preserve">Other Authorities:</w:t>
      </w:r>
    </w:p>
    <w:p>
      <w:pPr>
        <w:keepLines/>
        <w:tabs>
          <w:tab w:val="right" w:leader="dot" w:pos="9360"/>
        </w:tabs>
        <w:spacing w:before="196" w:after="0" w:line="400" w:lineRule="exact"/>
        <w:ind w:left="504" w:right="1120" w:hanging="504"/>
      </w:pPr>
      <w:r>
        <w:t xml:space="preserve">FED.</w:t>
      </w:r>
      <w:r>
        <w:t xml:space="preserve"> </w:t>
      </w:r>
      <w:r>
        <w:t xml:space="preserve">R.</w:t>
      </w:r>
      <w:r>
        <w:t xml:space="preserve"> </w:t>
      </w:r>
      <w:r>
        <w:t xml:space="preserve">EVID.</w:t>
      </w:r>
      <w:r>
        <w:t xml:space="preserve"> </w:t>
      </w:r>
      <w:r>
        <w:t xml:space="preserve">201</w:t>
      </w:r>
      <w:r>
        <w:t xml:space="preserve">   </w:t>
      </w:r>
      <w:r>
        <w:tab/>
      </w:r>
      <w:r>
        <w:t xml:space="preserve">4</w:t>
      </w:r>
    </w:p>
    <w:p>
      <w:pPr>
        <w:spacing w:before="0" w:after="0" w:line="20" w:lineRule="exact"/>
        <w:sectPr>
          <w:footerReference w:type="default" r:id="rIdFtrPage"/>
          <w:pgSz w:w="12240" w:h="15840"/>
          <w:pgMar w:top="1440" w:right="1440" w:bottom="1440" w:left="1440" w:header="720" w:footer="608" w:gutter="0"/>
          <w:pgNumType w:fmt="lowerRoman" w:start="1"/>
        </w:sectPr>
      </w:pPr>
    </w:p>
    <w:p>
      <w:pPr>
        <w:pStyle w:val="FirstParagraph"/>
      </w:pPr>
      <w:r>
        <w:t xml:space="preserve">The Lt. Governor’s response confirms the issue before the Court: is the NVRA’s public disclosure provision a need-to-know or a right-to-know law? The Ninth Circuit just determined it is the latter. This Court should do the same.</w:t>
      </w:r>
    </w:p>
    <w:p>
      <w:pPr>
        <w:pStyle w:val="BodyText"/>
      </w:pPr>
      <w:r>
        <w:t xml:space="preserve">Lt. Governor devotes</w:t>
      </w:r>
      <w:r>
        <w:t xml:space="preserve"> </w:t>
      </w:r>
      <w:r>
        <w:rPr>
          <w:i/>
          <w:iCs/>
        </w:rPr>
        <w:t xml:space="preserve">thirteen pages</w:t>
      </w:r>
      <w:r>
        <w:t xml:space="preserve"> </w:t>
      </w:r>
      <w:r>
        <w:t xml:space="preserve">to arguing that her former political opponent’s injuries were not good enough. Response at 48</w:t>
      </w:r>
      <w:r>
        <w:noBreakHyphen/>
      </w:r>
      <w:r>
        <w:t xml:space="preserve">60. This cannot be the standard in the Tenth Circuit. If the Government gets to decide if your reasons for wanting public records are good enough, your reasons will never be good enough.</w:t>
      </w:r>
    </w:p>
    <w:p>
      <w:pPr>
        <w:pStyle w:val="BodyText"/>
      </w:pPr>
      <w:r>
        <w:t xml:space="preserve">Utah has been in violation of federal law and its leaders know it. Instead of owning and correcting the violation, the Lt. Governor doubles down on her position that violations of federal law cannot be redressed by Mr. Lyman, a former candidate and lifelong Utah citizen invested in the integrity of the State.</w:t>
      </w:r>
    </w:p>
    <w:p>
      <w:pPr>
        <w:pStyle w:val="BodyText"/>
      </w:pPr>
      <w:r>
        <w:t xml:space="preserve">Contrary to the Lt. Governor’s assertions, this case is not about protecting the most vulnerable. Mr. Lyman disavows seeking the records of domestic violence victims. This case is about ensuring access to records that the United States Congress made public, records that the Lt. Governor continues to conceal.</w:t>
      </w:r>
    </w:p>
    <w:p>
      <w:pPr>
        <w:pStyle w:val="Heading1"/>
        <w:keepNext/>
        <w:keepLines/>
        <w:spacing w:before="420" w:after="308" w:line="400" w:lineRule="exact"/>
        <w:ind w:left="0" w:firstLine="0"/>
        <w:jc w:val="center"/>
      </w:pPr>
      <w:r>
        <w:rPr>
          <w:b/>
          <w:bCs/>
          <w:sz w:val="32"/>
          <w:szCs w:val="32"/>
        </w:rPr>
        <w:t xml:space="preserve">ARGUMENT</w:t>
      </w:r>
    </w:p>
    <w:p>
      <w:pPr>
        <w:pStyle w:val="Heading2"/>
        <w:keepNext/>
        <w:keepLines/>
        <w:spacing w:before="336" w:after="280" w:line="400" w:lineRule="exact"/>
        <w:ind w:left="0" w:firstLine="0"/>
        <w:jc w:val="center"/>
      </w:pPr>
      <w:r>
        <w:rPr>
          <w:b/>
          <w:bCs/>
        </w:rPr>
        <w:t xml:space="preserve">I. </w:t>
      </w:r>
      <w:r>
        <w:rPr>
          <w:b/>
          <w:bCs/>
        </w:rPr>
        <w:t xml:space="preserve">The</w:t>
      </w:r>
      <w:r>
        <w:rPr>
          <w:b/>
          <w:bCs/>
        </w:rPr>
        <w:t xml:space="preserve"> </w:t>
      </w:r>
      <w:r>
        <w:rPr>
          <w:b/>
          <w:bCs/>
        </w:rPr>
        <w:t xml:space="preserve">Ninth</w:t>
      </w:r>
      <w:r>
        <w:rPr>
          <w:b/>
          <w:bCs/>
        </w:rPr>
        <w:t xml:space="preserve"> </w:t>
      </w:r>
      <w:r>
        <w:rPr>
          <w:b/>
          <w:bCs/>
        </w:rPr>
        <w:t xml:space="preserve">Circuit</w:t>
      </w:r>
      <w:r>
        <w:rPr>
          <w:b/>
          <w:bCs/>
        </w:rPr>
        <w:t xml:space="preserve"> </w:t>
      </w:r>
      <w:r>
        <w:rPr>
          <w:b/>
          <w:bCs/>
        </w:rPr>
        <w:t xml:space="preserve">Just</w:t>
      </w:r>
      <w:r>
        <w:rPr>
          <w:b/>
          <w:bCs/>
        </w:rPr>
        <w:t xml:space="preserve"> </w:t>
      </w:r>
      <w:r>
        <w:rPr>
          <w:b/>
          <w:bCs/>
        </w:rPr>
        <w:t xml:space="preserve">Resolved</w:t>
      </w:r>
      <w:r>
        <w:rPr>
          <w:b/>
          <w:bCs/>
        </w:rPr>
        <w:t xml:space="preserve"> </w:t>
      </w:r>
      <w:r>
        <w:rPr>
          <w:b/>
          <w:bCs/>
        </w:rPr>
        <w:t xml:space="preserve">the</w:t>
      </w:r>
      <w:r>
        <w:rPr>
          <w:b/>
          <w:bCs/>
        </w:rPr>
        <w:t xml:space="preserve"> </w:t>
      </w:r>
      <w:r>
        <w:rPr>
          <w:b/>
          <w:bCs/>
        </w:rPr>
        <w:t xml:space="preserve">Standing</w:t>
      </w:r>
      <w:r>
        <w:rPr>
          <w:b/>
          <w:bCs/>
        </w:rPr>
        <w:t xml:space="preserve"> </w:t>
      </w:r>
      <w:r>
        <w:rPr>
          <w:b/>
          <w:bCs/>
        </w:rPr>
        <w:t xml:space="preserve">Standard</w:t>
      </w:r>
      <w:r>
        <w:rPr>
          <w:b/>
          <w:bCs/>
        </w:rPr>
        <w:t xml:space="preserve"> </w:t>
      </w:r>
      <w:r>
        <w:rPr>
          <w:b/>
          <w:bCs/>
        </w:rPr>
        <w:t xml:space="preserve">and</w:t>
      </w:r>
      <w:r>
        <w:rPr>
          <w:b/>
          <w:bCs/>
        </w:rPr>
        <w:t xml:space="preserve"> </w:t>
      </w:r>
      <w:r>
        <w:rPr>
          <w:b/>
          <w:bCs/>
        </w:rPr>
        <w:t xml:space="preserve">Mr.</w:t>
      </w:r>
      <w:r>
        <w:rPr>
          <w:b/>
          <w:bCs/>
        </w:rPr>
        <w:t xml:space="preserve"> </w:t>
      </w:r>
      <w:r>
        <w:rPr>
          <w:b/>
          <w:bCs/>
        </w:rPr>
        <w:t xml:space="preserve">Lyman</w:t>
      </w:r>
      <w:r>
        <w:rPr>
          <w:b/>
          <w:bCs/>
        </w:rPr>
        <w:t xml:space="preserve"> </w:t>
      </w:r>
      <w:r>
        <w:rPr>
          <w:b/>
          <w:bCs/>
        </w:rPr>
        <w:t xml:space="preserve">Meets</w:t>
      </w:r>
      <w:r>
        <w:rPr>
          <w:b/>
          <w:bCs/>
        </w:rPr>
        <w:t xml:space="preserve"> </w:t>
      </w:r>
      <w:r>
        <w:rPr>
          <w:b/>
          <w:bCs/>
        </w:rPr>
        <w:t xml:space="preserve">It.</w:t>
      </w:r>
    </w:p>
    <w:p>
      <w:pPr>
        <w:pStyle w:val="BodyText"/>
      </w:pPr>
      <w:r>
        <w:t xml:space="preserve">After Mr. Lyman filed his Opening Brief, the Ninth Circuit squarely addressed the question of standing under the NVRA. Specifically, the court held that the Public Interest Legal Foundation “has standing because the bare denial of a request for information under the NVRA causes an injury in fact sufficient to support Article III standing.”</w:t>
      </w:r>
      <w:r>
        <w:t xml:space="preserve"> </w:t>
      </w:r>
      <w:r>
        <w:rPr>
          <w:i/>
          <w:iCs/>
        </w:rPr>
        <w:t xml:space="preserve">Pub. Int. Leg. Found., Inc. v. Nago</w:t>
      </w:r>
      <w:r>
        <w:t xml:space="preserve">, 174 F.4th 664, 670 (2026).</w:t>
      </w:r>
    </w:p>
    <w:p>
      <w:pPr>
        <w:pStyle w:val="BodyText"/>
      </w:pPr>
      <w:r>
        <w:t xml:space="preserve">The Ninth Circuit relied upon decisions from the United States Supreme Court that have “long recognized that if a statute creates a broad public right to obtain information about the government, the denial of a request for information made pursuant to that statute causes an injury in fact.”</w:t>
      </w:r>
      <w:r>
        <w:t xml:space="preserve"> </w:t>
      </w:r>
      <w:r>
        <w:rPr>
          <w:i/>
          <w:iCs/>
        </w:rPr>
        <w:t xml:space="preserve">Id</w:t>
      </w:r>
      <w:r>
        <w:t xml:space="preserve">. These cases,</w:t>
      </w:r>
      <w:r>
        <w:t xml:space="preserve"> </w:t>
      </w:r>
      <w:r>
        <w:rPr>
          <w:i/>
          <w:iCs/>
        </w:rPr>
        <w:t xml:space="preserve">Pub. Citizen v. U.S. Dep’t of Justice</w:t>
      </w:r>
      <w:r>
        <w:t xml:space="preserve">, 491 U.S. 440 (1989), and</w:t>
      </w:r>
      <w:r>
        <w:t xml:space="preserve"> </w:t>
      </w:r>
      <w:r>
        <w:rPr>
          <w:i/>
          <w:iCs/>
        </w:rPr>
        <w:t xml:space="preserve">FEC v. Akins</w:t>
      </w:r>
      <w:r>
        <w:t xml:space="preserve">, 524 U.S. 11 (1998), are discussed in the Opening Brief at 20</w:t>
      </w:r>
      <w:r>
        <w:noBreakHyphen/>
      </w:r>
      <w:r>
        <w:t xml:space="preserve">25.</w:t>
      </w:r>
    </w:p>
    <w:p>
      <w:pPr>
        <w:pStyle w:val="BodyText"/>
      </w:pPr>
      <w:r>
        <w:t xml:space="preserve">Addressing the same arguments put forth by the Lt. Governor in this case, the Ninth Circuit stressed that “[n]either</w:t>
      </w:r>
      <w:r>
        <w:t xml:space="preserve"> </w:t>
      </w:r>
      <w:r>
        <w:rPr>
          <w:i/>
          <w:iCs/>
        </w:rPr>
        <w:t xml:space="preserve">Akins</w:t>
      </w:r>
      <w:r>
        <w:t xml:space="preserve"> </w:t>
      </w:r>
      <w:r>
        <w:t xml:space="preserve">nor</w:t>
      </w:r>
      <w:r>
        <w:t xml:space="preserve"> </w:t>
      </w:r>
      <w:r>
        <w:rPr>
          <w:i/>
          <w:iCs/>
        </w:rPr>
        <w:t xml:space="preserve">Public Citizen</w:t>
      </w:r>
      <w:r>
        <w:t xml:space="preserve"> </w:t>
      </w:r>
      <w:r>
        <w:t xml:space="preserve">required a showing of adverse effects.”</w:t>
      </w:r>
      <w:r>
        <w:t xml:space="preserve"> </w:t>
      </w:r>
      <w:r>
        <w:rPr>
          <w:i/>
          <w:iCs/>
        </w:rPr>
        <w:t xml:space="preserve">Nago</w:t>
      </w:r>
      <w:r>
        <w:t xml:space="preserve">, 174 F.4th at 673. As to the language from</w:t>
      </w:r>
      <w:r>
        <w:t xml:space="preserve"> </w:t>
      </w:r>
      <w:r>
        <w:rPr>
          <w:i/>
          <w:iCs/>
        </w:rPr>
        <w:t xml:space="preserve">Public Citizen</w:t>
      </w:r>
      <w:r>
        <w:t xml:space="preserve"> </w:t>
      </w:r>
      <w:r>
        <w:t xml:space="preserve">about the plaintiffs’ intended uses for the information that the Lt. Governor relies upon here, Response at 35</w:t>
      </w:r>
      <w:r>
        <w:noBreakHyphen/>
      </w:r>
      <w:r>
        <w:t xml:space="preserve">36, the Ninth Circuit explained that the Supreme Court “emphasized that its ‘decisions interpreting the Freedom of Information Act have never suggested that those requesting information under it need show more than that they sought and were denied specific agency records. There is no reason for a different rule here.’”</w:t>
      </w:r>
      <w:r>
        <w:t xml:space="preserve"> </w:t>
      </w:r>
      <w:r>
        <w:rPr>
          <w:i/>
          <w:iCs/>
        </w:rPr>
        <w:t xml:space="preserve">Nago</w:t>
      </w:r>
      <w:r>
        <w:t xml:space="preserve">, 174 F.4th at 673</w:t>
      </w:r>
      <w:r>
        <w:noBreakHyphen/>
      </w:r>
      <w:r>
        <w:t xml:space="preserve">74 (quoting</w:t>
      </w:r>
      <w:r>
        <w:t xml:space="preserve"> </w:t>
      </w:r>
      <w:r>
        <w:rPr>
          <w:i/>
          <w:iCs/>
        </w:rPr>
        <w:t xml:space="preserve">Public Citizen</w:t>
      </w:r>
      <w:r>
        <w:t xml:space="preserve">, 491 U.S. at 449). So too, here.</w:t>
      </w:r>
    </w:p>
    <w:p>
      <w:pPr>
        <w:pStyle w:val="BodyText"/>
      </w:pPr>
      <w:r>
        <w:t xml:space="preserve">The Ninth Circuit also rejected the argument that the Supreme Court’s 2021 decision changed the relevant standing analysis. The Ninth Circuit determined that</w:t>
      </w:r>
      <w:r>
        <w:t xml:space="preserve"> </w:t>
      </w:r>
      <w:r>
        <w:rPr>
          <w:i/>
          <w:iCs/>
        </w:rPr>
        <w:t xml:space="preserve">TransUnion LLC v. Ramirez</w:t>
      </w:r>
      <w:r>
        <w:t xml:space="preserve">, 594 U.S. 413 (2021), does not control where the litigant claims to have been</w:t>
      </w:r>
      <w:r>
        <w:t xml:space="preserve"> </w:t>
      </w:r>
      <w:r>
        <w:rPr>
          <w:i/>
          <w:iCs/>
        </w:rPr>
        <w:t xml:space="preserve">denied</w:t>
      </w:r>
      <w:r>
        <w:t xml:space="preserve"> </w:t>
      </w:r>
      <w:r>
        <w:t xml:space="preserve">information.</w:t>
      </w:r>
      <w:r>
        <w:t xml:space="preserve"> </w:t>
      </w:r>
      <w:r>
        <w:rPr>
          <w:i/>
          <w:iCs/>
        </w:rPr>
        <w:t xml:space="preserve">Nago</w:t>
      </w:r>
      <w:r>
        <w:t xml:space="preserve">, 174 at 672;</w:t>
      </w:r>
      <w:r>
        <w:t xml:space="preserve"> </w:t>
      </w:r>
      <w:r>
        <w:rPr>
          <w:i/>
          <w:iCs/>
        </w:rPr>
        <w:t xml:space="preserve">see also</w:t>
      </w:r>
      <w:r>
        <w:t xml:space="preserve"> </w:t>
      </w:r>
      <w:r>
        <w:t xml:space="preserve">Opening Brief at 25</w:t>
      </w:r>
      <w:r>
        <w:noBreakHyphen/>
      </w:r>
      <w:r>
        <w:t xml:space="preserve">26. Further,</w:t>
      </w:r>
      <w:r>
        <w:t xml:space="preserve"> </w:t>
      </w:r>
      <w:r>
        <w:rPr>
          <w:i/>
          <w:iCs/>
        </w:rPr>
        <w:t xml:space="preserve">TransUnion</w:t>
      </w:r>
      <w:r>
        <w:t xml:space="preserve"> </w:t>
      </w:r>
      <w:r>
        <w:t xml:space="preserve">does not control because it “did not involve a sunshine law.”</w:t>
      </w:r>
      <w:r>
        <w:t xml:space="preserve"> </w:t>
      </w:r>
      <w:r>
        <w:rPr>
          <w:i/>
          <w:iCs/>
        </w:rPr>
        <w:t xml:space="preserve">Id</w:t>
      </w:r>
      <w:r>
        <w:t xml:space="preserve">.;</w:t>
      </w:r>
      <w:r>
        <w:t xml:space="preserve"> </w:t>
      </w:r>
      <w:r>
        <w:rPr>
          <w:i/>
          <w:iCs/>
        </w:rPr>
        <w:t xml:space="preserve">see also</w:t>
      </w:r>
      <w:r>
        <w:t xml:space="preserve"> </w:t>
      </w:r>
      <w:r>
        <w:t xml:space="preserve">Opening Brief at 25</w:t>
      </w:r>
      <w:r>
        <w:noBreakHyphen/>
      </w:r>
      <w:r>
        <w:t xml:space="preserve">26. In so doing, the Ninth Circuit rejected the reasoning of the Fifth Circuit that the Lt. Governor relies upon in her Response.</w:t>
      </w:r>
      <w:r>
        <w:t xml:space="preserve"> </w:t>
      </w:r>
      <w:r>
        <w:rPr>
          <w:i/>
          <w:iCs/>
        </w:rPr>
        <w:t xml:space="preserve">Id</w:t>
      </w:r>
      <w:r>
        <w:t xml:space="preserve">. at 673;</w:t>
      </w:r>
      <w:r>
        <w:t xml:space="preserve"> </w:t>
      </w:r>
      <w:r>
        <w:rPr>
          <w:i/>
          <w:iCs/>
        </w:rPr>
        <w:t xml:space="preserve">see</w:t>
      </w:r>
      <w:r>
        <w:t xml:space="preserve"> </w:t>
      </w:r>
      <w:r>
        <w:t xml:space="preserve">Response at 30, 40</w:t>
      </w:r>
      <w:r>
        <w:noBreakHyphen/>
      </w:r>
      <w:r>
        <w:t xml:space="preserve">41.</w:t>
      </w:r>
    </w:p>
    <w:p>
      <w:pPr>
        <w:pStyle w:val="BodyText"/>
      </w:pPr>
      <w:r>
        <w:t xml:space="preserve">As the Lt. Governor concedes, “this Court has not determined whether the downstream consequences requirement applies to informational injuries under the NVRA.” Response at 13. The Ninth Circuit’s reasoning applies equally in the Tenth Circuit. “The public disclosure provision serves a transparency function, ensuring that the public may verify that list-maintenance activities are implemented lawfully….”</w:t>
      </w:r>
      <w:r>
        <w:t xml:space="preserve"> </w:t>
      </w:r>
      <w:r>
        <w:rPr>
          <w:i/>
          <w:iCs/>
        </w:rPr>
        <w:t xml:space="preserve">Nago</w:t>
      </w:r>
      <w:r>
        <w:t xml:space="preserve">, 174 F.4th at 668.</w:t>
      </w:r>
    </w:p>
    <w:p>
      <w:pPr>
        <w:pStyle w:val="BodyText"/>
      </w:pPr>
      <w:r>
        <w:t xml:space="preserve">Even if downstream consequences must be pleaded, Mr. Lyman did so. The Complaint speaks for itself.</w:t>
      </w:r>
      <w:r>
        <w:t xml:space="preserve"> </w:t>
      </w:r>
      <w:r>
        <w:rPr>
          <w:i/>
          <w:iCs/>
        </w:rPr>
        <w:t xml:space="preserve">See</w:t>
      </w:r>
      <w:r>
        <w:t xml:space="preserve"> </w:t>
      </w:r>
      <w:r>
        <w:t xml:space="preserve">Opening Brief at 10</w:t>
      </w:r>
      <w:r>
        <w:noBreakHyphen/>
      </w:r>
      <w:r>
        <w:t xml:space="preserve">13. The Lt. Governor’s quibbling over the sufficiency of his consequences further demonstrates the unworkability of her standard. Lengthy debate about the activities of private citizens is not what Congress envisioned when it made government list maintenance records public.</w:t>
      </w:r>
    </w:p>
    <w:p>
      <w:pPr>
        <w:pStyle w:val="Heading2"/>
        <w:keepNext/>
        <w:keepLines/>
        <w:spacing w:before="336" w:after="280" w:line="400" w:lineRule="exact"/>
        <w:ind w:left="0" w:firstLine="0"/>
        <w:jc w:val="center"/>
      </w:pPr>
      <w:r>
        <w:rPr>
          <w:b/>
          <w:bCs/>
        </w:rPr>
        <w:t xml:space="preserve">II. </w:t>
      </w:r>
      <w:r>
        <w:rPr>
          <w:b/>
          <w:bCs/>
        </w:rPr>
        <w:t xml:space="preserve">Mr.</w:t>
      </w:r>
      <w:r>
        <w:rPr>
          <w:b/>
          <w:bCs/>
        </w:rPr>
        <w:t xml:space="preserve"> </w:t>
      </w:r>
      <w:r>
        <w:rPr>
          <w:b/>
          <w:bCs/>
        </w:rPr>
        <w:t xml:space="preserve">Lyman’s</w:t>
      </w:r>
      <w:r>
        <w:rPr>
          <w:b/>
          <w:bCs/>
        </w:rPr>
        <w:t xml:space="preserve"> </w:t>
      </w:r>
      <w:r>
        <w:rPr>
          <w:b/>
          <w:bCs/>
        </w:rPr>
        <w:t xml:space="preserve">Status</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Candidate</w:t>
      </w:r>
      <w:r>
        <w:rPr>
          <w:b/>
          <w:bCs/>
        </w:rPr>
        <w:t xml:space="preserve"> </w:t>
      </w:r>
      <w:r>
        <w:rPr>
          <w:b/>
          <w:bCs/>
        </w:rPr>
        <w:t xml:space="preserve">Is</w:t>
      </w:r>
      <w:r>
        <w:rPr>
          <w:b/>
          <w:bCs/>
        </w:rPr>
        <w:t xml:space="preserve"> </w:t>
      </w:r>
      <w:r>
        <w:rPr>
          <w:b/>
          <w:bCs/>
        </w:rPr>
        <w:t xml:space="preserve">Indisputable.</w:t>
      </w:r>
    </w:p>
    <w:p>
      <w:pPr>
        <w:pStyle w:val="BodyText"/>
      </w:pPr>
      <w:r>
        <w:t xml:space="preserve">That Mr. Lyman has served in public office and run for public office is not a fact that is reasonably in dispute. The lower court was aware of it. App.101. The Lt. Governor was Mr. Lyman’s one-time political opponent in the Republican primary for Governor and Lt. Governor in 2024.</w:t>
      </w:r>
      <w:r>
        <w:t xml:space="preserve"> </w:t>
      </w:r>
      <w:r>
        <w:rPr>
          <w:i/>
          <w:iCs/>
        </w:rPr>
        <w:t xml:space="preserve">See</w:t>
      </w:r>
      <w:r>
        <w:t xml:space="preserve"> </w:t>
      </w:r>
      <w:r>
        <w:t xml:space="preserve">THE STATE OF UTAH, Electionresults.utah.gov/results/public/Utah/elections/primary06252024 (last accessed July 25, 2026). It is an indisputable fact in this jurisdiction. This Court explained that the Federal Rules of Evidence allows for courts to notice facts which “are ‘generally known within the trial court’s territorial jurisdiction,’…or ‘can be accurately and readily determined from sources whose accuracy cannot reasonably be questioned.’”</w:t>
      </w:r>
      <w:r>
        <w:t xml:space="preserve"> </w:t>
      </w:r>
      <w:r>
        <w:rPr>
          <w:i/>
          <w:iCs/>
        </w:rPr>
        <w:t xml:space="preserve">Fuqua v. Santa Fe Cnty. Sherriff’s Off.</w:t>
      </w:r>
      <w:r>
        <w:t xml:space="preserve">, 157 F.4th 1288, 1298 (10th Cir. 2025) (quoting Fed. R. Evid. 201(b)). Mr. Lyman’s status as a candidate is one such fact.</w:t>
      </w:r>
    </w:p>
    <w:p>
      <w:pPr>
        <w:pStyle w:val="BodyText"/>
      </w:pPr>
      <w:r>
        <w:t xml:space="preserve">This is not about “new candidacy theories,” Response at 19; this is an undisputed fact coupled with new binding precedent from the Supreme Court.</w:t>
      </w:r>
    </w:p>
    <w:p>
      <w:pPr>
        <w:pStyle w:val="Heading3"/>
        <w:keepNext/>
        <w:keepLines/>
        <w:spacing w:before="308" w:after="252" w:line="400" w:lineRule="exact"/>
        <w:ind w:left="1440" w:hanging="720"/>
      </w:pPr>
      <w:r>
        <w:rPr>
          <w:b/>
          <w:bCs/>
        </w:rPr>
        <w:t xml:space="preserve">A.</w:t>
      </w:r>
      <w:r>
        <w:rPr>
          <w:b/>
          <w:bCs/>
        </w:rPr>
        <w:tab/>
      </w:r>
      <w:r>
        <w:rPr>
          <w:b/>
          <w:bCs/>
        </w:rPr>
        <w:t xml:space="preserve">The</w:t>
      </w:r>
      <w:r>
        <w:rPr>
          <w:b/>
          <w:bCs/>
        </w:rPr>
        <w:t xml:space="preserve"> </w:t>
      </w:r>
      <w:r>
        <w:rPr>
          <w:b/>
          <w:bCs/>
        </w:rPr>
        <w:t xml:space="preserve">Lower</w:t>
      </w:r>
      <w:r>
        <w:rPr>
          <w:b/>
          <w:bCs/>
        </w:rPr>
        <w:t xml:space="preserve"> </w:t>
      </w:r>
      <w:r>
        <w:rPr>
          <w:b/>
          <w:bCs/>
        </w:rPr>
        <w:t xml:space="preserve">Court</w:t>
      </w:r>
      <w:r>
        <w:rPr>
          <w:b/>
          <w:bCs/>
        </w:rPr>
        <w:t xml:space="preserve"> </w:t>
      </w:r>
      <w:r>
        <w:rPr>
          <w:b/>
          <w:bCs/>
        </w:rPr>
        <w:t xml:space="preserve">Acknowledged</w:t>
      </w:r>
      <w:r>
        <w:rPr>
          <w:b/>
          <w:bCs/>
        </w:rPr>
        <w:t xml:space="preserve"> </w:t>
      </w:r>
      <w:r>
        <w:rPr>
          <w:b/>
          <w:bCs/>
        </w:rPr>
        <w:t xml:space="preserve">Mr.</w:t>
      </w:r>
      <w:r>
        <w:rPr>
          <w:b/>
          <w:bCs/>
        </w:rPr>
        <w:t xml:space="preserve"> </w:t>
      </w:r>
      <w:r>
        <w:rPr>
          <w:b/>
          <w:bCs/>
        </w:rPr>
        <w:t xml:space="preserve">Lyman’s</w:t>
      </w:r>
      <w:r>
        <w:rPr>
          <w:b/>
          <w:bCs/>
        </w:rPr>
        <w:t xml:space="preserve"> </w:t>
      </w:r>
      <w:r>
        <w:rPr>
          <w:b/>
          <w:bCs/>
        </w:rPr>
        <w:t xml:space="preserve">Status</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Candidate.</w:t>
      </w:r>
    </w:p>
    <w:p>
      <w:pPr>
        <w:pStyle w:val="BodyTextNote"/>
      </w:pPr>
      <w:r>
        <w:t xml:space="preserve">The lower court acknowledged Mr. Lyman’s past elected roles and candidacies in dismissing Mr. Lyman’s complaint. App.101.</w:t>
      </w:r>
      <w:r>
        <w:rPr>
          <w:rStyle w:val="FootnoteReference"/>
        </w:rPr>
        <w:footnoteReference w:id="9"/>
      </w:r>
      <w:r>
        <w:t xml:space="preserve"> </w:t>
      </w:r>
      <w:r>
        <w:t xml:space="preserve">Yet the Lt. Governor disputes Mr. Lyman’s ability to rely upon those same roles and candidacies now because he did not include them in his complaint.</w:t>
      </w:r>
    </w:p>
    <w:p>
      <w:pPr>
        <w:pStyle w:val="BodyText"/>
      </w:pPr>
      <w:r>
        <w:t xml:space="preserve">The Lt. Governor cites two distinguishable cases. In</w:t>
      </w:r>
      <w:r>
        <w:t xml:space="preserve"> </w:t>
      </w:r>
      <w:r>
        <w:rPr>
          <w:i/>
          <w:iCs/>
        </w:rPr>
        <w:t xml:space="preserve">United States v. Leffler</w:t>
      </w:r>
      <w:r>
        <w:t xml:space="preserve">, the appellant had a full, criminal trial and shifted his theory, without new facts or case law, on appeal.</w:t>
      </w:r>
      <w:r>
        <w:t xml:space="preserve"> </w:t>
      </w:r>
      <w:r>
        <w:rPr>
          <w:i/>
          <w:iCs/>
        </w:rPr>
        <w:t xml:space="preserve">United States v. Leffler</w:t>
      </w:r>
      <w:r>
        <w:t xml:space="preserve">, 942 F.3d 1192, 1195</w:t>
      </w:r>
      <w:r>
        <w:noBreakHyphen/>
      </w:r>
      <w:r>
        <w:t xml:space="preserve">96 (10th Cir. 2019). The other,</w:t>
      </w:r>
      <w:r>
        <w:t xml:space="preserve"> </w:t>
      </w:r>
      <w:r>
        <w:rPr>
          <w:i/>
          <w:iCs/>
        </w:rPr>
        <w:t xml:space="preserve">California v. Texas</w:t>
      </w:r>
      <w:r>
        <w:t xml:space="preserve">, involved the U.S. Supreme Court declining to examine a “novel alternative theory” of standing raised first in the merits briefing and not mentioned in the lower courts or at the certiorari stage.</w:t>
      </w:r>
      <w:r>
        <w:t xml:space="preserve"> </w:t>
      </w:r>
      <w:r>
        <w:rPr>
          <w:i/>
          <w:iCs/>
        </w:rPr>
        <w:t xml:space="preserve">California v. Texas</w:t>
      </w:r>
      <w:r>
        <w:t xml:space="preserve">, 593 U.S. 659, 674 (2021).</w:t>
      </w:r>
    </w:p>
    <w:p>
      <w:pPr>
        <w:pStyle w:val="BodyTextNote"/>
      </w:pPr>
      <w:r>
        <w:t xml:space="preserve">In contrast, Mr. Lyman’s past and potential candidacies are judicially noticeable facts, acknowledged by the lower court, and confirmed by records maintained by the Lt. Governor. His candidacy is not a novel alternative theory but, rather, reinforces the Complaint’s detailing of Mr. Lyman’s interest in the denied information and the consequences of him not receiving the requested information.</w:t>
      </w:r>
      <w:r>
        <w:rPr>
          <w:rStyle w:val="FootnoteReference"/>
        </w:rPr>
        <w:footnoteReference w:id="10"/>
      </w:r>
      <w:r>
        <w:t xml:space="preserve"> </w:t>
      </w:r>
      <w:r>
        <w:t xml:space="preserve">The recent decision of the Supreme Court in</w:t>
      </w:r>
      <w:r>
        <w:t xml:space="preserve"> </w:t>
      </w:r>
      <w:r>
        <w:rPr>
          <w:i/>
          <w:iCs/>
        </w:rPr>
        <w:t xml:space="preserve">Bost</w:t>
      </w:r>
      <w:r>
        <w:t xml:space="preserve"> </w:t>
      </w:r>
      <w:r>
        <w:t xml:space="preserve">illuminates why candidates like Mr. Lyman have a special stake in the integrity of elections.</w:t>
      </w:r>
    </w:p>
    <w:p>
      <w:pPr>
        <w:pStyle w:val="Heading3"/>
        <w:keepNext/>
        <w:keepLines/>
        <w:spacing w:before="308" w:after="252" w:line="400" w:lineRule="exact"/>
        <w:ind w:left="1440" w:hanging="720"/>
      </w:pPr>
      <w:r>
        <w:rPr>
          <w:b/>
          <w:bCs/>
        </w:rPr>
        <w:t xml:space="preserve">B.</w:t>
      </w:r>
      <w:r>
        <w:rPr>
          <w:b/>
          <w:bCs/>
        </w:rPr>
        <w:tab/>
      </w:r>
      <w:r>
        <w:rPr>
          <w:b/>
          <w:bCs/>
          <w:i/>
          <w:iCs/>
        </w:rPr>
        <w:t xml:space="preserve">Bost</w:t>
      </w:r>
      <w:r>
        <w:rPr>
          <w:b/>
          <w:bCs/>
        </w:rPr>
        <w:t xml:space="preserve"> </w:t>
      </w:r>
      <w:r>
        <w:rPr>
          <w:b/>
          <w:bCs/>
        </w:rPr>
        <w:t xml:space="preserve">Controls.</w:t>
      </w:r>
    </w:p>
    <w:p>
      <w:pPr>
        <w:pStyle w:val="BodyText"/>
      </w:pPr>
      <w:r>
        <w:t xml:space="preserve">While</w:t>
      </w:r>
      <w:r>
        <w:t xml:space="preserve"> </w:t>
      </w:r>
      <w:r>
        <w:rPr>
          <w:i/>
          <w:iCs/>
        </w:rPr>
        <w:t xml:space="preserve">Bost</w:t>
      </w:r>
      <w:r>
        <w:t xml:space="preserve"> </w:t>
      </w:r>
      <w:r>
        <w:t xml:space="preserve">involved a challenge to a different federal law than is implicated here,</w:t>
      </w:r>
      <w:r>
        <w:t xml:space="preserve"> </w:t>
      </w:r>
      <w:r>
        <w:rPr>
          <w:i/>
          <w:iCs/>
        </w:rPr>
        <w:t xml:space="preserve">see</w:t>
      </w:r>
      <w:r>
        <w:t xml:space="preserve"> </w:t>
      </w:r>
      <w:r>
        <w:t xml:space="preserve">Opening Brief at 7, it articulates a legal principle equally applicable here: a candidate’s “interest extends to the integrity of the election—and the democratic process by which they earn or lose the support of the people they seek to represent.”</w:t>
      </w:r>
      <w:r>
        <w:t xml:space="preserve"> </w:t>
      </w:r>
      <w:r>
        <w:rPr>
          <w:i/>
          <w:iCs/>
        </w:rPr>
        <w:t xml:space="preserve">Bost v. Ill. State Bd. of Elections,</w:t>
      </w:r>
      <w:r>
        <w:t xml:space="preserve"> </w:t>
      </w:r>
      <w:r>
        <w:t xml:space="preserve">607 U.S. 71, 82 (2026). Mr. Lyman, as a past and potential future candidate, has a special interest in the integrity and transparency of Utah’s elections.</w:t>
      </w:r>
    </w:p>
    <w:p>
      <w:pPr>
        <w:pStyle w:val="BodyText"/>
      </w:pPr>
      <w:r>
        <w:t xml:space="preserve">The lower court erred in not crediting this unique and personal stake that Mr. Lyman has in the integrity of Utah’s elections. If the Lt. Governor is correct in arguing that Mr. Lyman must demonstrate a “personally relevant downstream consequence,” Response at 23, then what could be more personally relevant than his interest in the integrity of Utah’s elections as a past and potential future candidate?</w:t>
      </w:r>
    </w:p>
    <w:p>
      <w:pPr>
        <w:pStyle w:val="Heading2"/>
        <w:keepNext/>
        <w:keepLines/>
        <w:spacing w:before="336" w:after="280" w:line="400" w:lineRule="exact"/>
        <w:ind w:left="0" w:firstLine="0"/>
        <w:jc w:val="center"/>
      </w:pPr>
      <w:r>
        <w:rPr>
          <w:b/>
          <w:bCs/>
        </w:rPr>
        <w:t xml:space="preserve">III. </w:t>
      </w:r>
      <w:r>
        <w:rPr>
          <w:b/>
          <w:bCs/>
        </w:rPr>
        <w:t xml:space="preserve">Utah’s</w:t>
      </w:r>
      <w:r>
        <w:rPr>
          <w:b/>
          <w:bCs/>
        </w:rPr>
        <w:t xml:space="preserve"> </w:t>
      </w:r>
      <w:r>
        <w:rPr>
          <w:b/>
          <w:bCs/>
        </w:rPr>
        <w:t xml:space="preserve">New</w:t>
      </w:r>
      <w:r>
        <w:rPr>
          <w:b/>
          <w:bCs/>
        </w:rPr>
        <w:t xml:space="preserve"> </w:t>
      </w:r>
      <w:r>
        <w:rPr>
          <w:b/>
          <w:bCs/>
        </w:rPr>
        <w:t xml:space="preserve">Privacy</w:t>
      </w:r>
      <w:r>
        <w:rPr>
          <w:b/>
          <w:bCs/>
        </w:rPr>
        <w:t xml:space="preserve"> </w:t>
      </w:r>
      <w:r>
        <w:rPr>
          <w:b/>
          <w:bCs/>
        </w:rPr>
        <w:t xml:space="preserve">Law</w:t>
      </w:r>
      <w:r>
        <w:rPr>
          <w:b/>
          <w:bCs/>
        </w:rPr>
        <w:t xml:space="preserve"> </w:t>
      </w:r>
      <w:r>
        <w:rPr>
          <w:b/>
          <w:bCs/>
        </w:rPr>
        <w:t xml:space="preserve">Confirms</w:t>
      </w:r>
      <w:r>
        <w:rPr>
          <w:b/>
          <w:bCs/>
        </w:rPr>
        <w:t xml:space="preserve"> </w:t>
      </w:r>
      <w:r>
        <w:rPr>
          <w:b/>
          <w:bCs/>
        </w:rPr>
        <w:t xml:space="preserve">the</w:t>
      </w:r>
      <w:r>
        <w:rPr>
          <w:b/>
          <w:bCs/>
        </w:rPr>
        <w:t xml:space="preserve"> </w:t>
      </w:r>
      <w:r>
        <w:rPr>
          <w:b/>
          <w:bCs/>
        </w:rPr>
        <w:t xml:space="preserve">Controversy</w:t>
      </w:r>
      <w:r>
        <w:rPr>
          <w:b/>
          <w:bCs/>
        </w:rPr>
        <w:t xml:space="preserve"> </w:t>
      </w:r>
      <w:r>
        <w:rPr>
          <w:b/>
          <w:bCs/>
        </w:rPr>
        <w:t xml:space="preserve">before</w:t>
      </w:r>
      <w:r>
        <w:rPr>
          <w:b/>
          <w:bCs/>
        </w:rPr>
        <w:t xml:space="preserve"> </w:t>
      </w:r>
      <w:r>
        <w:rPr>
          <w:b/>
          <w:bCs/>
        </w:rPr>
        <w:t xml:space="preserve">this</w:t>
      </w:r>
      <w:r>
        <w:rPr>
          <w:b/>
          <w:bCs/>
        </w:rPr>
        <w:t xml:space="preserve"> </w:t>
      </w:r>
      <w:r>
        <w:rPr>
          <w:b/>
          <w:bCs/>
        </w:rPr>
        <w:t xml:space="preserve">Court.</w:t>
      </w:r>
    </w:p>
    <w:p>
      <w:pPr>
        <w:pStyle w:val="BodyText"/>
      </w:pPr>
      <w:r>
        <w:t xml:space="preserve">The Lt. Governor briefly mentions a new law affecting public access to the statewide list of registrants. Response at 10</w:t>
      </w:r>
      <w:r>
        <w:noBreakHyphen/>
      </w:r>
      <w:r>
        <w:t xml:space="preserve">11. To be sure, Mr. Lyman continues to be denied access to all the records he requested and does not concede that the new legislation complies with federal law. But the Lt. Governor’s Response omits statements from the legislature that demonstrate the impact of this case and the controversy it presents. The bill’s sponsor expressly stated that the purpose of the new legislation was to correct the state’s violation of federal law raised in this litigation. “Utah’s voter privacy framework conflicts with federal law and exposes the state to ongoing litigation risk . . . Our current law actually conflicts with portions of [the NVRA] . . . As a result, roughly 40% of Utah’s voters now have non-public registration records … While the state avoided an adverse ruling on standing grounds, the underlying legal conflict remains unsolved.” Utah Senate Government Operations and Political Subdivisions Committee Meeting Jan. 23, 2026, 1:36:13</w:t>
      </w:r>
      <w:r>
        <w:noBreakHyphen/>
      </w:r>
      <w:r>
        <w:t xml:space="preserve">1:37:47. www.utleg.gov/event-streaming/committee/timeline/​288768.</w:t>
      </w:r>
    </w:p>
    <w:p>
      <w:pPr>
        <w:pStyle w:val="BodyText"/>
      </w:pPr>
      <w:r>
        <w:t xml:space="preserve">In short, Utah’s leaders know they have been in violation of federal law. That violation continues. Mr. Lyman seeks to redress that violation but cannot unless and until the lower court’s incorrect standing analysis is reversed.</w:t>
      </w:r>
    </w:p>
    <w:p>
      <w:pPr>
        <w:pStyle w:val="Heading1"/>
        <w:keepNext/>
        <w:keepLines/>
        <w:spacing w:before="420" w:after="308" w:line="400" w:lineRule="exact"/>
        <w:ind w:left="0" w:firstLine="0"/>
        <w:jc w:val="center"/>
      </w:pPr>
      <w:r>
        <w:rPr>
          <w:b/>
          <w:bCs/>
          <w:sz w:val="32"/>
          <w:szCs w:val="32"/>
        </w:rPr>
        <w:t xml:space="preserve">CONCLUSION</w:t>
      </w:r>
    </w:p>
    <w:p>
      <w:pPr>
        <w:keepNext/>
        <w:keepLines/>
        <w:spacing w:before="0" w:after="0" w:line="628" w:lineRule="exact"/>
        <w:ind w:left="0" w:firstLine="720"/>
      </w:pPr>
      <w:r>
        <w:t xml:space="preserve">Mr.</w:t>
      </w:r>
      <w:r>
        <w:t xml:space="preserve"> </w:t>
      </w:r>
      <w:r>
        <w:t xml:space="preserve">Lyman</w:t>
      </w:r>
      <w:r>
        <w:t xml:space="preserve"> </w:t>
      </w:r>
      <w:r>
        <w:t xml:space="preserve">requests</w:t>
      </w:r>
      <w:r>
        <w:t xml:space="preserve"> </w:t>
      </w:r>
      <w:r>
        <w:t xml:space="preserve">that</w:t>
      </w:r>
      <w:r>
        <w:t xml:space="preserve"> </w:t>
      </w:r>
      <w:r>
        <w:t xml:space="preserve">this</w:t>
      </w:r>
      <w:r>
        <w:t xml:space="preserve"> </w:t>
      </w:r>
      <w:r>
        <w:t xml:space="preserve">Court</w:t>
      </w:r>
      <w:r>
        <w:t xml:space="preserve"> </w:t>
      </w:r>
      <w:r>
        <w:t xml:space="preserve">reverse</w:t>
      </w:r>
      <w:r>
        <w:t xml:space="preserve"> </w:t>
      </w:r>
      <w:r>
        <w:t xml:space="preserve">the</w:t>
      </w:r>
      <w:r>
        <w:t xml:space="preserve"> </w:t>
      </w:r>
      <w:r>
        <w:t xml:space="preserve">district</w:t>
      </w:r>
      <w:r>
        <w:t xml:space="preserve"> </w:t>
      </w:r>
      <w:r>
        <w:t xml:space="preserve">court’s</w:t>
      </w:r>
      <w:r>
        <w:t xml:space="preserve"> </w:t>
      </w:r>
      <w:r>
        <w:t xml:space="preserve">judgment</w:t>
      </w:r>
      <w:r>
        <w:t xml:space="preserve"> </w:t>
      </w:r>
      <w:r>
        <w:t xml:space="preserve">and</w:t>
      </w:r>
      <w:r>
        <w:t xml:space="preserve"> </w:t>
      </w:r>
      <w:r>
        <w:t xml:space="preserve">remand</w:t>
      </w:r>
      <w:r>
        <w:t xml:space="preserve"> </w:t>
      </w:r>
      <w:r>
        <w:t xml:space="preserve">this</w:t>
      </w:r>
      <w:r>
        <w:t xml:space="preserve"> </w:t>
      </w:r>
      <w:r>
        <w:t xml:space="preserve">action.</w:t>
      </w:r>
    </w:p>
    <w:p>
      <w:pPr>
        <w:keepNext/>
        <w:keepLines/>
        <w:spacing w:before="392" w:after="0" w:line="400" w:lineRule="exact"/>
        <w:ind w:left="4680"/>
      </w:pPr>
      <w:r>
        <w:t xml:space="preserve">Respectfully submitted,</w:t>
      </w:r>
    </w:p>
    <w:p>
      <w:pPr>
        <w:keepNext/>
        <w:keepLines/>
        <w:spacing w:before="336" w:after="0" w:line="400" w:lineRule="exact"/>
        <w:ind w:left="4680"/>
      </w:pPr>
      <w:r>
        <w:t xml:space="preserve">s/ Kaylan Phillips</w:t>
      </w:r>
    </w:p>
    <w:p>
      <w:pPr>
        <w:keepNext/>
        <w:keepLines/>
        <w:spacing w:before="0" w:after="0" w:line="400" w:lineRule="exact"/>
        <w:ind w:left="4680"/>
      </w:pPr>
      <w:r>
        <w:t xml:space="preserve">KAYLAN PHILLIPS</w:t>
      </w:r>
    </w:p>
    <w:p>
      <w:pPr>
        <w:keepNext/>
        <w:keepLines/>
        <w:spacing w:before="0" w:after="0" w:line="400" w:lineRule="exact"/>
        <w:ind w:left="4680" w:firstLine="140"/>
      </w:pPr>
      <w:r>
        <w:rPr>
          <w:i/>
          <w:iCs/>
        </w:rPr>
        <w:t xml:space="preserve">PUBLIC</w:t>
      </w:r>
      <w:r>
        <w:rPr>
          <w:i/>
          <w:iCs/>
        </w:rPr>
        <w:t xml:space="preserve"> </w:t>
      </w:r>
      <w:r>
        <w:rPr>
          <w:i/>
          <w:iCs/>
        </w:rPr>
        <w:t xml:space="preserve">INTEREST</w:t>
      </w:r>
      <w:r>
        <w:rPr>
          <w:i/>
          <w:iCs/>
        </w:rPr>
        <w:t xml:space="preserve"> </w:t>
      </w:r>
      <w:r>
        <w:rPr>
          <w:i/>
          <w:iCs/>
        </w:rPr>
        <w:t xml:space="preserve">LEGAL</w:t>
      </w:r>
      <w:r>
        <w:rPr>
          <w:i/>
          <w:iCs/>
        </w:rPr>
        <w:t xml:space="preserve"> </w:t>
      </w:r>
      <w:r>
        <w:rPr>
          <w:i/>
          <w:iCs/>
        </w:rPr>
        <w:t xml:space="preserve">FOUNDATION</w:t>
      </w:r>
    </w:p>
    <w:p>
      <w:pPr>
        <w:keepNext/>
        <w:keepLines/>
        <w:spacing w:before="0" w:after="0" w:line="400" w:lineRule="exact"/>
        <w:ind w:left="4680" w:firstLine="140"/>
      </w:pPr>
      <w:r>
        <w:rPr>
          <w:i/>
          <w:iCs/>
        </w:rPr>
        <w:t xml:space="preserve">107</w:t>
      </w:r>
      <w:r>
        <w:rPr>
          <w:i/>
          <w:iCs/>
        </w:rPr>
        <w:t xml:space="preserve"> </w:t>
      </w:r>
      <w:r>
        <w:rPr>
          <w:i/>
          <w:iCs/>
        </w:rPr>
        <w:t xml:space="preserve">S.</w:t>
      </w:r>
      <w:r>
        <w:rPr>
          <w:i/>
          <w:iCs/>
        </w:rPr>
        <w:t xml:space="preserve"> </w:t>
      </w:r>
      <w:r>
        <w:rPr>
          <w:i/>
          <w:iCs/>
        </w:rPr>
        <w:t xml:space="preserve">West</w:t>
      </w:r>
      <w:r>
        <w:rPr>
          <w:i/>
          <w:iCs/>
        </w:rPr>
        <w:t xml:space="preserve"> </w:t>
      </w:r>
      <w:r>
        <w:rPr>
          <w:i/>
          <w:iCs/>
        </w:rPr>
        <w:t xml:space="preserve">Street,</w:t>
      </w:r>
      <w:r>
        <w:rPr>
          <w:i/>
          <w:iCs/>
        </w:rPr>
        <w:t xml:space="preserve"> </w:t>
      </w:r>
      <w:r>
        <w:rPr>
          <w:i/>
          <w:iCs/>
        </w:rPr>
        <w:t xml:space="preserve">Ste</w:t>
      </w:r>
      <w:r>
        <w:rPr>
          <w:i/>
          <w:iCs/>
        </w:rPr>
        <w:t xml:space="preserve"> </w:t>
      </w:r>
      <w:r>
        <w:rPr>
          <w:i/>
          <w:iCs/>
        </w:rPr>
        <w:t xml:space="preserve">700</w:t>
      </w:r>
    </w:p>
    <w:p>
      <w:pPr>
        <w:keepNext/>
        <w:keepLines/>
        <w:spacing w:before="0" w:after="0" w:line="400" w:lineRule="exact"/>
        <w:ind w:left="4680" w:firstLine="140"/>
      </w:pPr>
      <w:r>
        <w:rPr>
          <w:i/>
          <w:iCs/>
        </w:rPr>
        <w:t xml:space="preserve">Alexandria,</w:t>
      </w:r>
      <w:r>
        <w:rPr>
          <w:i/>
          <w:iCs/>
        </w:rPr>
        <w:t xml:space="preserve"> </w:t>
      </w:r>
      <w:r>
        <w:rPr>
          <w:i/>
          <w:iCs/>
        </w:rPr>
        <w:t xml:space="preserve">VA</w:t>
      </w:r>
      <w:r>
        <w:rPr>
          <w:i/>
          <w:iCs/>
        </w:rPr>
        <w:t xml:space="preserve"> </w:t>
      </w:r>
      <w:r>
        <w:rPr>
          <w:i/>
          <w:iCs/>
        </w:rPr>
        <w:t xml:space="preserve">22314</w:t>
      </w:r>
    </w:p>
    <w:p>
      <w:pPr>
        <w:keepNext/>
        <w:keepLines/>
        <w:spacing w:before="0" w:after="0" w:line="400" w:lineRule="exact"/>
        <w:ind w:left="4680" w:firstLine="140"/>
      </w:pPr>
      <w:r>
        <w:rPr>
          <w:i/>
          <w:iCs/>
        </w:rPr>
        <w:t xml:space="preserve">(703)</w:t>
      </w:r>
      <w:r>
        <w:rPr>
          <w:i/>
          <w:iCs/>
        </w:rPr>
        <w:t xml:space="preserve"> </w:t>
      </w:r>
      <w:r>
        <w:rPr>
          <w:i/>
          <w:iCs/>
        </w:rPr>
        <w:t xml:space="preserve">745</w:t>
        <w:noBreakHyphen/>
        <w:t xml:space="preserve">5870</w:t>
      </w:r>
    </w:p>
    <w:p>
      <w:pPr>
        <w:keepNext/>
        <w:keepLines/>
        <w:spacing w:before="0" w:after="0" w:line="400" w:lineRule="exact"/>
        <w:ind w:left="4680" w:firstLine="140"/>
      </w:pPr>
      <w:r>
        <w:rPr>
          <w:i/>
          <w:iCs/>
        </w:rPr>
        <w:t xml:space="preserve">kphillips@publicinterestlegal.org</w:t>
      </w:r>
    </w:p>
    <w:p>
      <w:pPr>
        <w:keepNext/>
        <w:keepLines/>
        <w:spacing w:before="0" w:after="0" w:line="400" w:lineRule="exact"/>
        <w:ind w:left="4680" w:firstLine="140"/>
      </w:pPr>
    </w:p>
    <w:p>
      <w:pPr>
        <w:keepNext/>
        <w:keepLines/>
        <w:spacing w:before="0" w:after="0" w:line="400" w:lineRule="exact"/>
        <w:ind w:left="4680" w:firstLine="140"/>
      </w:pPr>
      <w:r>
        <w:rPr>
          <w:i/>
          <w:iCs/>
        </w:rPr>
        <w:t xml:space="preserve">Goud</w:t>
      </w:r>
      <w:r>
        <w:rPr>
          <w:i/>
          <w:iCs/>
        </w:rPr>
        <w:t xml:space="preserve"> </w:t>
      </w:r>
      <w:r>
        <w:rPr>
          <w:i/>
          <w:iCs/>
        </w:rPr>
        <w:t xml:space="preserve">P.</w:t>
      </w:r>
      <w:r>
        <w:rPr>
          <w:i/>
          <w:iCs/>
        </w:rPr>
        <w:t xml:space="preserve"> </w:t>
      </w:r>
      <w:r>
        <w:rPr>
          <w:i/>
          <w:iCs/>
        </w:rPr>
        <w:t xml:space="preserve">Maragani</w:t>
      </w:r>
    </w:p>
    <w:p>
      <w:pPr>
        <w:keepNext/>
        <w:keepLines/>
        <w:spacing w:before="0" w:after="0" w:line="400" w:lineRule="exact"/>
        <w:ind w:left="4680" w:firstLine="140"/>
      </w:pPr>
      <w:r>
        <w:rPr>
          <w:i/>
          <w:iCs/>
        </w:rPr>
        <w:t xml:space="preserve">Maragani</w:t>
      </w:r>
      <w:r>
        <w:rPr>
          <w:i/>
          <w:iCs/>
        </w:rPr>
        <w:t xml:space="preserve"> </w:t>
      </w:r>
      <w:r>
        <w:rPr>
          <w:i/>
          <w:iCs/>
        </w:rPr>
        <w:t xml:space="preserve">Law</w:t>
      </w:r>
      <w:r>
        <w:rPr>
          <w:i/>
          <w:iCs/>
        </w:rPr>
        <w:t xml:space="preserve"> </w:t>
      </w:r>
      <w:r>
        <w:rPr>
          <w:i/>
          <w:iCs/>
        </w:rPr>
        <w:t xml:space="preserve">Group</w:t>
      </w:r>
    </w:p>
    <w:p>
      <w:pPr>
        <w:keepNext/>
        <w:keepLines/>
        <w:spacing w:before="0" w:after="0" w:line="400" w:lineRule="exact"/>
        <w:ind w:left="4680" w:firstLine="140"/>
      </w:pPr>
      <w:r>
        <w:rPr>
          <w:i/>
          <w:iCs/>
        </w:rPr>
        <w:t xml:space="preserve">4523</w:t>
      </w:r>
      <w:r>
        <w:rPr>
          <w:i/>
          <w:iCs/>
        </w:rPr>
        <w:t xml:space="preserve"> </w:t>
      </w:r>
      <w:r>
        <w:rPr>
          <w:i/>
          <w:iCs/>
        </w:rPr>
        <w:t xml:space="preserve">West</w:t>
      </w:r>
      <w:r>
        <w:rPr>
          <w:i/>
          <w:iCs/>
        </w:rPr>
        <w:t xml:space="preserve"> </w:t>
      </w:r>
      <w:r>
        <w:rPr>
          <w:i/>
          <w:iCs/>
        </w:rPr>
        <w:t xml:space="preserve">Park</w:t>
      </w:r>
      <w:r>
        <w:rPr>
          <w:i/>
          <w:iCs/>
        </w:rPr>
        <w:t xml:space="preserve"> </w:t>
      </w:r>
      <w:r>
        <w:rPr>
          <w:i/>
          <w:iCs/>
        </w:rPr>
        <w:t xml:space="preserve">Bend</w:t>
      </w:r>
      <w:r>
        <w:rPr>
          <w:i/>
          <w:iCs/>
        </w:rPr>
        <w:t xml:space="preserve"> </w:t>
      </w:r>
      <w:r>
        <w:rPr>
          <w:i/>
          <w:iCs/>
        </w:rPr>
        <w:t xml:space="preserve">Court</w:t>
      </w:r>
    </w:p>
    <w:p>
      <w:pPr>
        <w:keepNext/>
        <w:keepLines/>
        <w:spacing w:before="0" w:after="0" w:line="400" w:lineRule="exact"/>
        <w:ind w:left="4680" w:firstLine="140"/>
      </w:pPr>
      <w:r>
        <w:rPr>
          <w:i/>
          <w:iCs/>
        </w:rPr>
        <w:t xml:space="preserve">Riverton,</w:t>
      </w:r>
      <w:r>
        <w:rPr>
          <w:i/>
          <w:iCs/>
        </w:rPr>
        <w:t xml:space="preserve"> </w:t>
      </w:r>
      <w:r>
        <w:rPr>
          <w:i/>
          <w:iCs/>
        </w:rPr>
        <w:t xml:space="preserve">UT</w:t>
      </w:r>
      <w:r>
        <w:rPr>
          <w:i/>
          <w:iCs/>
        </w:rPr>
        <w:t xml:space="preserve"> </w:t>
      </w:r>
      <w:r>
        <w:rPr>
          <w:i/>
          <w:iCs/>
        </w:rPr>
        <w:t xml:space="preserve">84096</w:t>
      </w:r>
    </w:p>
    <w:p>
      <w:pPr>
        <w:keepNext/>
        <w:keepLines/>
        <w:spacing w:before="0" w:after="0" w:line="400" w:lineRule="exact"/>
        <w:ind w:left="4680" w:firstLine="140"/>
      </w:pPr>
      <w:r>
        <w:rPr>
          <w:i/>
          <w:iCs/>
        </w:rPr>
        <w:t xml:space="preserve">(385)</w:t>
      </w:r>
      <w:r>
        <w:rPr>
          <w:i/>
          <w:iCs/>
        </w:rPr>
        <w:t xml:space="preserve"> </w:t>
      </w:r>
      <w:r>
        <w:rPr>
          <w:i/>
          <w:iCs/>
        </w:rPr>
        <w:t xml:space="preserve">237</w:t>
        <w:noBreakHyphen/>
        <w:t xml:space="preserve">7960</w:t>
      </w:r>
    </w:p>
    <w:p>
      <w:pPr>
        <w:keepNext/>
        <w:keepLines/>
        <w:spacing w:before="0" w:after="0" w:line="400" w:lineRule="exact"/>
        <w:ind w:left="4680" w:firstLine="140"/>
      </w:pPr>
      <w:r>
        <w:rPr>
          <w:i/>
          <w:iCs/>
        </w:rPr>
        <w:t xml:space="preserve">goud.p.maragani@proton.me</w:t>
      </w:r>
    </w:p>
    <w:p>
      <w:pPr>
        <w:keepLines/>
        <w:spacing w:before="224" w:after="0" w:line="400" w:lineRule="exact"/>
        <w:ind w:left="0"/>
      </w:pPr>
      <w:r>
        <w:t xml:space="preserve">July</w:t>
      </w:r>
      <w:r>
        <w:t xml:space="preserve"> </w:t>
      </w:r>
      <w:r>
        <w:t xml:space="preserve">27,</w:t>
      </w:r>
      <w:r>
        <w:t xml:space="preserve"> </w:t>
      </w:r>
      <w:r>
        <w:t xml:space="preserve">2026</w:t>
      </w:r>
    </w:p>
    <w:p>
      <w:pPr>
        <w:pStyle w:val="Heading1"/>
        <w:keepNext/>
        <w:keepLines/>
        <w:pageBreakBefore/>
        <w:spacing w:before="0" w:after="308" w:line="400" w:lineRule="exact"/>
        <w:ind w:left="0" w:firstLine="0"/>
        <w:jc w:val="center"/>
      </w:pPr>
      <w:r>
        <w:rPr>
          <w:b/>
          <w:bCs/>
          <w:sz w:val="32"/>
          <w:szCs w:val="32"/>
        </w:rPr>
        <w:t xml:space="preserve">CERTIFICATE OF COMPLIANCE WITH TYPE-VOLUME LIMIT, TYPEFACE REQUIREMENTS, AND TYPE STYLE REQUIREMENTS</w:t>
      </w:r>
    </w:p>
    <w:p>
      <w:pPr>
        <w:keepLines/>
        <w:spacing w:before="0" w:after="0" w:line="400" w:lineRule="exact"/>
        <w:ind w:left="720" w:hanging="720"/>
      </w:pPr>
      <w:r>
        <w:t xml:space="preserve">1.</w:t>
      </w:r>
      <w:r>
        <w:tab/>
      </w:r>
      <w:r>
        <w:t xml:space="preserve">This document complies with the word limit of Fed. R. App. P. 32(a)⁠(7)⁠(B)⁠(ii) because, excluding the parts of the document exempted by Fed. R. App. P. 32(f), this document contains 1,573 words.</w:t>
      </w:r>
    </w:p>
    <w:p>
      <w:pPr>
        <w:keepLines/>
        <w:spacing w:before="0" w:after="0" w:line="400" w:lineRule="exact"/>
        <w:ind w:left="720" w:hanging="720"/>
      </w:pPr>
      <w:r>
        <w:t xml:space="preserve">2.</w:t>
      </w:r>
      <w:r>
        <w:tab/>
      </w:r>
      <w:r>
        <w:t xml:space="preserve">This document complies with the typeface requirements of Fed. R. App. P. 32(a)⁠(5) and the type style requirements of Fed. R. App. P. 32(a)⁠(6) because this document has been prepared in a proportionally spaced typeface in 14-point Times New Roman.</w:t>
      </w:r>
    </w:p>
    <w:p>
      <w:pPr>
        <w:keepNext/>
        <w:keepLines/>
        <w:tabs>
          <w:tab w:val="left" w:pos="4820"/>
        </w:tabs>
        <w:spacing w:before="448" w:after="0" w:line="400" w:lineRule="exact"/>
        <w:ind w:left="0"/>
      </w:pPr>
      <w:r>
        <w:t xml:space="preserve">s/ Kaylan Phillips</w:t>
      </w:r>
      <w:r>
        <w:tab/>
      </w:r>
      <w:r>
        <w:t xml:space="preserve">July</w:t>
      </w:r>
      <w:r>
        <w:t xml:space="preserve"> </w:t>
      </w:r>
      <w:r>
        <w:t xml:space="preserve">27,</w:t>
      </w:r>
      <w:r>
        <w:t xml:space="preserve"> </w:t>
      </w:r>
      <w:r>
        <w:t xml:space="preserve">2026</w:t>
      </w:r>
    </w:p>
    <w:p>
      <w:pPr>
        <w:keepLines/>
        <w:tabs>
          <w:tab w:val="left" w:pos="4820"/>
        </w:tabs>
        <w:spacing w:before="0" w:after="0" w:line="400" w:lineRule="exact"/>
        <w:ind w:left="0"/>
      </w:pPr>
      <w:r>
        <w:t xml:space="preserve">Signature</w:t>
      </w:r>
      <w:r>
        <w:tab/>
      </w:r>
      <w:r>
        <w:t xml:space="preserve">Date</w:t>
      </w:r>
    </w:p>
    <w:p>
      <w:pPr>
        <w:pStyle w:val="Heading1"/>
        <w:keepNext/>
        <w:keepLines/>
        <w:pageBreakBefore/>
        <w:spacing w:before="0" w:after="308" w:line="400" w:lineRule="exact"/>
        <w:ind w:left="0" w:firstLine="0"/>
        <w:jc w:val="center"/>
      </w:pPr>
      <w:r>
        <w:rPr>
          <w:b/>
          <w:bCs/>
          <w:sz w:val="32"/>
          <w:szCs w:val="32"/>
        </w:rPr>
        <w:t xml:space="preserve">CERTIFICATE OF DIGITAL SUBMISSION</w:t>
      </w:r>
    </w:p>
    <w:p>
      <w:pPr>
        <w:keepLines/>
        <w:spacing w:before="0" w:after="0" w:line="400" w:lineRule="exact"/>
        <w:ind w:left="0"/>
      </w:pPr>
      <w:r>
        <w:t xml:space="preserve">I hereby certify that with respect to the foregoing:</w:t>
      </w:r>
    </w:p>
    <w:p>
      <w:pPr>
        <w:keepLines/>
        <w:spacing w:before="280" w:after="0" w:line="400" w:lineRule="exact"/>
        <w:ind w:left="0"/>
      </w:pPr>
      <w:r>
        <w:t xml:space="preserve">(1) all required privacy redactions have been made per Fed. R. App. P. 25(a)⁠(5) and 10th Cir. R. 25.5;</w:t>
      </w:r>
    </w:p>
    <w:p>
      <w:pPr>
        <w:keepLines/>
        <w:spacing w:before="280" w:after="0" w:line="400" w:lineRule="exact"/>
        <w:ind w:left="0"/>
      </w:pPr>
      <w:r>
        <w:t xml:space="preserve">(2) this document is a native PDF document;</w:t>
      </w:r>
    </w:p>
    <w:p>
      <w:pPr>
        <w:keepLines/>
        <w:spacing w:before="280" w:after="0" w:line="400" w:lineRule="exact"/>
        <w:ind w:left="0"/>
      </w:pPr>
      <w:r>
        <w:t xml:space="preserve">(3) the ECF submission is an exact copy of that document;</w:t>
      </w:r>
    </w:p>
    <w:p>
      <w:pPr>
        <w:keepLines/>
        <w:spacing w:before="280" w:after="0" w:line="400" w:lineRule="exact"/>
        <w:ind w:left="0"/>
      </w:pPr>
      <w:r>
        <w:t xml:space="preserve">(4) the digital submission has been scanned for viruses with </w:t>
      </w:r>
      <w:r>
        <w:t xml:space="preserve">the</w:t>
      </w:r>
      <w:r>
        <w:t xml:space="preserve"> </w:t>
      </w:r>
      <w:r>
        <w:t xml:space="preserve">most</w:t>
      </w:r>
      <w:r>
        <w:t xml:space="preserve"> </w:t>
      </w:r>
      <w:r>
        <w:t xml:space="preserve">recent</w:t>
      </w:r>
      <w:r>
        <w:t xml:space="preserve"> </w:t>
      </w:r>
      <w:r>
        <w:t xml:space="preserve">version</w:t>
      </w:r>
      <w:r>
        <w:t xml:space="preserve"> </w:t>
      </w:r>
      <w:r>
        <w:t xml:space="preserve">of</w:t>
      </w:r>
      <w:r>
        <w:t xml:space="preserve"> </w:t>
      </w:r>
      <w:r>
        <w:t xml:space="preserve">a</w:t>
      </w:r>
      <w:r>
        <w:t xml:space="preserve"> </w:t>
      </w:r>
      <w:r>
        <w:t xml:space="preserve">commercial</w:t>
      </w:r>
      <w:r>
        <w:t xml:space="preserve"> </w:t>
      </w:r>
      <w:r>
        <w:t xml:space="preserve">virus</w:t>
      </w:r>
      <w:r>
        <w:t xml:space="preserve"> </w:t>
      </w:r>
      <w:r>
        <w:t xml:space="preserve">scanning</w:t>
      </w:r>
      <w:r>
        <w:t xml:space="preserve"> </w:t>
      </w:r>
      <w:r>
        <w:t xml:space="preserve">program,</w:t>
      </w:r>
      <w:r>
        <w:t xml:space="preserve"> </w:t>
      </w:r>
      <w:r>
        <w:t xml:space="preserve">Bitdefender</w:t>
      </w:r>
      <w:r>
        <w:t xml:space="preserve"> </w:t>
      </w:r>
      <w:r>
        <w:t xml:space="preserve">Endpoint</w:t>
      </w:r>
      <w:r>
        <w:t xml:space="preserve"> </w:t>
      </w:r>
      <w:r>
        <w:t xml:space="preserve">Security</w:t>
      </w:r>
      <w:r>
        <w:t xml:space="preserve"> </w:t>
      </w:r>
      <w:r>
        <w:t xml:space="preserve">Tools</w:t>
      </w:r>
      <w:r>
        <w:t xml:space="preserve"> </w:t>
      </w:r>
      <w:r>
        <w:t xml:space="preserve">Antimalware,</w:t>
      </w:r>
      <w:r>
        <w:t xml:space="preserve"> </w:t>
      </w:r>
      <w:r>
        <w:t xml:space="preserve">last</w:t>
      </w:r>
      <w:r>
        <w:t xml:space="preserve"> </w:t>
      </w:r>
      <w:r>
        <w:t xml:space="preserve">updated</w:t>
      </w:r>
      <w:r>
        <w:t xml:space="preserve"> </w:t>
      </w:r>
      <w:r>
        <w:t xml:space="preserve">on</w:t>
      </w:r>
      <w:r>
        <w:t xml:space="preserve"> </w:t>
      </w:r>
      <w:r>
        <w:t xml:space="preserve">July</w:t>
      </w:r>
      <w:r>
        <w:t xml:space="preserve"> </w:t>
      </w:r>
      <w:r>
        <w:t xml:space="preserve">25,</w:t>
      </w:r>
      <w:r>
        <w:t xml:space="preserve"> </w:t>
      </w:r>
      <w:r>
        <w:t xml:space="preserve">2026</w:t>
      </w:r>
      <w:r>
        <w:t xml:space="preserve">, and</w:t>
      </w:r>
    </w:p>
    <w:p>
      <w:pPr>
        <w:keepLines/>
        <w:spacing w:before="280" w:after="0" w:line="400" w:lineRule="exact"/>
        <w:ind w:left="0"/>
      </w:pPr>
      <w:r>
        <w:t xml:space="preserve">(5) according to the program, this document is free of viruses.</w:t>
      </w:r>
    </w:p>
    <w:p>
      <w:pPr>
        <w:keepNext/>
        <w:keepLines/>
        <w:tabs>
          <w:tab w:val="left" w:pos="4820"/>
        </w:tabs>
        <w:spacing w:before="448" w:after="0" w:line="400" w:lineRule="exact"/>
        <w:ind w:left="0"/>
      </w:pPr>
      <w:r>
        <w:t xml:space="preserve">s/ Kaylan Phillips</w:t>
      </w:r>
      <w:r>
        <w:tab/>
      </w:r>
      <w:r>
        <w:t xml:space="preserve">July</w:t>
      </w:r>
      <w:r>
        <w:t xml:space="preserve"> </w:t>
      </w:r>
      <w:r>
        <w:t xml:space="preserve">27,</w:t>
      </w:r>
      <w:r>
        <w:t xml:space="preserve"> </w:t>
      </w:r>
      <w:r>
        <w:t xml:space="preserve">2026</w:t>
      </w:r>
    </w:p>
    <w:p>
      <w:pPr>
        <w:keepLines/>
        <w:tabs>
          <w:tab w:val="left" w:pos="4820"/>
        </w:tabs>
        <w:spacing w:before="0" w:after="0" w:line="400" w:lineRule="exact"/>
        <w:ind w:left="0"/>
      </w:pPr>
      <w:r>
        <w:t xml:space="preserve">Signature</w:t>
      </w:r>
      <w:r>
        <w:tab/>
      </w:r>
      <w:r>
        <w:t xml:space="preserve">Date</w:t>
      </w:r>
    </w:p>
    <w:p>
      <w:pPr>
        <w:pStyle w:val="Heading1"/>
        <w:keepNext/>
        <w:keepLines/>
        <w:pageBreakBefore/>
        <w:spacing w:before="0" w:after="308" w:line="400" w:lineRule="exact"/>
        <w:ind w:left="0" w:firstLine="0"/>
        <w:jc w:val="center"/>
      </w:pPr>
      <w:r>
        <w:rPr>
          <w:b/>
          <w:bCs/>
          <w:sz w:val="32"/>
          <w:szCs w:val="32"/>
        </w:rPr>
        <w:t xml:space="preserve">CERTIFICATE OF SERVICE</w:t>
      </w:r>
    </w:p>
    <w:p>
      <w:pPr>
        <w:keepLines/>
        <w:spacing w:before="0" w:after="0" w:line="400" w:lineRule="exact"/>
        <w:ind w:left="0"/>
      </w:pPr>
      <w:r>
        <w:t xml:space="preserve">I hereby certify that on </w:t>
      </w:r>
      <w:r>
        <w:t xml:space="preserve">July</w:t>
      </w:r>
      <w:r>
        <w:t xml:space="preserve"> </w:t>
      </w:r>
      <w:r>
        <w:t xml:space="preserve">27,</w:t>
      </w:r>
      <w:r>
        <w:t xml:space="preserve"> </w:t>
      </w:r>
      <w:r>
        <w:t xml:space="preserve">2026</w:t>
      </w:r>
      <w:r>
        <w:t xml:space="preserve">, pursuant to Fed. R. App. P. 25, I electronically filed the foregoing using the Court’s CM/ECF system, which in turn caused electronic notifications of such filing to be sent to all counsel of record.</w:t>
      </w:r>
    </w:p>
    <w:p>
      <w:pPr>
        <w:keepNext/>
        <w:keepLines/>
        <w:tabs>
          <w:tab w:val="left" w:pos="4820"/>
        </w:tabs>
        <w:spacing w:before="448" w:after="0" w:line="400" w:lineRule="exact"/>
        <w:ind w:left="0"/>
      </w:pPr>
      <w:r>
        <w:t xml:space="preserve">s/ Kaylan Phillips</w:t>
      </w:r>
      <w:r>
        <w:tab/>
      </w:r>
      <w:r>
        <w:t xml:space="preserve">July</w:t>
      </w:r>
      <w:r>
        <w:t xml:space="preserve"> </w:t>
      </w:r>
      <w:r>
        <w:t xml:space="preserve">27,</w:t>
      </w:r>
      <w:r>
        <w:t xml:space="preserve"> </w:t>
      </w:r>
      <w:r>
        <w:t xml:space="preserve">2026</w:t>
      </w:r>
    </w:p>
    <w:p>
      <w:pPr>
        <w:keepLines/>
        <w:tabs>
          <w:tab w:val="left" w:pos="4820"/>
        </w:tabs>
        <w:spacing w:before="0" w:after="0" w:line="400" w:lineRule="exact"/>
        <w:ind w:left="0"/>
      </w:pPr>
      <w:r>
        <w:t xml:space="preserve">Signature</w:t>
      </w:r>
      <w:r>
        <w:tab/>
      </w:r>
      <w:r>
        <w:t xml:space="preserve">Date</w:t>
      </w:r>
    </w:p>
    <w:sectPr>
      <w:footerReference w:type="default" r:id="rIdFtrPage"/>
      <w:pgSz w:w="12240" w:h="15840"/>
      <w:pgMar w:top="1440" w:right="1440" w:bottom="1440" w:left="1440" w:header="720" w:footer="60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set forth in the Opening Brief, the lower court erred in determining that Mr. Lyman could have received the requested information as a state representative or gubernatorial candidate. Opening Brief at 6. The Lt. Governor agrees that the lower court erred. Response Brief at 19 n.5.</w:t>
      </w:r>
    </w:p>
  </w:footnote>
  <w:footnote w:id="10">
    <w:p>
      <w:pPr>
        <w:pStyle w:val="FootnoteText"/>
      </w:pPr>
      <w:r>
        <w:rPr>
          <w:rStyle w:val="FootnoteReference"/>
        </w:rPr>
        <w:footnoteRef/>
      </w:r>
      <w:r>
        <w:t xml:space="preserve"> </w:t>
      </w:r>
      <w:r>
        <w:t xml:space="preserve">The Opening Brief set forth Mr. Lyman’s declaration of candidacy for the United States House of Representatives. Opening Brief at 8 n.2. Mr. Lyman secured over 34 percent of the vote in his primary but did not advance to the general election ballot. THE STATE OF UTAH, https:​/​/​e​l​e​c​t​i​o​n​r​e​s​u​l​t​s​.​utah.​gov/​results/​public/​Utah/​elections/​Primary​06232026?​party=​Republican (last accessed July 25, 2026).</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Appellant’s Reply Brief</vt:lpwstr>
  </property>
  <property fmtid="{D5CDD505-2E9C-101B-9397-08002B2CF9AE}" pid="4" name="caption">
    <vt:lpwstr/>
  </property>
  <property fmtid="{D5CDD505-2E9C-101B-9397-08002B2CF9AE}" pid="5" name="case_number">
    <vt:lpwstr>26-4014</vt:lpwstr>
  </property>
  <property fmtid="{D5CDD505-2E9C-101B-9397-08002B2CF9AE}" pid="6" name="counsel">
    <vt:lpwstr/>
  </property>
  <property fmtid="{D5CDD505-2E9C-101B-9397-08002B2CF9AE}" pid="7" name="digital_submission">
    <vt:lpwstr>True</vt:lpwstr>
  </property>
  <property fmtid="{D5CDD505-2E9C-101B-9397-08002B2CF9AE}" pid="8" name="district_court_case">
    <vt:lpwstr>4:25-CV-00069-DN-PK</vt:lpwstr>
  </property>
  <property fmtid="{D5CDD505-2E9C-101B-9397-08002B2CF9AE}" pid="9" name="judge">
    <vt:lpwstr>Honorable David Nuffer, District Judge</vt:lpwstr>
  </property>
  <property fmtid="{D5CDD505-2E9C-101B-9397-08002B2CF9AE}" pid="10" name="phone">
    <vt:lpwstr>(703) 745-5870</vt:lpwstr>
  </property>
  <property fmtid="{D5CDD505-2E9C-101B-9397-08002B2CF9AE}" pid="11" name="proceeding">
    <vt:lpwstr>Appeal from the United States District Court for the District of Utah</vt:lpwstr>
  </property>
  <property fmtid="{D5CDD505-2E9C-101B-9397-08002B2CF9AE}" pid="12" name="signature">
    <vt:lpwstr/>
  </property>
  <property fmtid="{D5CDD505-2E9C-101B-9397-08002B2CF9AE}" pid="13" name="virus_scanner">
    <vt:lpwstr>the most recent version of a commercial virus scanning program, Bitdefender Endpoint Security Tools Antimalware, last updated on July 25, 2026</vt:lpwstr>
  </property>
</Properties>
</file>