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FIRST</w:t>
      </w:r>
      <w:r>
        <w:rPr>
          <w:b/>
          <w:bCs/>
        </w:rPr>
        <w:t xml:space="preserve"> </w:t>
      </w:r>
      <w:r>
        <w:rPr>
          <w:b/>
          <w:bCs/>
        </w:rPr>
        <w:t xml:space="preserve">APPELLATE</w:t>
      </w:r>
      <w:r>
        <w:rPr>
          <w:b/>
          <w:bCs/>
        </w:rPr>
        <w:t xml:space="preserve"> </w:t>
      </w:r>
      <w:r>
        <w:rPr>
          <w:b/>
          <w:bCs/>
        </w:rPr>
        <w:t xml:space="preserve">DISTRICT,</w:t>
      </w:r>
      <w:r>
        <w:rPr>
          <w:b/>
          <w:bCs/>
        </w:rPr>
        <w:t xml:space="preserve"> </w:t>
      </w:r>
      <w:r>
        <w:rPr>
          <w:b/>
          <w:bCs/>
        </w:rPr>
        <w:t xml:space="preserve">DIVISION</w:t>
      </w:r>
      <w:r>
        <w:rPr>
          <w:b/>
          <w:bCs/>
        </w:rPr>
        <w:t xml:space="preserve"> </w:t>
      </w:r>
      <w:r>
        <w:rPr>
          <w:b/>
          <w:bCs/>
        </w:rPr>
        <w:t xml:space="preserve">TWO</w:t>
      </w:r>
    </w:p>
    <w:p>
      <w:pPr>
        <w:spacing w:before="0" w:after="0" w:line="20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0" w:line="312" w:lineRule="exact"/>
              <w:ind w:left="2268" w:firstLine="0"/>
              <w:jc w:val="left"/>
            </w:pPr>
            <w:r>
              <w:t xml:space="preserve">Plaintiff</w:t>
            </w:r>
            <w:r>
              <w:t xml:space="preserve"> </w:t>
            </w:r>
            <w:r>
              <w:t xml:space="preserve">and</w:t>
            </w:r>
            <w:r>
              <w:t xml:space="preserve"> </w:t>
            </w:r>
            <w:r>
              <w:t xml:space="preserve">Appellant,</w:t>
            </w:r>
          </w:p>
          <w:p>
            <w:pPr>
              <w:spacing w:before="104" w:after="104" w:line="312" w:lineRule="exact"/>
              <w:ind w:left="2268" w:firstLine="0"/>
              <w:jc w:val="left"/>
            </w:pPr>
            <w:r>
              <w:t xml:space="preserve">v.</w:t>
            </w:r>
          </w:p>
          <w:p>
            <w:pPr>
              <w:spacing w:before="0" w:after="91" w:line="312" w:lineRule="exact"/>
              <w:ind w:left="0" w:firstLine="0"/>
              <w:jc w:val="left"/>
            </w:pPr>
            <w:r>
              <w:t xml:space="preserve">CHRISTIAN</w:t>
            </w:r>
            <w:r>
              <w:t xml:space="preserve"> </w:t>
            </w:r>
            <w:r>
              <w:t xml:space="preserve">NOEL</w:t>
            </w:r>
            <w:r>
              <w:t xml:space="preserve"> </w:t>
            </w:r>
            <w:r>
              <w:t xml:space="preserve">PADILLA-MARTEL,</w:t>
            </w:r>
          </w:p>
          <w:p>
            <w:pPr>
              <w:spacing w:before="0" w:after="0" w:line="312" w:lineRule="exact"/>
              <w:ind w:left="2268" w:firstLine="0"/>
              <w:jc w:val="left"/>
            </w:pPr>
            <w:r>
              <w:t xml:space="preserve">Defendant</w:t>
            </w:r>
            <w:r>
              <w:t xml:space="preserve"> </w:t>
            </w:r>
            <w:r>
              <w:t xml:space="preserve">and</w:t>
            </w:r>
            <w:r>
              <w:t xml:space="preserve"> </w:t>
            </w:r>
            <w:r>
              <w:t xml:space="preserve">Respondent.</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A162872</w:t>
            </w:r>
          </w:p>
        </w:tc>
      </w:tr>
    </w:tbl>
    <w:p>
      <w:pPr>
        <w:spacing w:before="0" w:after="0" w:line="200" w:lineRule="exact"/>
      </w:pPr>
    </w:p>
    <w:p>
      <w:pPr>
        <w:spacing w:before="0" w:after="0" w:line="312" w:lineRule="exact"/>
        <w:ind w:left="0" w:firstLine="0"/>
        <w:jc w:val="center"/>
      </w:pPr>
      <w:r>
        <w:t xml:space="preserve">San</w:t>
      </w:r>
      <w:r>
        <w:t xml:space="preserve"> </w:t>
      </w:r>
      <w:r>
        <w:t xml:space="preserve">Francisco</w:t>
      </w:r>
      <w:r>
        <w:t xml:space="preserve"> </w:t>
      </w:r>
      <w:r>
        <w:t xml:space="preserve">Superior</w:t>
      </w:r>
      <w:r>
        <w:t xml:space="preserve"> </w:t>
      </w:r>
      <w:r>
        <w:t xml:space="preserve">Court</w:t>
      </w:r>
    </w:p>
    <w:p>
      <w:pPr>
        <w:spacing w:before="0" w:after="0" w:line="312" w:lineRule="exact"/>
        <w:ind w:left="0" w:firstLine="0"/>
        <w:jc w:val="center"/>
      </w:pPr>
      <w:r>
        <w:t xml:space="preserve">Case</w:t>
      </w:r>
      <w:r>
        <w:t xml:space="preserve"> </w:t>
      </w:r>
      <w:r>
        <w:t xml:space="preserve">No.</w:t>
      </w:r>
      <w:r>
        <w:t xml:space="preserve"> </w:t>
      </w:r>
      <w:r>
        <w:t xml:space="preserve">CGC</w:t>
        <w:noBreakHyphen/>
        <w:t xml:space="preserve">20</w:t>
        <w:noBreakHyphen/>
        <w:t xml:space="preserve">586763</w:t>
      </w:r>
    </w:p>
    <w:p>
      <w:pPr>
        <w:spacing w:before="0" w:after="0" w:line="312" w:lineRule="exact"/>
        <w:ind w:left="0" w:firstLine="0"/>
        <w:jc w:val="center"/>
      </w:pPr>
      <w:r>
        <w:t xml:space="preserve">The</w:t>
      </w:r>
      <w:r>
        <w:t xml:space="preserve"> </w:t>
      </w:r>
      <w:r>
        <w:t xml:space="preserve">Honorable</w:t>
      </w:r>
      <w:r>
        <w:t xml:space="preserve"> </w:t>
      </w:r>
      <w:r>
        <w:t xml:space="preserve">Ethan</w:t>
      </w:r>
      <w:r>
        <w:t xml:space="preserve"> </w:t>
      </w:r>
      <w:r>
        <w:t xml:space="preserve">P.</w:t>
      </w:r>
      <w:r>
        <w:t xml:space="preserve"> </w:t>
      </w:r>
      <w:r>
        <w:t xml:space="preserve">Schulman</w:t>
      </w:r>
    </w:p>
    <w:p>
      <w:pPr>
        <w:spacing w:before="0" w:after="0" w:line="200" w:lineRule="exact"/>
      </w:pPr>
    </w:p>
    <w:p>
      <w:pPr>
        <w:spacing w:before="0" w:after="0" w:line="312" w:lineRule="exact"/>
        <w:ind w:left="0" w:firstLine="0"/>
        <w:jc w:val="center"/>
      </w:pPr>
      <w:r>
        <w:rPr>
          <w:b/>
          <w:bCs/>
        </w:rPr>
        <w:t xml:space="preserve">APPELLANT</w:t>
      </w:r>
      <w:r>
        <w:rPr>
          <w:b/>
          <w:bCs/>
        </w:rPr>
        <w:t xml:space="preserve"> </w:t>
      </w:r>
      <w:r>
        <w:rPr>
          <w:b/>
          <w:bCs/>
        </w:rPr>
        <w:t xml:space="preserve">PEOPLE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JUDICIAL</w:t>
      </w:r>
      <w:r>
        <w:rPr>
          <w:b/>
          <w:bCs/>
        </w:rPr>
        <w:t xml:space="preserve"> </w:t>
      </w:r>
      <w:r>
        <w:rPr>
          <w:b/>
          <w:bCs/>
        </w:rPr>
        <w:t xml:space="preserve">NOTICE;</w:t>
      </w:r>
      <w:r>
        <w:rPr>
          <w:b/>
          <w:bCs/>
        </w:rPr>
        <w:t xml:space="preserve"> </w:t>
      </w:r>
      <w:r>
        <w:rPr>
          <w:b/>
          <w:bCs/>
        </w:rPr>
        <w:t xml:space="preserve">EXHIBITS</w:t>
      </w:r>
      <w:r>
        <w:rPr>
          <w:b/>
          <w:bCs/>
        </w:rPr>
        <w:t xml:space="preserve"> </w:t>
      </w:r>
      <w:r>
        <w:rPr>
          <w:b/>
          <w:bCs/>
        </w:rPr>
        <w:t xml:space="preserve">A—B</w:t>
      </w:r>
    </w:p>
    <w:p>
      <w:pPr>
        <w:spacing w:before="0" w:after="0" w:line="200" w:lineRule="exact"/>
      </w:pPr>
    </w:p>
    <w:p>
      <w:pPr>
        <w:spacing w:before="0" w:after="0" w:line="312" w:lineRule="exact"/>
        <w:ind w:left="3960" w:firstLine="0"/>
        <w:jc w:val="left"/>
      </w:pPr>
      <w:r>
        <w:t xml:space="preserve">DAVID</w:t>
      </w:r>
      <w:r>
        <w:t xml:space="preserve"> </w:t>
      </w:r>
      <w:r>
        <w:t xml:space="preserve">CHIU,</w:t>
      </w:r>
      <w:r>
        <w:t xml:space="preserve"> </w:t>
      </w:r>
      <w:r>
        <w:t xml:space="preserve">State</w:t>
      </w:r>
      <w:r>
        <w:t xml:space="preserve"> </w:t>
      </w:r>
      <w:r>
        <w:t xml:space="preserve">Bar</w:t>
      </w:r>
      <w:r>
        <w:t xml:space="preserve"> </w:t>
      </w:r>
      <w:r>
        <w:t xml:space="preserve">#189542</w:t>
      </w:r>
    </w:p>
    <w:p>
      <w:pPr>
        <w:spacing w:before="0" w:after="0" w:line="312" w:lineRule="exact"/>
        <w:ind w:left="3960" w:firstLine="0"/>
        <w:jc w:val="left"/>
      </w:pPr>
      <w:r>
        <w:t xml:space="preserve">City</w:t>
      </w:r>
      <w:r>
        <w:t xml:space="preserve"> </w:t>
      </w:r>
      <w:r>
        <w:t xml:space="preserve">Attorney</w:t>
      </w:r>
    </w:p>
    <w:p>
      <w:pPr>
        <w:spacing w:before="0" w:after="0" w:line="312" w:lineRule="exact"/>
        <w:ind w:left="3960" w:firstLine="0"/>
        <w:jc w:val="left"/>
      </w:pPr>
      <w:r>
        <w:t xml:space="preserve">PETER</w:t>
      </w:r>
      <w:r>
        <w:t xml:space="preserve"> </w:t>
      </w:r>
      <w:r>
        <w:t xml:space="preserve">J.</w:t>
      </w:r>
      <w:r>
        <w:t xml:space="preserve"> </w:t>
      </w:r>
      <w:r>
        <w:t xml:space="preserve">KEITH,</w:t>
      </w:r>
      <w:r>
        <w:t xml:space="preserve"> </w:t>
      </w:r>
      <w:r>
        <w:t xml:space="preserve">State</w:t>
      </w:r>
      <w:r>
        <w:t xml:space="preserve"> </w:t>
      </w:r>
      <w:r>
        <w:t xml:space="preserve">Bar</w:t>
      </w:r>
      <w:r>
        <w:t xml:space="preserve"> </w:t>
      </w:r>
      <w:r>
        <w:t xml:space="preserve">#206482</w:t>
      </w:r>
    </w:p>
    <w:p>
      <w:pPr>
        <w:spacing w:before="0" w:after="0" w:line="312" w:lineRule="exact"/>
        <w:ind w:left="3960" w:firstLine="0"/>
        <w:jc w:val="left"/>
      </w:pPr>
      <w:r>
        <w:t xml:space="preserve">Chief</w:t>
      </w:r>
      <w:r>
        <w:t xml:space="preserve"> </w:t>
      </w:r>
      <w:r>
        <w:t xml:space="preserve">Attorney,</w:t>
      </w:r>
      <w:r>
        <w:t xml:space="preserve"> </w:t>
      </w:r>
      <w:r>
        <w:t xml:space="preserve">Neighborhood</w:t>
      </w:r>
      <w:r>
        <w:t xml:space="preserve"> </w:t>
      </w:r>
      <w:r>
        <w:t xml:space="preserve">and</w:t>
      </w:r>
      <w:r>
        <w:t xml:space="preserve"> </w:t>
      </w:r>
      <w:r>
        <w:t xml:space="preserve">Resident</w:t>
      </w:r>
      <w:r>
        <w:t xml:space="preserve"> </w:t>
      </w:r>
      <w:r>
        <w:t xml:space="preserve">Safety</w:t>
      </w:r>
      <w:r>
        <w:t xml:space="preserve"> </w:t>
      </w:r>
      <w:r>
        <w:t xml:space="preserve">Division</w:t>
      </w:r>
    </w:p>
    <w:p>
      <w:pPr>
        <w:spacing w:before="0" w:after="0" w:line="312" w:lineRule="exact"/>
        <w:ind w:left="3960" w:firstLine="0"/>
        <w:jc w:val="left"/>
      </w:pPr>
      <w:r>
        <w:t xml:space="preserve">MEREDITH</w:t>
      </w:r>
      <w:r>
        <w:t xml:space="preserve"> </w:t>
      </w:r>
      <w:r>
        <w:t xml:space="preserve">B.</w:t>
      </w:r>
      <w:r>
        <w:t xml:space="preserve"> </w:t>
      </w:r>
      <w:r>
        <w:t xml:space="preserve">OSBORN,</w:t>
      </w:r>
      <w:r>
        <w:t xml:space="preserve"> </w:t>
      </w:r>
      <w:r>
        <w:t xml:space="preserve">State</w:t>
      </w:r>
      <w:r>
        <w:t xml:space="preserve"> </w:t>
      </w:r>
      <w:r>
        <w:t xml:space="preserve">Bar</w:t>
      </w:r>
      <w:r>
        <w:t xml:space="preserve"> </w:t>
      </w:r>
      <w:r>
        <w:t xml:space="preserve">#250467</w:t>
      </w:r>
    </w:p>
    <w:p>
      <w:pPr>
        <w:spacing w:before="0" w:after="0" w:line="312" w:lineRule="exact"/>
        <w:ind w:left="3960" w:firstLine="0"/>
        <w:jc w:val="left"/>
      </w:pPr>
      <w:r>
        <w:t xml:space="preserve">Chief</w:t>
      </w:r>
      <w:r>
        <w:t xml:space="preserve"> </w:t>
      </w:r>
      <w:r>
        <w:t xml:space="preserve">Trial</w:t>
      </w:r>
      <w:r>
        <w:t xml:space="preserve"> </w:t>
      </w:r>
      <w:r>
        <w:t xml:space="preserve">Deputy</w:t>
      </w:r>
    </w:p>
    <w:p>
      <w:pPr>
        <w:spacing w:before="0" w:after="0" w:line="312" w:lineRule="exact"/>
        <w:ind w:left="3960" w:firstLine="0"/>
        <w:jc w:val="left"/>
      </w:pPr>
      <w:r>
        <w:t xml:space="preserve">HOLLY</w:t>
      </w:r>
      <w:r>
        <w:t xml:space="preserve"> </w:t>
      </w:r>
      <w:r>
        <w:t xml:space="preserve">D.</w:t>
      </w:r>
      <w:r>
        <w:t xml:space="preserve"> </w:t>
      </w:r>
      <w:r>
        <w:t xml:space="preserve">COULEHAN,</w:t>
      </w:r>
      <w:r>
        <w:t xml:space="preserve"> </w:t>
      </w:r>
      <w:r>
        <w:t xml:space="preserve">State</w:t>
      </w:r>
      <w:r>
        <w:t xml:space="preserve"> </w:t>
      </w:r>
      <w:r>
        <w:t xml:space="preserve">Bar</w:t>
      </w:r>
      <w:r>
        <w:t xml:space="preserve"> </w:t>
      </w:r>
      <w:r>
        <w:t xml:space="preserve">#244682</w:t>
      </w:r>
    </w:p>
    <w:p>
      <w:pPr>
        <w:spacing w:before="0" w:after="0" w:line="312" w:lineRule="exact"/>
        <w:ind w:left="3960" w:firstLine="0"/>
        <w:jc w:val="left"/>
      </w:pPr>
      <w:r>
        <w:t xml:space="preserve">Deputy</w:t>
      </w:r>
      <w:r>
        <w:t xml:space="preserve"> </w:t>
      </w:r>
      <w:r>
        <w:t xml:space="preserve">City</w:t>
      </w:r>
      <w:r>
        <w:t xml:space="preserve"> </w:t>
      </w:r>
      <w:r>
        <w:t xml:space="preserve">Attorney</w:t>
      </w:r>
    </w:p>
    <w:p>
      <w:pPr>
        <w:spacing w:before="0" w:after="0" w:line="312" w:lineRule="exact"/>
        <w:ind w:left="3960" w:firstLine="0"/>
        <w:jc w:val="left"/>
      </w:pPr>
      <w:r>
        <w:t xml:space="preserve">1390</w:t>
      </w:r>
      <w:r>
        <w:t xml:space="preserve"> </w:t>
      </w:r>
      <w:r>
        <w:t xml:space="preserve">Market</w:t>
      </w:r>
      <w:r>
        <w:t xml:space="preserve"> </w:t>
      </w:r>
      <w:r>
        <w:t xml:space="preserve">Street,</w:t>
      </w:r>
      <w:r>
        <w:t xml:space="preserve"> </w:t>
      </w:r>
      <w:r>
        <w:t xml:space="preserve">7th</w:t>
      </w:r>
      <w:r>
        <w:t xml:space="preserve"> </w:t>
      </w:r>
      <w:r>
        <w:t xml:space="preserve">Floor</w:t>
      </w:r>
    </w:p>
    <w:p>
      <w:pPr>
        <w:spacing w:before="0" w:after="0" w:line="312" w:lineRule="exact"/>
        <w:ind w:left="3960" w:firstLine="0"/>
        <w:jc w:val="left"/>
      </w:pPr>
      <w:r>
        <w:t xml:space="preserve">San</w:t>
      </w:r>
      <w:r>
        <w:t xml:space="preserve"> </w:t>
      </w:r>
      <w:r>
        <w:t xml:space="preserve">Francisco,</w:t>
      </w:r>
      <w:r>
        <w:t xml:space="preserve"> </w:t>
      </w:r>
      <w:r>
        <w:t xml:space="preserve">California</w:t>
      </w:r>
      <w:r>
        <w:t xml:space="preserve"> </w:t>
      </w:r>
      <w:r>
        <w:t xml:space="preserve">94102</w:t>
        <w:noBreakHyphen/>
        <w:t xml:space="preserve">5408</w:t>
      </w:r>
    </w:p>
    <w:p>
      <w:pPr>
        <w:spacing w:before="0" w:after="0" w:line="312" w:lineRule="exact"/>
        <w:ind w:left="3960" w:firstLine="0"/>
        <w:jc w:val="left"/>
      </w:pPr>
      <w:r>
        <w:t xml:space="preserve">Telephone:</w:t>
      </w:r>
      <w:r>
        <w:t xml:space="preserve"> </w:t>
      </w:r>
      <w:r>
        <w:t xml:space="preserve">(415)</w:t>
      </w:r>
      <w:r>
        <w:t xml:space="preserve"> </w:t>
      </w:r>
      <w:r>
        <w:t xml:space="preserve">554</w:t>
        <w:noBreakHyphen/>
        <w:t xml:space="preserve">3800</w:t>
      </w:r>
    </w:p>
    <w:p>
      <w:pPr>
        <w:spacing w:before="0" w:after="0" w:line="312" w:lineRule="exact"/>
        <w:ind w:left="3960" w:firstLine="0"/>
        <w:jc w:val="left"/>
      </w:pPr>
      <w:r>
        <w:t xml:space="preserve">Facsimile:</w:t>
      </w:r>
      <w:r>
        <w:t xml:space="preserve"> </w:t>
      </w:r>
      <w:r>
        <w:t xml:space="preserve">(415)</w:t>
      </w:r>
      <w:r>
        <w:t xml:space="preserve"> </w:t>
      </w:r>
      <w:r>
        <w:t xml:space="preserve">437</w:t>
        <w:noBreakHyphen/>
        <w:t xml:space="preserve">4644</w:t>
      </w:r>
    </w:p>
    <w:p>
      <w:pPr>
        <w:spacing w:before="130" w:after="0" w:line="312" w:lineRule="exact"/>
        <w:ind w:left="396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and</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p>
      <w:pPr>
        <w:spacing w:before="0" w:after="0" w:line="200" w:lineRule="exact"/>
      </w:pPr>
    </w:p>
    <w:p>
      <w:pPr>
        <w:pageBreakBefore/>
        <w:spacing w:before="0" w:after="0" w:line="1" w:lineRule="exact"/>
      </w:pPr>
    </w:p>
    <w:p>
      <w:pPr>
        <w:keepNext/>
        <w:keepLines/>
        <w:spacing w:before="0" w:after="260" w:line="312"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JUDICIAL</w:t>
      </w:r>
      <w:r>
        <w:rPr>
          <w:b/>
          <w:bCs/>
        </w:rPr>
        <w:t xml:space="preserve"> </w:t>
      </w:r>
      <w:r>
        <w:rPr>
          <w:b/>
          <w:bCs/>
        </w:rPr>
        <w:t xml:space="preserve">NOTICE</w:t>
      </w:r>
    </w:p>
    <w:p>
      <w:pPr>
        <w:pStyle w:val="BodyText"/>
      </w:pPr>
      <w:r>
        <w:t xml:space="preserve">Pursuant to Rule 8.252 of the California Rules of Court, Appellant People of the State of California (“People”) hereby move the Court to take judicial notice of certain official acts, specifically the December 2021 declaration of a state of emergency in the Tenderloin District, and factual matters not subject to reasonable dispute, namely that the nuisance in the Tenderloin continues to persist unabated:</w:t>
      </w:r>
    </w:p>
    <w:p>
      <w:pPr>
        <w:pStyle w:val="BodyText"/>
      </w:pPr>
      <w:r>
        <w:t xml:space="preserve">1. The Proclamation by the Mayor Declaring the Existence of a Local Emergency: Drug Overdoses in the Tenderloin by London N. Breed, Mayor of the City and County of San Francisco, dated December 17, 2021, a true and correct copy of which is attached as Exhibit A.</w:t>
      </w:r>
    </w:p>
    <w:p>
      <w:pPr>
        <w:pStyle w:val="BodyText"/>
      </w:pPr>
      <w:r>
        <w:t xml:space="preserve">2. Motion Concurring in Proclamation of Local Emergency - Drug Overdoses in the Tenderloin, dated December 23, 2021, a true and correct copy of which is attached as Exhibit B.</w:t>
      </w:r>
    </w:p>
    <w:p>
      <w:pPr>
        <w:pStyle w:val="BodyText"/>
      </w:pPr>
      <w:r>
        <w:t xml:space="preserve">3. That the nuisance in the Tenderloin found by the trial court is still ongoing.</w:t>
      </w:r>
    </w:p>
    <w:p>
      <w:pPr>
        <w:keepNext/>
        <w:keepLines/>
        <w:spacing w:before="312" w:after="260" w:line="312" w:lineRule="exact"/>
        <w:ind w:left="0" w:firstLine="0"/>
        <w:jc w:val="center"/>
      </w:pPr>
      <w:r>
        <w:rPr>
          <w:b/>
          <w:bCs/>
        </w:rPr>
        <w:t xml:space="preserve">DISCUSSION</w:t>
      </w:r>
    </w:p>
    <w:p>
      <w:pPr>
        <w:pStyle w:val="BodyText"/>
      </w:pPr>
      <w:r>
        <w:t xml:space="preserve">The recent emergency declarations and the continuing crisis in the Tenderloin are relevant to this appeal, in that they provide further proof of the urgent need for this Court to correct the error of the Superior Court, and to reverse and remand with instructions to the Superior Court to issue the requested preliminary injunctions against Respondents, as more fully described in the People’s merits briefs.</w:t>
      </w:r>
    </w:p>
    <w:p>
      <w:pPr>
        <w:pStyle w:val="BodyText"/>
      </w:pPr>
      <w:r>
        <w:t xml:space="preserve">The official declaration of a state of emergency and concurrence by a county board of supervisors is a proper subject of judicial notice. (Evid. Code § 452(b), (c);</w:t>
      </w:r>
      <w:r>
        <w:t xml:space="preserve"> </w:t>
      </w:r>
      <w:r>
        <w:rPr>
          <w:i/>
          <w:iCs/>
        </w:rPr>
        <w:t xml:space="preserve">e.g.</w:t>
      </w:r>
      <w:r>
        <w:t xml:space="preserve">,</w:t>
      </w:r>
      <w:r>
        <w:t xml:space="preserve"> </w:t>
      </w:r>
      <w:r>
        <w:rPr>
          <w:i/>
          <w:iCs/>
        </w:rPr>
        <w:t xml:space="preserve">Bullock v. Superior Court of Contra Costa County</w:t>
      </w:r>
      <w:r>
        <w:t xml:space="preserve"> </w:t>
      </w:r>
      <w:r>
        <w:t xml:space="preserve">(2020) 51 Cal.App.5th 134, 141 fns. 4 &amp; 5 [taking judicial notice of declaration of COVID</w:t>
      </w:r>
      <w:r>
        <w:noBreakHyphen/>
      </w:r>
      <w:r>
        <w:t xml:space="preserve">19 emergency by county board of supervisors];</w:t>
      </w:r>
      <w:r>
        <w:t xml:space="preserve"> </w:t>
      </w:r>
      <w:r>
        <w:rPr>
          <w:i/>
          <w:iCs/>
        </w:rPr>
        <w:t xml:space="preserve">see also</w:t>
      </w:r>
      <w:r>
        <w:t xml:space="preserve">,</w:t>
      </w:r>
      <w:r>
        <w:t xml:space="preserve"> </w:t>
      </w:r>
      <w:r>
        <w:rPr>
          <w:i/>
          <w:iCs/>
        </w:rPr>
        <w:t xml:space="preserve">e.g.</w:t>
      </w:r>
      <w:r>
        <w:t xml:space="preserve">,</w:t>
      </w:r>
      <w:r>
        <w:t xml:space="preserve"> </w:t>
      </w:r>
      <w:r>
        <w:rPr>
          <w:i/>
          <w:iCs/>
        </w:rPr>
        <w:t xml:space="preserve">Inns by the Sea v. California Mutual Insurance Company</w:t>
      </w:r>
      <w:r>
        <w:t xml:space="preserve"> </w:t>
      </w:r>
      <w:r>
        <w:t xml:space="preserve">(2021) 71 Cal.App.5th 688, 286 Cal.Rptr.3d 576, 580 fn. 2 [taking judicial notice of county orders during COVID</w:t>
      </w:r>
      <w:r>
        <w:noBreakHyphen/>
      </w:r>
      <w:r>
        <w:t xml:space="preserve">19 emergency, and noting subdivision (c) provides for judicial notice of actions of counties].)</w:t>
      </w:r>
    </w:p>
    <w:p>
      <w:pPr>
        <w:pStyle w:val="BodyText"/>
      </w:pPr>
      <w:r>
        <w:t xml:space="preserve">The continued existence of the nuisance conditions and drug crisis in the Tenderloin as found by the trial court is a proper subject of judicial notice per Evidence Code section 452, subdivision (g), which provides for judicial notice of “facts and propositions that are of such common knowledge within the territorial jurisdiction of the court that they cannot reasonably be the subject of dispute.” (Evid. Code § 452(g);</w:t>
      </w:r>
      <w:r>
        <w:t xml:space="preserve"> </w:t>
      </w:r>
      <w:r>
        <w:rPr>
          <w:i/>
          <w:iCs/>
        </w:rPr>
        <w:t xml:space="preserve">e.g.</w:t>
      </w:r>
      <w:r>
        <w:t xml:space="preserve">,</w:t>
      </w:r>
      <w:r>
        <w:t xml:space="preserve"> </w:t>
      </w:r>
      <w:r>
        <w:rPr>
          <w:i/>
          <w:iCs/>
        </w:rPr>
        <w:t xml:space="preserve">Porter v. Fiske</w:t>
      </w:r>
      <w:r>
        <w:t xml:space="preserve"> </w:t>
      </w:r>
      <w:r>
        <w:t xml:space="preserve">(1946) 74 Cal.App.2d 332, 338 [upholding injunction against violator of pricing controls, and taking judicial notice of “emergency occasioned by the scarcity of housing accommodations in areas where war supplies were being produced” during World War II].) The existing nuisance conditions in the Tenderloin are well known within the territorial jurisdiction of the Superior Court and this Court. Respondents and Amici have not disputed them, and no one could reasonably dispute that they continue to exist.</w:t>
      </w:r>
    </w:p>
    <w:p>
      <w:pPr>
        <w:pStyle w:val="BodyText"/>
      </w:pPr>
      <w:r>
        <w:t xml:space="preserve">//</w:t>
      </w:r>
    </w:p>
    <w:p>
      <w:pPr>
        <w:pStyle w:val="BodyText"/>
      </w:pPr>
      <w:r>
        <w:t xml:space="preserve">//</w:t>
      </w:r>
    </w:p>
    <w:p>
      <w:pPr>
        <w:pStyle w:val="BodyTextKeep"/>
      </w:pPr>
      <w:r>
        <w:t xml:space="preserve">These matters were not presented to the trial court because they occurred after the trial court issued its order; furthermore, these matters simply confirm that continued existence of the nuisance conditions in the Tenderloin, as already found by the trial court when it issued the order appealed from.</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January</w:t>
            </w:r>
            <w:r>
              <w:t xml:space="preserve"> </w:t>
            </w:r>
            <w:r>
              <w:t xml:space="preserve">3,</w:t>
            </w:r>
            <w:r>
              <w:t xml:space="preserve"> </w:t>
            </w:r>
            <w:r>
              <w:t xml:space="preserve">2022</w:t>
            </w:r>
          </w:p>
        </w:tc>
        <w:tc>
          <w:tcPr>
            <w:tcW w:w="4320" w:type="dxa"/>
          </w:tcPr>
          <w:p>
            <w:pPr>
              <w:spacing w:before="0" w:after="0" w:line="312" w:lineRule="exact"/>
              <w:ind w:left="0" w:firstLine="0"/>
              <w:jc w:val="left"/>
            </w:pPr>
            <w:r>
              <w:t xml:space="preserve">DAVID</w:t>
            </w:r>
            <w:r>
              <w:t xml:space="preserve"> </w:t>
            </w:r>
            <w:r>
              <w:t xml:space="preserve">CHIU</w:t>
            </w:r>
          </w:p>
          <w:p>
            <w:pPr>
              <w:spacing w:before="0" w:after="0" w:line="312" w:lineRule="exact"/>
              <w:ind w:left="0" w:firstLine="0"/>
              <w:jc w:val="left"/>
            </w:pPr>
            <w:r>
              <w:t xml:space="preserve">City</w:t>
            </w:r>
            <w:r>
              <w:t xml:space="preserve"> </w:t>
            </w:r>
            <w:r>
              <w:t xml:space="preserve">Attorney</w:t>
            </w:r>
          </w:p>
          <w:p>
            <w:pPr>
              <w:spacing w:before="0" w:after="0" w:line="312" w:lineRule="exact"/>
              <w:ind w:left="0" w:firstLine="0"/>
              <w:jc w:val="left"/>
            </w:pPr>
            <w:r>
              <w:t xml:space="preserve">PETER</w:t>
            </w:r>
            <w:r>
              <w:t xml:space="preserve"> </w:t>
            </w:r>
            <w:r>
              <w:t xml:space="preserve">J.</w:t>
            </w:r>
            <w:r>
              <w:t xml:space="preserve"> </w:t>
            </w:r>
            <w:r>
              <w:t xml:space="preserve">KEITH</w:t>
            </w:r>
          </w:p>
          <w:p>
            <w:pPr>
              <w:spacing w:before="0" w:after="0" w:line="312" w:lineRule="exact"/>
              <w:ind w:left="0" w:firstLine="0"/>
              <w:jc w:val="left"/>
            </w:pPr>
            <w:r>
              <w:t xml:space="preserve">Chief</w:t>
            </w:r>
            <w:r>
              <w:t xml:space="preserve"> </w:t>
            </w:r>
            <w:r>
              <w:t xml:space="preserve">Attorney,</w:t>
            </w:r>
            <w:r>
              <w:t xml:space="preserve"> </w:t>
            </w:r>
            <w:r>
              <w:t xml:space="preserve">Neighborhood</w:t>
            </w:r>
            <w:r>
              <w:t xml:space="preserve"> </w:t>
            </w:r>
            <w:r>
              <w:t xml:space="preserve">and</w:t>
            </w:r>
            <w:r>
              <w:t xml:space="preserve"> </w:t>
            </w:r>
            <w:r>
              <w:t xml:space="preserve">Resident</w:t>
            </w:r>
            <w:r>
              <w:t xml:space="preserve"> </w:t>
            </w:r>
            <w:r>
              <w:t xml:space="preserve">Safety</w:t>
            </w:r>
            <w:r>
              <w:t xml:space="preserve"> </w:t>
            </w:r>
            <w:r>
              <w:t xml:space="preserve">Division</w:t>
            </w:r>
          </w:p>
          <w:p>
            <w:pPr>
              <w:spacing w:before="312" w:after="0" w:line="312" w:lineRule="exact"/>
              <w:ind w:left="0" w:firstLine="0"/>
              <w:jc w:val="left"/>
            </w:pPr>
            <w:r>
              <w:t xml:space="preserve">s/​PETER</w:t>
            </w:r>
            <w:r>
              <w:t xml:space="preserve"> </w:t>
            </w:r>
            <w:r>
              <w:t xml:space="preserve">J.</w:t>
            </w:r>
            <w:r>
              <w:t xml:space="preserve"> </w:t>
            </w:r>
            <w:r>
              <w:t xml:space="preserve">KEITH</w:t>
            </w:r>
          </w:p>
          <w:p>
            <w:pPr>
              <w:spacing w:before="0" w:after="0" w:line="312" w:lineRule="exact"/>
              <w:ind w:left="0" w:firstLine="0"/>
              <w:jc w:val="left"/>
            </w:pPr>
            <w:r>
              <w:t xml:space="preserve">PETER</w:t>
            </w:r>
            <w:r>
              <w:t xml:space="preserve"> </w:t>
            </w:r>
            <w:r>
              <w:t xml:space="preserve">J.</w:t>
            </w:r>
            <w:r>
              <w:t xml:space="preserve"> </w:t>
            </w:r>
            <w:r>
              <w:t xml:space="preserve">KEITH</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