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SUPREME</w:t>
      </w:r>
      <w:r>
        <w:rPr>
          <w:b/>
          <w:bCs/>
        </w:rPr>
        <w:t xml:space="preserve"> </w:t>
      </w:r>
      <w:r>
        <w:rPr>
          <w:b/>
          <w:bCs/>
        </w:rPr>
        <w:t xml:space="preserve">COURT</w:t>
      </w:r>
    </w:p>
    <w:p>
      <w:pPr>
        <w:spacing w:before="460" w:after="0" w:line="322" w:lineRule="exact"/>
        <w:ind w:left="0" w:firstLine="0"/>
        <w:jc w:val="left"/>
      </w:pPr>
      <w:r>
        <w:t xml:space="preserve">PHILLIP</w:t>
      </w:r>
      <w:r>
        <w:t xml:space="preserve"> </w:t>
      </w:r>
      <w:r>
        <w:t xml:space="preserve">CARTER</w:t>
      </w:r>
      <w:r>
        <w:t xml:space="preserve"> </w:t>
      </w:r>
      <w:r>
        <w:t xml:space="preserve">AND</w:t>
      </w:r>
      <w:r>
        <w:t xml:space="preserve"> </w:t>
      </w:r>
      <w:r>
        <w:t xml:space="preserve">ANTOINETTE</w:t>
      </w:r>
      <w:r>
        <w:t xml:space="preserve"> </w:t>
      </w:r>
      <w:r>
        <w:t xml:space="preserve">CARTER-HARRIS,</w:t>
      </w:r>
      <w:r>
        <w:t xml:space="preserve"> </w:t>
      </w:r>
      <w:r>
        <w:t xml:space="preserve">AS</w:t>
      </w:r>
      <w:r>
        <w:t xml:space="preserve"> </w:t>
      </w:r>
      <w:r>
        <w:t xml:space="preserve">LEGAL</w:t>
      </w:r>
      <w:r>
        <w:t xml:space="preserve"> </w:t>
      </w:r>
      <w:r>
        <w:t xml:space="preserve">GUARDIANS</w:t>
      </w:r>
      <w:r>
        <w:t xml:space="preserve"> </w:t>
      </w:r>
      <w:r>
        <w:t xml:space="preserve">OF</w:t>
      </w:r>
      <w:r>
        <w:t xml:space="preserve"> </w:t>
      </w:r>
      <w:r>
        <w:t xml:space="preserve">ANTOIN</w:t>
      </w:r>
      <w:r>
        <w:t xml:space="preserve"> </w:t>
      </w:r>
      <w:r>
        <w:t xml:space="preserve">HARRIS,</w:t>
      </w:r>
      <w:r>
        <w:t xml:space="preserve"> </w:t>
      </w:r>
      <w:r>
        <w:t xml:space="preserve">AN</w:t>
      </w:r>
      <w:r>
        <w:t xml:space="preserve"> </w:t>
      </w:r>
      <w:r>
        <w:t xml:space="preserve">INCAPACITATED</w:t>
      </w:r>
      <w:r>
        <w:t xml:space="preserve"> </w:t>
      </w:r>
      <w:r>
        <w:t xml:space="preserve">PERSON</w:t>
      </w:r>
    </w:p>
    <w:p>
      <w:pPr>
        <w:spacing w:before="322" w:after="0" w:line="322" w:lineRule="exact"/>
        <w:ind w:left="0" w:firstLine="0"/>
        <w:jc w:val="right"/>
      </w:pPr>
      <w:r>
        <w:rPr>
          <w:b/>
          <w:bCs/>
        </w:rPr>
        <w:t xml:space="preserve">APPELLANTS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23</w:t>
              <w:noBreakHyphen/>
              <w:t xml:space="preserve">100</w:t>
            </w:r>
          </w:p>
        </w:tc>
        <w:tc>
          <w:tcPr>
            <w:tcW w:w="720" w:type="dxa"/>
          </w:tcPr>
          <w:p>
            <w:pPr>
              <w:spacing w:before="0" w:after="0" w:line="1" w:lineRule="exact"/>
            </w:pPr>
          </w:p>
        </w:tc>
      </w:tr>
    </w:tbl>
    <w:p>
      <w:pPr>
        <w:spacing w:before="322" w:after="0" w:line="322" w:lineRule="exact"/>
        <w:ind w:left="0" w:firstLine="0"/>
        <w:jc w:val="left"/>
      </w:pPr>
      <w:r>
        <w:t xml:space="preserve">ENTERGY</w:t>
      </w:r>
      <w:r>
        <w:t xml:space="preserve"> </w:t>
      </w:r>
      <w:r>
        <w:t xml:space="preserve">ARKANSAS,</w:t>
      </w:r>
      <w:r>
        <w:t xml:space="preserve"> </w:t>
      </w:r>
      <w:r>
        <w:t xml:space="preserve">INC.</w:t>
      </w:r>
    </w:p>
    <w:p>
      <w:pPr>
        <w:spacing w:before="322" w:after="0" w:line="322" w:lineRule="exact"/>
        <w:ind w:left="0" w:firstLine="0"/>
        <w:jc w:val="right"/>
      </w:pPr>
      <w:r>
        <w:rPr>
          <w:b/>
          <w:bCs/>
        </w:rPr>
        <w:t xml:space="preserve">APPELLEE</w:t>
      </w:r>
    </w:p>
    <w:p>
      <w:pPr>
        <w:spacing w:before="400"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Jefferson</w:t>
      </w:r>
      <w:r>
        <w:t xml:space="preserve"> </w:t>
      </w:r>
      <w:r>
        <w:t xml:space="preserve">County,</w:t>
      </w:r>
      <w:r>
        <w:t xml:space="preserve"> </w:t>
      </w:r>
      <w:r>
        <w:t xml:space="preserve">Arkansas</w:t>
      </w:r>
    </w:p>
    <w:p>
      <w:pPr>
        <w:spacing w:before="322" w:after="0" w:line="322" w:lineRule="exact"/>
        <w:ind w:left="0" w:firstLine="0"/>
        <w:jc w:val="center"/>
      </w:pPr>
      <w:r>
        <w:t xml:space="preserve">The</w:t>
      </w:r>
      <w:r>
        <w:t xml:space="preserve"> </w:t>
      </w:r>
      <w:r>
        <w:t xml:space="preserve">Honorable</w:t>
      </w:r>
      <w:r>
        <w:t xml:space="preserve"> </w:t>
      </w:r>
      <w:r>
        <w:t xml:space="preserve">Robert</w:t>
      </w:r>
      <w:r>
        <w:t xml:space="preserve"> </w:t>
      </w:r>
      <w:r>
        <w:t xml:space="preserve">H.</w:t>
      </w:r>
      <w:r>
        <w:t xml:space="preserve"> </w:t>
      </w:r>
      <w:r>
        <w:t xml:space="preserve">Wyatt,</w:t>
      </w:r>
      <w:r>
        <w:t xml:space="preserve"> </w:t>
      </w:r>
      <w:r>
        <w:t xml:space="preserve">Jr.</w:t>
      </w:r>
    </w:p>
    <w:p>
      <w:pPr>
        <w:spacing w:before="492" w:after="0" w:line="322" w:lineRule="exact"/>
        <w:ind w:left="0" w:firstLine="0"/>
        <w:jc w:val="center"/>
      </w:pPr>
      <w:r>
        <w:rPr>
          <w:b/>
          <w:bCs/>
        </w:rPr>
        <w:t xml:space="preserve">APPELLEE’S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REVIEW</w:t>
      </w:r>
    </w:p>
    <w:p>
      <w:pPr>
        <w:spacing w:before="0" w:after="0" w:line="4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James</w:t>
            </w:r>
            <w:r>
              <w:t xml:space="preserve"> </w:t>
            </w:r>
            <w:r>
              <w:t xml:space="preserve">C.</w:t>
            </w:r>
            <w:r>
              <w:t xml:space="preserve"> </w:t>
            </w:r>
            <w:r>
              <w:t xml:space="preserve">Baker,</w:t>
            </w:r>
            <w:r>
              <w:t xml:space="preserve"> </w:t>
            </w:r>
            <w:r>
              <w:t xml:space="preserve">Jr.</w:t>
            </w:r>
            <w:r>
              <w:t xml:space="preserve"> </w:t>
            </w:r>
            <w:r>
              <w:t xml:space="preserve">(86009)</w:t>
            </w:r>
          </w:p>
          <w:p>
            <w:pPr>
              <w:spacing w:before="0" w:after="0" w:line="322" w:lineRule="exact"/>
              <w:ind w:left="0" w:firstLine="0"/>
              <w:jc w:val="left"/>
            </w:pPr>
            <w:r>
              <w:t xml:space="preserve">Jamie</w:t>
            </w:r>
            <w:r>
              <w:t xml:space="preserve"> </w:t>
            </w:r>
            <w:r>
              <w:t xml:space="preserve">Huffman</w:t>
            </w:r>
            <w:r>
              <w:t xml:space="preserve"> </w:t>
            </w:r>
            <w:r>
              <w:t xml:space="preserve">Jones</w:t>
            </w:r>
            <w:r>
              <w:t xml:space="preserve"> </w:t>
            </w:r>
            <w:r>
              <w:t xml:space="preserve">(2003125)</w:t>
            </w:r>
          </w:p>
          <w:p>
            <w:pPr>
              <w:spacing w:before="0" w:after="0" w:line="322" w:lineRule="exact"/>
              <w:ind w:left="0" w:firstLine="0"/>
              <w:jc w:val="left"/>
            </w:pPr>
            <w:r>
              <w:t xml:space="preserve">Kimberly</w:t>
            </w:r>
            <w:r>
              <w:t xml:space="preserve"> </w:t>
            </w:r>
            <w:r>
              <w:t xml:space="preserve">D.</w:t>
            </w:r>
            <w:r>
              <w:t xml:space="preserve"> </w:t>
            </w:r>
            <w:r>
              <w:t xml:space="preserve">Young</w:t>
            </w:r>
            <w:r>
              <w:t xml:space="preserve"> </w:t>
            </w:r>
            <w:r>
              <w:t xml:space="preserve">(2003124)</w:t>
            </w:r>
          </w:p>
          <w:p>
            <w:pPr>
              <w:spacing w:before="0" w:after="0" w:line="322" w:lineRule="exact"/>
              <w:ind w:left="0" w:firstLine="0"/>
              <w:jc w:val="left"/>
            </w:pPr>
            <w:r>
              <w:t xml:space="preserve">FRIDAY,</w:t>
            </w:r>
            <w:r>
              <w:t xml:space="preserve"> </w:t>
            </w:r>
            <w:r>
              <w:t xml:space="preserve">ELDREDGE</w:t>
            </w:r>
            <w:r>
              <w:t xml:space="preserve"> </w:t>
            </w:r>
            <w:r>
              <w:t xml:space="preserve">&amp;</w:t>
            </w:r>
            <w:r>
              <w:t xml:space="preserve"> </w:t>
            </w:r>
            <w:r>
              <w:t xml:space="preserve">CLARK,</w:t>
            </w:r>
            <w:r>
              <w:t xml:space="preserve"> </w:t>
            </w:r>
            <w:r>
              <w:t xml:space="preserve">LLP</w:t>
            </w:r>
          </w:p>
          <w:p>
            <w:pPr>
              <w:spacing w:before="0" w:after="0" w:line="322" w:lineRule="exact"/>
              <w:ind w:left="0" w:firstLine="0"/>
              <w:jc w:val="left"/>
            </w:pPr>
            <w:r>
              <w:t xml:space="preserve">400</w:t>
            </w:r>
            <w:r>
              <w:t xml:space="preserve"> </w:t>
            </w:r>
            <w:r>
              <w:t xml:space="preserve">West</w:t>
            </w:r>
            <w:r>
              <w:t xml:space="preserve"> </w:t>
            </w:r>
            <w:r>
              <w:t xml:space="preserve">Capitol</w:t>
            </w:r>
            <w:r>
              <w:t xml:space="preserve"> </w:t>
            </w:r>
            <w:r>
              <w:t xml:space="preserve">Ave.,</w:t>
            </w:r>
            <w:r>
              <w:t xml:space="preserve"> </w:t>
            </w:r>
            <w:r>
              <w:t xml:space="preserve">Suite</w:t>
            </w:r>
            <w:r>
              <w:t xml:space="preserve"> </w:t>
            </w:r>
            <w:r>
              <w:t xml:space="preserve">2000</w:t>
            </w:r>
          </w:p>
          <w:p>
            <w:pPr>
              <w:spacing w:before="0" w:after="0" w:line="322" w:lineRule="exact"/>
              <w:ind w:left="0"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0" w:firstLine="0"/>
              <w:jc w:val="left"/>
            </w:pPr>
            <w:r>
              <w:t xml:space="preserve">501</w:t>
              <w:noBreakHyphen/>
              <w:t xml:space="preserve">376</w:t>
              <w:noBreakHyphen/>
              <w:t xml:space="preserve">2011</w:t>
            </w:r>
          </w:p>
          <w:p>
            <w:pPr>
              <w:spacing w:before="0" w:after="0" w:line="322" w:lineRule="exact"/>
              <w:ind w:left="0" w:firstLine="0"/>
              <w:jc w:val="left"/>
            </w:pPr>
            <w:r>
              <w:t xml:space="preserve">baker@fridayfirm.com</w:t>
            </w:r>
          </w:p>
          <w:p>
            <w:pPr>
              <w:spacing w:before="0" w:after="0" w:line="322" w:lineRule="exact"/>
              <w:ind w:left="0" w:firstLine="0"/>
              <w:jc w:val="left"/>
            </w:pPr>
            <w:r>
              <w:t xml:space="preserve">jjones@fridayfirm.com</w:t>
            </w:r>
          </w:p>
          <w:p>
            <w:pPr>
              <w:spacing w:before="0" w:after="0" w:line="322" w:lineRule="exact"/>
              <w:ind w:left="0" w:firstLine="0"/>
              <w:jc w:val="left"/>
            </w:pPr>
            <w:r>
              <w:t xml:space="preserve">kyoung@fridayfirm.com</w:t>
            </w:r>
          </w:p>
        </w:tc>
        <w:tc>
          <w:tcPr>
            <w:tcW w:w="4896" w:type="dxa"/>
            <w:tcMar>
              <w:left w:w="432" w:type="dxa"/>
            </w:tcMar>
          </w:tcPr>
          <w:p>
            <w:pPr>
              <w:spacing w:before="0" w:after="0" w:line="322" w:lineRule="exact"/>
              <w:ind w:left="0" w:firstLine="0"/>
              <w:jc w:val="left"/>
            </w:pPr>
            <w:r>
              <w:t xml:space="preserve">Wm.</w:t>
            </w:r>
            <w:r>
              <w:t xml:space="preserve"> </w:t>
            </w:r>
            <w:r>
              <w:t xml:space="preserve">Webster</w:t>
            </w:r>
            <w:r>
              <w:t xml:space="preserve"> </w:t>
            </w:r>
            <w:r>
              <w:t xml:space="preserve">Darling</w:t>
            </w:r>
            <w:r>
              <w:t xml:space="preserve"> </w:t>
            </w:r>
            <w:r>
              <w:t xml:space="preserve">(89070)</w:t>
            </w:r>
          </w:p>
          <w:p>
            <w:pPr>
              <w:spacing w:before="0" w:after="0" w:line="322" w:lineRule="exact"/>
              <w:ind w:left="0" w:firstLine="0"/>
              <w:jc w:val="left"/>
            </w:pPr>
            <w:r>
              <w:t xml:space="preserve">Entergy</w:t>
            </w:r>
            <w:r>
              <w:t xml:space="preserve"> </w:t>
            </w:r>
            <w:r>
              <w:t xml:space="preserve">Services,</w:t>
            </w:r>
            <w:r>
              <w:t xml:space="preserve"> </w:t>
            </w:r>
            <w:r>
              <w:t xml:space="preserve">LLC</w:t>
            </w:r>
          </w:p>
          <w:p>
            <w:pPr>
              <w:spacing w:before="0" w:after="0" w:line="322" w:lineRule="exact"/>
              <w:ind w:left="0" w:firstLine="0"/>
              <w:jc w:val="left"/>
            </w:pPr>
            <w:r>
              <w:t xml:space="preserve">425</w:t>
            </w:r>
            <w:r>
              <w:t xml:space="preserve"> </w:t>
            </w:r>
            <w:r>
              <w:t xml:space="preserve">West</w:t>
            </w:r>
            <w:r>
              <w:t xml:space="preserve"> </w:t>
            </w:r>
            <w:r>
              <w:t xml:space="preserve">Capitol</w:t>
            </w:r>
            <w:r>
              <w:t xml:space="preserve"> </w:t>
            </w:r>
            <w:r>
              <w:t xml:space="preserve">Ave.,</w:t>
            </w:r>
            <w:r>
              <w:t xml:space="preserve"> </w:t>
            </w:r>
            <w:r>
              <w:t xml:space="preserve">27th</w:t>
            </w:r>
            <w:r>
              <w:t xml:space="preserve"> </w:t>
            </w:r>
            <w:r>
              <w:t xml:space="preserve">Floor</w:t>
            </w:r>
          </w:p>
          <w:p>
            <w:pPr>
              <w:spacing w:before="0" w:after="0" w:line="322" w:lineRule="exact"/>
              <w:ind w:left="0"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0" w:firstLine="0"/>
              <w:jc w:val="left"/>
            </w:pPr>
            <w:r>
              <w:t xml:space="preserve">501</w:t>
              <w:noBreakHyphen/>
              <w:t xml:space="preserve">377</w:t>
              <w:noBreakHyphen/>
              <w:t xml:space="preserve">5838</w:t>
            </w:r>
          </w:p>
          <w:p>
            <w:pPr>
              <w:spacing w:before="0" w:after="0" w:line="322" w:lineRule="exact"/>
              <w:ind w:left="0" w:firstLine="0"/>
              <w:jc w:val="left"/>
            </w:pPr>
            <w:r>
              <w:t xml:space="preserve">wdarlin@entergy.com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Entergy</w:t>
            </w:r>
            <w:r>
              <w:rPr>
                <w:i/>
                <w:iCs/>
              </w:rPr>
              <w:t xml:space="preserve"> </w:t>
            </w:r>
            <w:r>
              <w:rPr>
                <w:i/>
                <w:iCs/>
              </w:rPr>
              <w:t xml:space="preserve">Arkansas,</w:t>
            </w:r>
            <w:r>
              <w:rPr>
                <w:i/>
                <w:iCs/>
              </w:rPr>
              <w:t xml:space="preserve"> </w:t>
            </w:r>
            <w:r>
              <w:rPr>
                <w:i/>
                <w:iCs/>
              </w:rPr>
              <w:t xml:space="preserve">Inc.</w:t>
            </w:r>
          </w:p>
        </w:tc>
      </w:tr>
    </w:tbl>
    <w:p>
      <w:pPr>
        <w:pageBreakBefore/>
        <w:spacing w:before="0" w:after="0" w:line="1" w:lineRule="exact"/>
      </w:pPr>
    </w:p>
    <w:p>
      <w:pPr>
        <w:pStyle w:val="BodyText"/>
      </w:pPr>
      <w:r>
        <w:t xml:space="preserve">Seven months after declaring its caselaw on the known-or-obvious-hazard rule</w:t>
      </w:r>
      <w:r>
        <w:t xml:space="preserve"> </w:t>
      </w:r>
      <w:r>
        <w:t xml:space="preserve">“well established,”</w:t>
      </w:r>
      <w:r>
        <w:t xml:space="preserve"> </w:t>
      </w:r>
      <w:r>
        <w:t xml:space="preserve">and recognizing that</w:t>
      </w:r>
      <w:r>
        <w:t xml:space="preserve"> </w:t>
      </w:r>
      <w:r>
        <w:t xml:space="preserve">“it is not the role of this court to adopt a new exception,”</w:t>
      </w:r>
      <w:r>
        <w:t xml:space="preserve"> </w:t>
      </w:r>
      <w:r>
        <w:rPr>
          <w:i/>
          <w:iCs/>
        </w:rPr>
        <w:t xml:space="preserve">Rodriguez v. Chakka</w:t>
      </w:r>
      <w:r>
        <w:t xml:space="preserve">, 2024 Ark. App. 224, at 9, 687 S.W.3d 592, 598, the Court of Appeals adopted a new exception in a 6</w:t>
      </w:r>
      <w:r>
        <w:noBreakHyphen/>
      </w:r>
      <w:r>
        <w:t xml:space="preserve">3 opinion with no adversarial briefing on the issue. As a result, the known-or-obvious-hazard rule is eliminated from Arkansas law anytime a duty of care is sourced in an ordinance or statute. This Court should grant review under Ark. S. Ct. R. 2</w:t>
      </w:r>
      <w:r>
        <w:noBreakHyphen/>
      </w:r>
      <w:r>
        <w:t xml:space="preserve">4(d)⁠(ii) &amp; (iii) to correct this legal error that breaks from Arkansas Supreme Court precedent. In support, appellee Entergy Arkansas, Inc. states:</w:t>
      </w:r>
    </w:p>
    <w:p>
      <w:pPr>
        <w:pStyle w:val="BodyText"/>
      </w:pPr>
      <w:r>
        <w:t xml:space="preserve">1. This is a negligence case stemming from Antoin Harris’s running into a guy wire he knew about and had safely navigated for four years, and the hazard of which he readily appreciated. (RP 127</w:t>
      </w:r>
      <w:r>
        <w:noBreakHyphen/>
      </w:r>
      <w:r>
        <w:t xml:space="preserve">129, 131, 150, 153).</w:t>
      </w:r>
    </w:p>
    <w:p>
      <w:pPr>
        <w:pStyle w:val="BodyText"/>
      </w:pPr>
      <w:r>
        <w:t xml:space="preserve">2. The known-or-obvious-hazard rule has long been fixed in this Court’s precedents. See, e.g.,</w:t>
      </w:r>
      <w:r>
        <w:t xml:space="preserve"> </w:t>
      </w:r>
      <w:r>
        <w:rPr>
          <w:i/>
          <w:iCs/>
        </w:rPr>
        <w:t xml:space="preserve">Duran v. Southwest Ark. Elec. Coop.</w:t>
      </w:r>
      <w:r>
        <w:t xml:space="preserve">, 2018 Ark. 33, at 10, 537 S.W.3d 722, 728 (</w:t>
      </w:r>
      <w:r>
        <w:t xml:space="preserve">“[T]he duty owed to an invitee is satisfied when the danger is either known or obvious to the invitee.”</w:t>
      </w:r>
      <w:r>
        <w:t xml:space="preserve">);</w:t>
      </w:r>
      <w:r>
        <w:t xml:space="preserve"> </w:t>
      </w:r>
      <w:r>
        <w:rPr>
          <w:i/>
          <w:iCs/>
        </w:rPr>
        <w:t xml:space="preserve">Jenkins v. Int’l Paper Co.</w:t>
      </w:r>
      <w:r>
        <w:t xml:space="preserve">, 318 Ark. 663, 670, 887 S.W.2d 300, 304 (1994) (</w:t>
      </w:r>
      <w:r>
        <w:t xml:space="preserve">“any duty owed…ends if the plaintiff knows of the danger”</w:t>
      </w:r>
      <w:r>
        <w:t xml:space="preserve">). For years,</w:t>
      </w:r>
      <w:r>
        <w:t xml:space="preserve"> </w:t>
      </w:r>
      <w:r>
        <w:t xml:space="preserve">“[i]n Arkansas, the only recognized exception to the open-and-obvious-danger rule is when a business invitee is forced, as a practical matter, to encounter a known or obvious risk in order to perform his job.”</w:t>
      </w:r>
      <w:r>
        <w:t xml:space="preserve"> </w:t>
      </w:r>
      <w:r>
        <w:rPr>
          <w:i/>
          <w:iCs/>
        </w:rPr>
        <w:t xml:space="preserve">Rodriguez</w:t>
      </w:r>
      <w:r>
        <w:t xml:space="preserve">, 2024 Ark. App. 224, at 9.</w:t>
      </w:r>
    </w:p>
    <w:p>
      <w:pPr>
        <w:pStyle w:val="BodyText"/>
      </w:pPr>
      <w:r>
        <w:t xml:space="preserve">3. But with its opinion in this case, the Court of Appeals has now created a second exception to the rule that defies decades of Arkansas law.</w:t>
      </w:r>
    </w:p>
    <w:p>
      <w:pPr>
        <w:pStyle w:val="BodyText"/>
      </w:pPr>
      <w:r>
        <w:t xml:space="preserve">4. The Court of Appeals held that Entergy’s duty to Harris arose from a section of a Pine Bluff ordinance obligating Entergy to comply with the National Electrical Safety Code (NESC) in constructing, operating, and maintaining its electrical facilities in Pine Bluff. Neither party mentioned the NESC or Section 3 of the ordinance in their briefs—the Court raised this source of duty sua sponte.</w:t>
      </w:r>
    </w:p>
    <w:p>
      <w:pPr>
        <w:pStyle w:val="BodyText"/>
      </w:pPr>
      <w:r>
        <w:t xml:space="preserve">5. The Court of Appeals then held that because the source of the alleged duty was an ordinance, the known-or-obvious-hazard rule did not apply to Harris’s collision with the guy wire—even though Harris repeatedly admitted that he</w:t>
      </w:r>
      <w:r>
        <w:t xml:space="preserve"> </w:t>
      </w:r>
      <w:r>
        <w:t xml:space="preserve">“knew from past experience that the guy wire was there.”</w:t>
      </w:r>
      <w:r>
        <w:t xml:space="preserve"> </w:t>
      </w:r>
      <w:r>
        <w:t xml:space="preserve">See, e.g., Resp. to Pet. for Reh’g at ¶ 3; Opinion at 5–7, 10–11.</w:t>
      </w:r>
    </w:p>
    <w:p>
      <w:pPr>
        <w:pStyle w:val="BodyText"/>
      </w:pPr>
      <w:r>
        <w:t xml:space="preserve">6. In creating this new exception, the Court of Appeals followed not this Court’s precedents, but a Restatement comment—comment d. to Restatement (Second) of Torts § 343A—⁠that has never been cited, let alone adopted, by this Court. Opinion at 10. (For a discussion of how comment d. operates, see Ex. A, Pet. for Reh’g at 7.)</w:t>
      </w:r>
    </w:p>
    <w:p>
      <w:pPr>
        <w:pStyle w:val="BodyText"/>
      </w:pPr>
      <w:r>
        <w:t xml:space="preserve">7. Notably, no party advanced or briefed this new exception to the known-or-obvious-hazard rule.</w:t>
      </w:r>
      <w:r>
        <w:t xml:space="preserve"> </w:t>
      </w:r>
      <w:r>
        <w:rPr>
          <w:i/>
          <w:iCs/>
        </w:rPr>
        <w:t xml:space="preserve">Cf. United States v. Sineneng-Smith</w:t>
      </w:r>
      <w:r>
        <w:t xml:space="preserve">, 590 U.S. 371, 375 (2020) (</w:t>
      </w:r>
      <w:r>
        <w:t xml:space="preserve">“In our adversarial system of adjudication, we follow the principle of party presentation.”</w:t>
      </w:r>
      <w:r>
        <w:t xml:space="preserve">);</w:t>
      </w:r>
      <w:r>
        <w:t xml:space="preserve"> </w:t>
      </w:r>
      <w:r>
        <w:rPr>
          <w:i/>
          <w:iCs/>
        </w:rPr>
        <w:t xml:space="preserve">Greenlaw v. United States</w:t>
      </w:r>
      <w:r>
        <w:t xml:space="preserve">, 554 U.S. 237, 242 (2008) (</w:t>
      </w:r>
      <w:r>
        <w:t xml:space="preserve">“[W]e rely on the parties to frame the issues for decision and assign to courts the role of neutral arbiter of matters the parties present.”</w:t>
      </w:r>
      <w:r>
        <w:t xml:space="preserve">).</w:t>
      </w:r>
    </w:p>
    <w:p>
      <w:pPr>
        <w:pStyle w:val="BodyText"/>
      </w:pPr>
      <w:r>
        <w:t xml:space="preserve">8. Perhaps most importantly, the Court of Appeals provided no rationale for abandoning the known-or-obvious-hazard rule in these circumstances. See Opinion at 10–11. Why, for example, should the plaintiff’s knowledge of a hazard defeat liability when the source of the duty is common law, but not when the source is an ordinance or statute? The principle behind the known-or-obvious-hazard rule is that there is no duty to warn the plaintiff of something he already knows. AMI Civ. 1104 cmt. (citing</w:t>
      </w:r>
      <w:r>
        <w:t xml:space="preserve"> </w:t>
      </w:r>
      <w:r>
        <w:rPr>
          <w:i/>
          <w:iCs/>
        </w:rPr>
        <w:t xml:space="preserve">Jenkins</w:t>
      </w:r>
      <w:r>
        <w:t xml:space="preserve">, 318 Ark. 663). Whether that</w:t>
      </w:r>
      <w:r>
        <w:t xml:space="preserve"> </w:t>
      </w:r>
      <w:r>
        <w:t xml:space="preserve">“something”</w:t>
      </w:r>
      <w:r>
        <w:t xml:space="preserve"> </w:t>
      </w:r>
      <w:r>
        <w:t xml:space="preserve">is a violation of a common-law duty or a statutory one is beside the point.</w:t>
      </w:r>
    </w:p>
    <w:p>
      <w:pPr>
        <w:pStyle w:val="BodyText"/>
      </w:pPr>
      <w:r>
        <w:t xml:space="preserve">9. Even if comment d were Arkansas law, it would not apply on this record, which lacks evidence of any ordinance or statutory violation by Entergy. See Ex. A at 9. Entergy provided the requisite conspicuous marker at ground level (RP 248), but at the time of the accident, it was shoved halfway up the guy wire. Harris failed to introduce proof as to how or when this occurred.</w:t>
      </w:r>
    </w:p>
    <w:p>
      <w:pPr>
        <w:pStyle w:val="BodyText"/>
      </w:pPr>
      <w:r>
        <w:t xml:space="preserve">10. Entergy asks the Court to grant review to correct the Court of Appeals’ new unbriefed exception not found in Arkansas law.</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3456" w:firstLine="0"/>
              <w:jc w:val="left"/>
            </w:pPr>
            <w:r>
              <w:rPr>
                <w:u w:val="single"/>
              </w:rPr>
              <w:t xml:space="preserve">/s/</w:t>
            </w:r>
            <w:r>
              <w:rPr>
                <w:u w:val="single"/>
              </w:rPr>
              <w:t xml:space="preserve"> </w:t>
            </w:r>
            <w:r>
              <w:rPr>
                <w:u w:val="single"/>
              </w:rPr>
              <w:t xml:space="preserve">Kimberly</w:t>
            </w:r>
            <w:r>
              <w:rPr>
                <w:u w:val="single"/>
              </w:rPr>
              <w:t xml:space="preserve"> </w:t>
            </w:r>
            <w:r>
              <w:rPr>
                <w:u w:val="single"/>
              </w:rPr>
              <w:t xml:space="preserve">D.</w:t>
            </w:r>
            <w:r>
              <w:rPr>
                <w:u w:val="single"/>
              </w:rPr>
              <w:t xml:space="preserve"> </w:t>
            </w:r>
            <w:r>
              <w:rPr>
                <w:u w:val="single"/>
              </w:rPr>
              <w:t xml:space="preserve">Young</w:t>
            </w:r>
          </w:p>
          <w:p>
            <w:pPr>
              <w:spacing w:before="0" w:after="0" w:line="322" w:lineRule="exact"/>
              <w:ind w:left="3456" w:firstLine="0"/>
              <w:jc w:val="left"/>
            </w:pPr>
            <w:r>
              <w:t xml:space="preserve">Kimberly</w:t>
            </w:r>
            <w:r>
              <w:t xml:space="preserve"> </w:t>
            </w:r>
            <w:r>
              <w:t xml:space="preserve">D.</w:t>
            </w:r>
            <w:r>
              <w:t xml:space="preserve"> </w:t>
            </w:r>
            <w:r>
              <w:t xml:space="preserve">Young</w:t>
            </w:r>
          </w:p>
          <w:p>
            <w:pPr>
              <w:spacing w:before="0" w:after="0" w:line="322" w:lineRule="exact"/>
              <w:ind w:left="3456" w:firstLine="0"/>
              <w:jc w:val="left"/>
            </w:pPr>
            <w:r>
              <w:t xml:space="preserve">James</w:t>
            </w:r>
            <w:r>
              <w:t xml:space="preserve"> </w:t>
            </w:r>
            <w:r>
              <w:t xml:space="preserve">C.</w:t>
            </w:r>
            <w:r>
              <w:t xml:space="preserve"> </w:t>
            </w:r>
            <w:r>
              <w:t xml:space="preserve">Baker,</w:t>
            </w:r>
            <w:r>
              <w:t xml:space="preserve"> </w:t>
            </w:r>
            <w:r>
              <w:t xml:space="preserve">Jr.</w:t>
            </w:r>
            <w:r>
              <w:t xml:space="preserve"> </w:t>
            </w:r>
            <w:r>
              <w:t xml:space="preserve">(86009)</w:t>
            </w:r>
          </w:p>
          <w:p>
            <w:pPr>
              <w:spacing w:before="0" w:after="0" w:line="322" w:lineRule="exact"/>
              <w:ind w:left="3456" w:firstLine="0"/>
              <w:jc w:val="left"/>
            </w:pPr>
            <w:r>
              <w:t xml:space="preserve">Jamie</w:t>
            </w:r>
            <w:r>
              <w:t xml:space="preserve"> </w:t>
            </w:r>
            <w:r>
              <w:t xml:space="preserve">Huffman</w:t>
            </w:r>
            <w:r>
              <w:t xml:space="preserve"> </w:t>
            </w:r>
            <w:r>
              <w:t xml:space="preserve">Jones</w:t>
            </w:r>
            <w:r>
              <w:t xml:space="preserve"> </w:t>
            </w:r>
            <w:r>
              <w:t xml:space="preserve">(2003125)</w:t>
            </w:r>
          </w:p>
          <w:p>
            <w:pPr>
              <w:spacing w:before="0" w:after="0" w:line="322" w:lineRule="exact"/>
              <w:ind w:left="3456" w:firstLine="0"/>
              <w:jc w:val="left"/>
            </w:pPr>
            <w:r>
              <w:t xml:space="preserve">Kimberly</w:t>
            </w:r>
            <w:r>
              <w:t xml:space="preserve"> </w:t>
            </w:r>
            <w:r>
              <w:t xml:space="preserve">D.</w:t>
            </w:r>
            <w:r>
              <w:t xml:space="preserve"> </w:t>
            </w:r>
            <w:r>
              <w:t xml:space="preserve">Young</w:t>
            </w:r>
            <w:r>
              <w:t xml:space="preserve"> </w:t>
            </w:r>
            <w:r>
              <w:t xml:space="preserve">(2003124)</w:t>
            </w:r>
          </w:p>
          <w:p>
            <w:pPr>
              <w:spacing w:before="0" w:after="0" w:line="322" w:lineRule="exact"/>
              <w:ind w:left="3456" w:firstLine="0"/>
              <w:jc w:val="left"/>
            </w:pPr>
            <w:r>
              <w:t xml:space="preserve">FRIDAY,</w:t>
            </w:r>
            <w:r>
              <w:t xml:space="preserve"> </w:t>
            </w:r>
            <w:r>
              <w:t xml:space="preserve">ELDREDGE</w:t>
            </w:r>
            <w:r>
              <w:t xml:space="preserve"> </w:t>
            </w:r>
            <w:r>
              <w:t xml:space="preserve">&amp;</w:t>
            </w:r>
            <w:r>
              <w:t xml:space="preserve"> </w:t>
            </w:r>
            <w:r>
              <w:t xml:space="preserve">CLARK,</w:t>
            </w:r>
            <w:r>
              <w:t xml:space="preserve"> </w:t>
            </w:r>
            <w:r>
              <w:t xml:space="preserve">LLP</w:t>
            </w:r>
          </w:p>
          <w:p>
            <w:pPr>
              <w:spacing w:before="0" w:after="0" w:line="322" w:lineRule="exact"/>
              <w:ind w:left="3456" w:firstLine="0"/>
              <w:jc w:val="left"/>
            </w:pPr>
            <w:r>
              <w:t xml:space="preserve">400</w:t>
            </w:r>
            <w:r>
              <w:t xml:space="preserve"> </w:t>
            </w:r>
            <w:r>
              <w:t xml:space="preserve">West</w:t>
            </w:r>
            <w:r>
              <w:t xml:space="preserve"> </w:t>
            </w:r>
            <w:r>
              <w:t xml:space="preserve">Capitol</w:t>
            </w:r>
            <w:r>
              <w:t xml:space="preserve"> </w:t>
            </w:r>
            <w:r>
              <w:t xml:space="preserve">Ave.,</w:t>
            </w:r>
            <w:r>
              <w:t xml:space="preserve"> </w:t>
            </w:r>
            <w:r>
              <w:t xml:space="preserve">Suite</w:t>
            </w:r>
            <w:r>
              <w:t xml:space="preserve"> </w:t>
            </w:r>
            <w:r>
              <w:t xml:space="preserve">2000</w:t>
            </w:r>
          </w:p>
          <w:p>
            <w:pPr>
              <w:spacing w:before="0" w:after="0" w:line="322" w:lineRule="exact"/>
              <w:ind w:left="3456"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3456" w:firstLine="0"/>
              <w:jc w:val="left"/>
            </w:pPr>
            <w:r>
              <w:t xml:space="preserve">501</w:t>
              <w:noBreakHyphen/>
              <w:t xml:space="preserve">376</w:t>
              <w:noBreakHyphen/>
              <w:t xml:space="preserve">2011</w:t>
            </w:r>
          </w:p>
          <w:p>
            <w:pPr>
              <w:spacing w:before="0" w:after="0" w:line="322" w:lineRule="exact"/>
              <w:ind w:left="3456" w:firstLine="0"/>
              <w:jc w:val="left"/>
            </w:pPr>
            <w:r>
              <w:t xml:space="preserve">baker@fridayfirm.com</w:t>
            </w:r>
          </w:p>
          <w:p>
            <w:pPr>
              <w:spacing w:before="0" w:after="0" w:line="322" w:lineRule="exact"/>
              <w:ind w:left="3456" w:firstLine="0"/>
              <w:jc w:val="left"/>
            </w:pPr>
            <w:r>
              <w:t xml:space="preserve">jjones@fridayfirm.com</w:t>
            </w:r>
          </w:p>
          <w:p>
            <w:pPr>
              <w:spacing w:before="0" w:after="0" w:line="322" w:lineRule="exact"/>
              <w:ind w:left="3456" w:firstLine="0"/>
              <w:jc w:val="left"/>
            </w:pPr>
            <w:r>
              <w:t xml:space="preserve">kyoung@fridayfirm.com</w:t>
            </w:r>
          </w:p>
          <w:p>
            <w:pPr>
              <w:spacing w:before="0" w:after="0" w:line="322" w:lineRule="exact"/>
              <w:ind w:left="3456" w:firstLine="0"/>
              <w:jc w:val="left"/>
            </w:pPr>
            <w:r>
              <w:t xml:space="preserve">Wm.</w:t>
            </w:r>
            <w:r>
              <w:t xml:space="preserve"> </w:t>
            </w:r>
            <w:r>
              <w:t xml:space="preserve">Webster</w:t>
            </w:r>
            <w:r>
              <w:t xml:space="preserve"> </w:t>
            </w:r>
            <w:r>
              <w:t xml:space="preserve">Darling</w:t>
            </w:r>
            <w:r>
              <w:t xml:space="preserve"> </w:t>
            </w:r>
            <w:r>
              <w:t xml:space="preserve">(89070)</w:t>
            </w:r>
          </w:p>
          <w:p>
            <w:pPr>
              <w:spacing w:before="0" w:after="0" w:line="322" w:lineRule="exact"/>
              <w:ind w:left="3456" w:firstLine="0"/>
              <w:jc w:val="left"/>
            </w:pPr>
            <w:r>
              <w:t xml:space="preserve">Entergy</w:t>
            </w:r>
            <w:r>
              <w:t xml:space="preserve"> </w:t>
            </w:r>
            <w:r>
              <w:t xml:space="preserve">Services,</w:t>
            </w:r>
            <w:r>
              <w:t xml:space="preserve"> </w:t>
            </w:r>
            <w:r>
              <w:t xml:space="preserve">LLC</w:t>
            </w:r>
          </w:p>
          <w:p>
            <w:pPr>
              <w:spacing w:before="0" w:after="0" w:line="322" w:lineRule="exact"/>
              <w:ind w:left="3456" w:firstLine="0"/>
              <w:jc w:val="left"/>
            </w:pPr>
            <w:r>
              <w:t xml:space="preserve">425</w:t>
            </w:r>
            <w:r>
              <w:t xml:space="preserve"> </w:t>
            </w:r>
            <w:r>
              <w:t xml:space="preserve">West</w:t>
            </w:r>
            <w:r>
              <w:t xml:space="preserve"> </w:t>
            </w:r>
            <w:r>
              <w:t xml:space="preserve">Capitol</w:t>
            </w:r>
            <w:r>
              <w:t xml:space="preserve"> </w:t>
            </w:r>
            <w:r>
              <w:t xml:space="preserve">Ave.,</w:t>
            </w:r>
            <w:r>
              <w:t xml:space="preserve"> </w:t>
            </w:r>
            <w:r>
              <w:t xml:space="preserve">27th</w:t>
            </w:r>
            <w:r>
              <w:t xml:space="preserve"> </w:t>
            </w:r>
            <w:r>
              <w:t xml:space="preserve">Floor</w:t>
            </w:r>
          </w:p>
          <w:p>
            <w:pPr>
              <w:spacing w:before="0" w:after="0" w:line="322" w:lineRule="exact"/>
              <w:ind w:left="3456"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3456" w:firstLine="0"/>
              <w:jc w:val="left"/>
            </w:pPr>
            <w:r>
              <w:t xml:space="preserve">501</w:t>
              <w:noBreakHyphen/>
              <w:t xml:space="preserve">377</w:t>
              <w:noBreakHyphen/>
              <w:t xml:space="preserve">5838</w:t>
            </w:r>
          </w:p>
          <w:p>
            <w:pPr>
              <w:spacing w:before="0" w:after="0" w:line="322" w:lineRule="exact"/>
              <w:ind w:left="3456" w:firstLine="0"/>
              <w:jc w:val="left"/>
            </w:pPr>
            <w:r>
              <w:t xml:space="preserve">wdarlin@entergy.com</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The undersigned counsel certifies that this Petition for Review complies with Administrative Order No. 19 and Administrative Order 21, Section 9.</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The undersigned counsel certifies that a copy of the Petition for Review is being filed via the court’s eFlex system on January 27, 2025, which will provide notice to counsel of record, and that she will mail a copy to the circuit court.</w:t>
      </w:r>
    </w:p>
    <w:p>
      <w:pPr>
        <w:pStyle w:val="XdTail"/>
      </w:pPr>
      <w:r>
        <w:t xml:space="preserve">By: ⁠/s/ Kimberly D. Young</w:t>
      </w:r>
      <w:r>
        <w:br/>
      </w:r>
      <w:r>
        <w:t xml:space="preserve">Kimberly D. Young</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