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1440" w:after="0" w:line="322"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ARKANSAS</w:t>
      </w:r>
      <w:r>
        <w:rPr>
          <w:b/>
          <w:bCs/>
        </w:rPr>
        <w:t xml:space="preserve"> </w:t>
      </w:r>
      <w:r>
        <w:rPr>
          <w:b/>
          <w:bCs/>
        </w:rPr>
        <w:t xml:space="preserve">SUPREME</w:t>
      </w:r>
      <w:r>
        <w:rPr>
          <w:b/>
          <w:bCs/>
        </w:rPr>
        <w:t xml:space="preserve"> </w:t>
      </w:r>
      <w:r>
        <w:rPr>
          <w:b/>
          <w:bCs/>
        </w:rPr>
        <w:t xml:space="preserve">COURT</w:t>
      </w:r>
    </w:p>
    <w:p>
      <w:pPr>
        <w:spacing w:before="460" w:after="0" w:line="322" w:lineRule="exact"/>
        <w:ind w:left="0" w:firstLine="0"/>
        <w:jc w:val="left"/>
      </w:pPr>
      <w:r>
        <w:t xml:space="preserve">DOTTIE</w:t>
      </w:r>
      <w:r>
        <w:t xml:space="preserve"> </w:t>
      </w:r>
      <w:r>
        <w:t xml:space="preserve">TRUDO</w:t>
      </w:r>
    </w:p>
    <w:p>
      <w:pPr>
        <w:spacing w:before="322" w:after="0" w:line="322" w:lineRule="exact"/>
        <w:ind w:left="0" w:firstLine="0"/>
        <w:jc w:val="right"/>
      </w:pPr>
      <w:r>
        <w:rPr>
          <w:b/>
          <w:bCs/>
        </w:rPr>
        <w:t xml:space="preserve">APPELLANT</w:t>
      </w:r>
    </w:p>
    <w:p>
      <w:pPr>
        <w:spacing w:before="0" w:after="0" w:line="32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720"/>
        <w:gridCol w:w="7920"/>
        <w:gridCol w:w="720"/>
      </w:tblGrid>
      <w:tr>
        <w:trPr>
          <w:cantSplit/>
        </w:trPr>
        <w:tc>
          <w:tcPr>
            <w:tcW w:w="720" w:type="dxa"/>
          </w:tcPr>
          <w:p>
            <w:pPr>
              <w:spacing w:before="0" w:after="0" w:line="322" w:lineRule="exact"/>
              <w:ind w:left="0" w:firstLine="0"/>
              <w:jc w:val="left"/>
            </w:pPr>
            <w:r>
              <w:t xml:space="preserve">v.</w:t>
            </w:r>
          </w:p>
        </w:tc>
        <w:tc>
          <w:tcPr>
            <w:tcW w:w="7920" w:type="dxa"/>
          </w:tcPr>
          <w:p>
            <w:pPr>
              <w:spacing w:before="0" w:after="0" w:line="322" w:lineRule="exact"/>
              <w:ind w:left="0" w:firstLine="0"/>
              <w:jc w:val="center"/>
            </w:pPr>
            <w:r>
              <w:rPr>
                <w:b/>
                <w:bCs/>
              </w:rPr>
              <w:t xml:space="preserve">No.</w:t>
            </w:r>
            <w:r>
              <w:rPr>
                <w:b/>
                <w:bCs/>
              </w:rPr>
              <w:t xml:space="preserve"> </w:t>
            </w:r>
            <w:r>
              <w:rPr>
                <w:b/>
                <w:bCs/>
              </w:rPr>
              <w:t xml:space="preserve">CR</w:t>
              <w:noBreakHyphen/>
              <w:t xml:space="preserve">22</w:t>
              <w:noBreakHyphen/>
              <w:t xml:space="preserve">391</w:t>
            </w:r>
          </w:p>
        </w:tc>
        <w:tc>
          <w:tcPr>
            <w:tcW w:w="720" w:type="dxa"/>
          </w:tcPr>
          <w:p>
            <w:pPr>
              <w:spacing w:before="0" w:after="0" w:line="1" w:lineRule="exact"/>
            </w:pPr>
          </w:p>
        </w:tc>
      </w:tr>
    </w:tbl>
    <w:p>
      <w:pPr>
        <w:spacing w:before="322" w:after="0" w:line="322" w:lineRule="exact"/>
        <w:ind w:left="0" w:firstLine="0"/>
        <w:jc w:val="left"/>
      </w:pPr>
      <w:r>
        <w:t xml:space="preserve">STATE</w:t>
      </w:r>
      <w:r>
        <w:t xml:space="preserve"> </w:t>
      </w:r>
      <w:r>
        <w:t xml:space="preserve">OF</w:t>
      </w:r>
      <w:r>
        <w:t xml:space="preserve"> </w:t>
      </w:r>
      <w:r>
        <w:t xml:space="preserve">ARKANSAS</w:t>
      </w:r>
    </w:p>
    <w:p>
      <w:pPr>
        <w:spacing w:before="322" w:after="0" w:line="322" w:lineRule="exact"/>
        <w:ind w:left="0" w:firstLine="0"/>
        <w:jc w:val="right"/>
      </w:pPr>
      <w:r>
        <w:rPr>
          <w:b/>
          <w:bCs/>
        </w:rPr>
        <w:t xml:space="preserve">APPELLEE</w:t>
      </w:r>
    </w:p>
    <w:p>
      <w:pPr>
        <w:spacing w:before="400" w:after="0" w:line="322" w:lineRule="exact"/>
        <w:ind w:left="0" w:firstLine="0"/>
        <w:jc w:val="center"/>
      </w:pPr>
      <w:r>
        <w:t xml:space="preserve">An</w:t>
      </w:r>
      <w:r>
        <w:t xml:space="preserve"> </w:t>
      </w:r>
      <w:r>
        <w:t xml:space="preserve">Appeal</w:t>
      </w:r>
      <w:r>
        <w:t xml:space="preserve"> </w:t>
      </w:r>
      <w:r>
        <w:t xml:space="preserve">from</w:t>
      </w:r>
      <w:r>
        <w:t xml:space="preserve"> </w:t>
      </w:r>
      <w:r>
        <w:t xml:space="preserve">the</w:t>
      </w:r>
      <w:r>
        <w:t xml:space="preserve"> </w:t>
      </w:r>
      <w:r>
        <w:t xml:space="preserve">Crawford</w:t>
      </w:r>
      <w:r>
        <w:t xml:space="preserve"> </w:t>
      </w:r>
      <w:r>
        <w:t xml:space="preserve">County</w:t>
      </w:r>
      <w:r>
        <w:t xml:space="preserve"> </w:t>
      </w:r>
      <w:r>
        <w:t xml:space="preserve">Circuit</w:t>
      </w:r>
      <w:r>
        <w:t xml:space="preserve"> </w:t>
      </w:r>
      <w:r>
        <w:t xml:space="preserve">Court</w:t>
      </w:r>
    </w:p>
    <w:p>
      <w:pPr>
        <w:spacing w:before="492" w:after="0" w:line="322" w:lineRule="exact"/>
        <w:ind w:left="0" w:firstLine="0"/>
        <w:jc w:val="center"/>
      </w:pPr>
      <w:r>
        <w:rPr>
          <w:b/>
          <w:bCs/>
        </w:rPr>
        <w:t xml:space="preserve">PETITION</w:t>
      </w:r>
      <w:r>
        <w:rPr>
          <w:b/>
          <w:bCs/>
        </w:rPr>
        <w:t xml:space="preserve"> </w:t>
      </w:r>
      <w:r>
        <w:rPr>
          <w:b/>
          <w:bCs/>
        </w:rPr>
        <w:t xml:space="preserve">FOR</w:t>
      </w:r>
      <w:r>
        <w:rPr>
          <w:b/>
          <w:bCs/>
        </w:rPr>
        <w:t xml:space="preserve"> </w:t>
      </w:r>
      <w:r>
        <w:rPr>
          <w:b/>
          <w:bCs/>
        </w:rPr>
        <w:t xml:space="preserve">REVIEW</w:t>
      </w:r>
    </w:p>
    <w:p>
      <w:pPr>
        <w:spacing w:before="492" w:after="0" w:line="322" w:lineRule="exact"/>
        <w:ind w:left="0" w:firstLine="0"/>
        <w:jc w:val="left"/>
      </w:pPr>
      <w:r>
        <w:t xml:space="preserve">TIM</w:t>
      </w:r>
      <w:r>
        <w:t xml:space="preserve"> </w:t>
      </w:r>
      <w:r>
        <w:t xml:space="preserve">GRIFFIN</w:t>
      </w:r>
    </w:p>
    <w:p>
      <w:pPr>
        <w:spacing w:before="0" w:after="0" w:line="322" w:lineRule="exact"/>
        <w:ind w:left="0" w:firstLine="0"/>
        <w:jc w:val="left"/>
      </w:pPr>
      <w:r>
        <w:t xml:space="preserve">Arkansas</w:t>
      </w:r>
      <w:r>
        <w:t xml:space="preserve"> </w:t>
      </w:r>
      <w:r>
        <w:t xml:space="preserve">Attorney</w:t>
      </w:r>
      <w:r>
        <w:t xml:space="preserve"> </w:t>
      </w:r>
      <w:r>
        <w:t xml:space="preserve">General</w:t>
      </w:r>
    </w:p>
    <w:p>
      <w:pPr>
        <w:spacing w:before="98" w:after="0" w:line="322" w:lineRule="exact"/>
        <w:ind w:left="0" w:firstLine="0"/>
        <w:jc w:val="left"/>
      </w:pPr>
      <w:r>
        <w:t xml:space="preserve">NICHOLAS</w:t>
      </w:r>
      <w:r>
        <w:t xml:space="preserve"> </w:t>
      </w:r>
      <w:r>
        <w:t xml:space="preserve">J.</w:t>
      </w:r>
      <w:r>
        <w:t xml:space="preserve"> </w:t>
      </w:r>
      <w:r>
        <w:t xml:space="preserve">BRONNI</w:t>
      </w:r>
      <w:r>
        <w:t xml:space="preserve"> </w:t>
      </w:r>
      <w:r>
        <w:t xml:space="preserve">(2016097)</w:t>
      </w:r>
    </w:p>
    <w:p>
      <w:pPr>
        <w:spacing w:before="0" w:after="0" w:line="322" w:lineRule="exact"/>
        <w:ind w:left="0" w:firstLine="0"/>
        <w:jc w:val="left"/>
      </w:pPr>
      <w:r>
        <w:t xml:space="preserve">Solicitor</w:t>
      </w:r>
      <w:r>
        <w:t xml:space="preserve"> </w:t>
      </w:r>
      <w:r>
        <w:t xml:space="preserve">General</w:t>
      </w:r>
    </w:p>
    <w:p>
      <w:pPr>
        <w:spacing w:before="98" w:after="0" w:line="322" w:lineRule="exact"/>
        <w:ind w:left="0" w:firstLine="0"/>
        <w:jc w:val="left"/>
      </w:pPr>
      <w:r>
        <w:t xml:space="preserve">DYLAN</w:t>
      </w:r>
      <w:r>
        <w:t xml:space="preserve"> </w:t>
      </w:r>
      <w:r>
        <w:t xml:space="preserve">L.</w:t>
      </w:r>
      <w:r>
        <w:t xml:space="preserve"> </w:t>
      </w:r>
      <w:r>
        <w:t xml:space="preserve">JACOBS</w:t>
      </w:r>
      <w:r>
        <w:t xml:space="preserve"> </w:t>
      </w:r>
      <w:r>
        <w:t xml:space="preserve">(2016167)</w:t>
      </w:r>
    </w:p>
    <w:p>
      <w:pPr>
        <w:spacing w:before="0" w:after="0" w:line="322" w:lineRule="exact"/>
        <w:ind w:left="0" w:firstLine="0"/>
        <w:jc w:val="left"/>
      </w:pPr>
      <w:r>
        <w:t xml:space="preserve">Deputy</w:t>
      </w:r>
      <w:r>
        <w:t xml:space="preserve"> </w:t>
      </w:r>
      <w:r>
        <w:t xml:space="preserve">Solicitor</w:t>
      </w:r>
      <w:r>
        <w:t xml:space="preserve"> </w:t>
      </w:r>
      <w:r>
        <w:t xml:space="preserve">General</w:t>
      </w:r>
    </w:p>
    <w:p>
      <w:pPr>
        <w:spacing w:before="0" w:after="0" w:line="322" w:lineRule="exact"/>
        <w:ind w:left="0" w:firstLine="0"/>
        <w:jc w:val="left"/>
      </w:pPr>
      <w:r>
        <w:t xml:space="preserve">Office</w:t>
      </w:r>
      <w:r>
        <w:t xml:space="preserve"> </w:t>
      </w:r>
      <w:r>
        <w:t xml:space="preserve">of</w:t>
      </w:r>
      <w:r>
        <w:t xml:space="preserve"> </w:t>
      </w:r>
      <w:r>
        <w:t xml:space="preserve">the</w:t>
      </w:r>
      <w:r>
        <w:t xml:space="preserve"> </w:t>
      </w:r>
      <w:r>
        <w:t xml:space="preserve">Arkansas</w:t>
      </w:r>
      <w:r>
        <w:t xml:space="preserve"> </w:t>
      </w:r>
      <w:r>
        <w:t xml:space="preserve">Attorney</w:t>
      </w:r>
      <w:r>
        <w:t xml:space="preserve"> </w:t>
      </w:r>
      <w:r>
        <w:t xml:space="preserve">General</w:t>
      </w:r>
    </w:p>
    <w:p>
      <w:pPr>
        <w:spacing w:before="0" w:after="0" w:line="322" w:lineRule="exact"/>
        <w:ind w:left="0" w:firstLine="0"/>
        <w:jc w:val="left"/>
      </w:pPr>
      <w:r>
        <w:t xml:space="preserve">323</w:t>
      </w:r>
      <w:r>
        <w:t xml:space="preserve"> </w:t>
      </w:r>
      <w:r>
        <w:t xml:space="preserve">Center</w:t>
      </w:r>
      <w:r>
        <w:t xml:space="preserve"> </w:t>
      </w:r>
      <w:r>
        <w:t xml:space="preserve">Street,</w:t>
      </w:r>
      <w:r>
        <w:t xml:space="preserve"> </w:t>
      </w:r>
      <w:r>
        <w:t xml:space="preserve">Suite</w:t>
      </w:r>
      <w:r>
        <w:t xml:space="preserve"> </w:t>
      </w:r>
      <w:r>
        <w:t xml:space="preserve">200</w:t>
      </w:r>
    </w:p>
    <w:p>
      <w:pPr>
        <w:spacing w:before="0" w:after="0" w:line="322" w:lineRule="exact"/>
        <w:ind w:left="0" w:firstLine="0"/>
        <w:jc w:val="left"/>
      </w:pPr>
      <w:r>
        <w:t xml:space="preserve">Little</w:t>
      </w:r>
      <w:r>
        <w:t xml:space="preserve"> </w:t>
      </w:r>
      <w:r>
        <w:t xml:space="preserve">Rock,</w:t>
      </w:r>
      <w:r>
        <w:t xml:space="preserve"> </w:t>
      </w:r>
      <w:r>
        <w:t xml:space="preserve">AR</w:t>
      </w:r>
      <w:r>
        <w:t xml:space="preserve"> </w:t>
      </w:r>
      <w:r>
        <w:t xml:space="preserve">72201</w:t>
      </w:r>
    </w:p>
    <w:p>
      <w:pPr>
        <w:spacing w:before="0" w:after="0" w:line="322" w:lineRule="exact"/>
        <w:ind w:left="0" w:firstLine="0"/>
        <w:jc w:val="left"/>
      </w:pPr>
      <w:r>
        <w:t xml:space="preserve">Ph:</w:t>
      </w:r>
      <w:r>
        <w:t xml:space="preserve"> </w:t>
      </w:r>
      <w:r>
        <w:t xml:space="preserve">(501)</w:t>
      </w:r>
      <w:r>
        <w:t xml:space="preserve"> </w:t>
      </w:r>
      <w:r>
        <w:t xml:space="preserve">682</w:t>
        <w:noBreakHyphen/>
        <w:t xml:space="preserve">6302</w:t>
      </w:r>
    </w:p>
    <w:p>
      <w:pPr>
        <w:spacing w:before="0" w:after="0" w:line="322" w:lineRule="exact"/>
        <w:ind w:left="0" w:firstLine="0"/>
        <w:jc w:val="left"/>
      </w:pPr>
      <w:r>
        <w:t xml:space="preserve">Fax:</w:t>
      </w:r>
      <w:r>
        <w:t xml:space="preserve"> </w:t>
      </w:r>
      <w:r>
        <w:t xml:space="preserve">(501)</w:t>
      </w:r>
      <w:r>
        <w:t xml:space="preserve"> </w:t>
      </w:r>
      <w:r>
        <w:t xml:space="preserve">682</w:t>
        <w:noBreakHyphen/>
        <w:t xml:space="preserve">2591</w:t>
      </w:r>
    </w:p>
    <w:p>
      <w:pPr>
        <w:spacing w:before="0" w:after="0" w:line="322" w:lineRule="exact"/>
        <w:ind w:left="0" w:firstLine="0"/>
        <w:jc w:val="left"/>
      </w:pPr>
      <w:r>
        <w:t xml:space="preserve">Email:</w:t>
      </w:r>
      <w:r>
        <w:t xml:space="preserve"> </w:t>
      </w:r>
      <w:r>
        <w:t xml:space="preserve">Nicholas.Bronni@ArkansasAG.gov</w:t>
      </w:r>
    </w:p>
    <w:p>
      <w:pPr>
        <w:pageBreakBefore/>
        <w:spacing w:before="0" w:after="0" w:line="1" w:lineRule="exact"/>
      </w:pPr>
    </w:p>
    <w:p>
      <w:pPr>
        <w:keepNext/>
        <w:keepLines/>
        <w:spacing w:before="0" w:after="280" w:line="322" w:lineRule="exact"/>
        <w:ind w:left="0" w:firstLine="0"/>
        <w:jc w:val="center"/>
      </w:pPr>
      <w:r>
        <w:rPr>
          <w:b/>
          <w:bCs/>
        </w:rPr>
        <w:t xml:space="preserve">BACKGROUND</w:t>
      </w:r>
    </w:p>
    <w:p>
      <w:pPr>
        <w:pStyle w:val="BodyText"/>
      </w:pPr>
      <w:r>
        <w:t xml:space="preserve">Dottie Trudo pleaded guilty to felony drug charges and received six years’ probation instead of the 42 years in prison she could have gotten. Unsurprisingly, one condition of Trudo’s probation was that she not commit further crimes. Yet less than six months later, Trudo did exactly that and was arrested for the same thing that had landed her on probation in the first place. In response, the circuit court correctly revoked Trudo’s probation and sentenced her to prison.</w:t>
      </w:r>
    </w:p>
    <w:p>
      <w:pPr>
        <w:pStyle w:val="BodyText"/>
      </w:pPr>
      <w:r>
        <w:t xml:space="preserve">The court of appeals disagreed. It held that Trudo couldn’t be revoked for violating the law because she wasn’t given a written statement that she couldn’t break the law while on probation. That’s nonsense because under Arkansas law good behavior—including not breaking the law—is always a condition of probation, Ark. Code Ann. 5</w:t>
      </w:r>
      <w:r>
        <w:noBreakHyphen/>
      </w:r>
      <w:r>
        <w:t xml:space="preserve">4</w:t>
      </w:r>
      <w:r>
        <w:noBreakHyphen/>
      </w:r>
      <w:r>
        <w:t xml:space="preserve">303(b), and reflecting that, Trudo’s sentencing order said as much, (RP 19). And while the decision below purported to rest on Section 303(e)⁠(2)’s requirement that probationers be given a</w:t>
      </w:r>
      <w:r>
        <w:t xml:space="preserve"> </w:t>
      </w:r>
      <w:r>
        <w:t xml:space="preserve">“written statement explicitly setting forth”</w:t>
      </w:r>
      <w:r>
        <w:t xml:space="preserve"> </w:t>
      </w:r>
      <w:r>
        <w:t xml:space="preserve">release conditions and the progeny of</w:t>
      </w:r>
      <w:r>
        <w:t xml:space="preserve"> </w:t>
      </w:r>
      <w:r>
        <w:rPr>
          <w:i/>
          <w:iCs/>
        </w:rPr>
        <w:t xml:space="preserve">Ross v. State</w:t>
      </w:r>
      <w:r>
        <w:t xml:space="preserve">, 268 Ark. 189 (1980), it’s ultimately a holding that ignorance of the law excuses non-compliance.</w:t>
      </w:r>
    </w:p>
    <w:p>
      <w:pPr>
        <w:pStyle w:val="BodyText"/>
      </w:pPr>
      <w:r>
        <w:t xml:space="preserve">That’s not the law, and this Court should grant review and ultimately affirm the circuit court’s order. In so doing, this Court should either: (1) resolve an inconsistency in the court of appeals’ cases created by the decision below by holding that conditions attached to a sentencing order satisfy the</w:t>
      </w:r>
      <w:r>
        <w:t xml:space="preserve"> </w:t>
      </w:r>
      <w:r>
        <w:t xml:space="preserve">“written statement”</w:t>
      </w:r>
      <w:r>
        <w:t xml:space="preserve"> </w:t>
      </w:r>
      <w:r>
        <w:t xml:space="preserve">requirement; or (2) overrule</w:t>
      </w:r>
      <w:r>
        <w:t xml:space="preserve"> </w:t>
      </w:r>
      <w:r>
        <w:rPr>
          <w:i/>
          <w:iCs/>
        </w:rPr>
        <w:t xml:space="preserve">Ross</w:t>
      </w:r>
      <w:r>
        <w:t xml:space="preserve">’s suggestion that ignorance of the law is a defense.</w:t>
      </w:r>
    </w:p>
    <w:p>
      <w:pPr>
        <w:keepNext/>
        <w:keepLines/>
        <w:spacing w:before="336" w:after="280" w:line="322" w:lineRule="exact"/>
        <w:ind w:left="0" w:firstLine="0"/>
        <w:jc w:val="center"/>
      </w:pPr>
      <w:r>
        <w:rPr>
          <w:b/>
          <w:bCs/>
        </w:rPr>
        <w:t xml:space="preserve">REASONS</w:t>
      </w:r>
      <w:r>
        <w:rPr>
          <w:b/>
          <w:bCs/>
        </w:rPr>
        <w:t xml:space="preserve"> </w:t>
      </w:r>
      <w:r>
        <w:rPr>
          <w:b/>
          <w:bCs/>
        </w:rPr>
        <w:t xml:space="preserve">FOR</w:t>
      </w:r>
      <w:r>
        <w:rPr>
          <w:b/>
          <w:bCs/>
        </w:rPr>
        <w:t xml:space="preserve"> </w:t>
      </w:r>
      <w:r>
        <w:rPr>
          <w:b/>
          <w:bCs/>
        </w:rPr>
        <w:t xml:space="preserve">GRANTING</w:t>
      </w:r>
      <w:r>
        <w:rPr>
          <w:b/>
          <w:bCs/>
        </w:rPr>
        <w:t xml:space="preserve"> </w:t>
      </w:r>
      <w:r>
        <w:rPr>
          <w:b/>
          <w:bCs/>
        </w:rPr>
        <w:t xml:space="preserve">THE</w:t>
      </w:r>
      <w:r>
        <w:rPr>
          <w:b/>
          <w:bCs/>
        </w:rPr>
        <w:t xml:space="preserve"> </w:t>
      </w:r>
      <w:r>
        <w:rPr>
          <w:b/>
          <w:bCs/>
        </w:rPr>
        <w:t xml:space="preserve">PETITION</w:t>
      </w:r>
    </w:p>
    <w:p>
      <w:pPr>
        <w:keepNext/>
        <w:keepLines/>
        <w:spacing w:before="280" w:after="224" w:line="322" w:lineRule="exact"/>
        <w:ind w:left="720" w:hanging="720"/>
        <w:jc w:val="left"/>
      </w:pPr>
      <w:r>
        <w:rPr>
          <w:b/>
          <w:bCs/>
        </w:rPr>
        <w:t xml:space="preserve">1.</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has</w:t>
      </w:r>
      <w:r>
        <w:rPr>
          <w:b/>
          <w:bCs/>
        </w:rPr>
        <w:t xml:space="preserve"> </w:t>
      </w:r>
      <w:r>
        <w:rPr>
          <w:b/>
          <w:bCs/>
        </w:rPr>
        <w:t xml:space="preserve">waffled</w:t>
      </w:r>
      <w:r>
        <w:rPr>
          <w:b/>
          <w:bCs/>
        </w:rPr>
        <w:t xml:space="preserve"> </w:t>
      </w:r>
      <w:r>
        <w:rPr>
          <w:b/>
          <w:bCs/>
        </w:rPr>
        <w:t xml:space="preserve">on</w:t>
      </w:r>
      <w:r>
        <w:rPr>
          <w:b/>
          <w:bCs/>
        </w:rPr>
        <w:t xml:space="preserve"> </w:t>
      </w:r>
      <w:r>
        <w:rPr>
          <w:b/>
          <w:bCs/>
        </w:rPr>
        <w:t xml:space="preserve">what</w:t>
      </w:r>
      <w:r>
        <w:rPr>
          <w:b/>
          <w:bCs/>
        </w:rPr>
        <w:t xml:space="preserve"> </w:t>
      </w:r>
      <w:r>
        <w:rPr>
          <w:b/>
          <w:bCs/>
        </w:rPr>
        <w:t xml:space="preserve">satisfies</w:t>
      </w:r>
      <w:r>
        <w:rPr>
          <w:b/>
          <w:bCs/>
        </w:rPr>
        <w:t xml:space="preserve"> </w:t>
      </w:r>
      <w:r>
        <w:rPr>
          <w:b/>
          <w:bCs/>
        </w:rPr>
        <w:t xml:space="preserve">the</w:t>
      </w:r>
      <w:r>
        <w:rPr>
          <w:b/>
          <w:bCs/>
        </w:rPr>
        <w:t xml:space="preserve"> </w:t>
      </w:r>
      <w:r>
        <w:rPr>
          <w:b/>
          <w:bCs/>
        </w:rPr>
        <w:t xml:space="preserve">requirement</w:t>
      </w:r>
      <w:r>
        <w:rPr>
          <w:b/>
          <w:bCs/>
        </w:rPr>
        <w:t xml:space="preserve"> </w:t>
      </w:r>
      <w:r>
        <w:rPr>
          <w:b/>
          <w:bCs/>
        </w:rPr>
        <w:t xml:space="preserve">of</w:t>
      </w:r>
      <w:r>
        <w:rPr>
          <w:b/>
          <w:bCs/>
        </w:rPr>
        <w:t xml:space="preserve"> </w:t>
      </w:r>
      <w:r>
        <w:rPr>
          <w:b/>
          <w:bCs/>
        </w:rPr>
        <w:t xml:space="preserve">being</w:t>
      </w:r>
      <w:r>
        <w:rPr>
          <w:b/>
          <w:bCs/>
        </w:rPr>
        <w:t xml:space="preserve"> </w:t>
      </w:r>
      <w:r>
        <w:rPr>
          <w:b/>
          <w:bCs/>
        </w:rPr>
        <w:t xml:space="preserve">provided</w:t>
      </w:r>
      <w:r>
        <w:rPr>
          <w:b/>
          <w:bCs/>
        </w:rPr>
        <w:t xml:space="preserve"> </w:t>
      </w:r>
      <w:r>
        <w:rPr>
          <w:b/>
          <w:bCs/>
        </w:rPr>
        <w:t xml:space="preserve">with</w:t>
      </w:r>
      <w:r>
        <w:rPr>
          <w:b/>
          <w:bCs/>
        </w:rPr>
        <w:t xml:space="preserve"> </w:t>
      </w:r>
      <w:r>
        <w:rPr>
          <w:b/>
          <w:bCs/>
        </w:rPr>
        <w:t xml:space="preserve">a</w:t>
      </w:r>
      <w:r>
        <w:rPr>
          <w:b/>
          <w:bCs/>
        </w:rPr>
        <w:t xml:space="preserve"> </w:t>
      </w:r>
      <w:r>
        <w:rPr>
          <w:b/>
          <w:bCs/>
        </w:rPr>
        <w:t xml:space="preserve">written</w:t>
      </w:r>
      <w:r>
        <w:rPr>
          <w:b/>
          <w:bCs/>
        </w:rPr>
        <w:t xml:space="preserve"> </w:t>
      </w:r>
      <w:r>
        <w:rPr>
          <w:b/>
          <w:bCs/>
        </w:rPr>
        <w:t xml:space="preserve">statement,</w:t>
      </w:r>
      <w:r>
        <w:rPr>
          <w:b/>
          <w:bCs/>
        </w:rPr>
        <w:t xml:space="preserve"> </w:t>
      </w:r>
      <w:r>
        <w:rPr>
          <w:b/>
          <w:bCs/>
        </w:rPr>
        <w:t xml:space="preserve">and</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resolve</w:t>
      </w:r>
      <w:r>
        <w:rPr>
          <w:b/>
          <w:bCs/>
        </w:rPr>
        <w:t xml:space="preserve"> </w:t>
      </w:r>
      <w:r>
        <w:rPr>
          <w:b/>
          <w:bCs/>
        </w:rPr>
        <w:t xml:space="preserve">that</w:t>
      </w:r>
      <w:r>
        <w:rPr>
          <w:b/>
          <w:bCs/>
        </w:rPr>
        <w:t xml:space="preserve"> </w:t>
      </w:r>
      <w:r>
        <w:rPr>
          <w:b/>
          <w:bCs/>
        </w:rPr>
        <w:t xml:space="preserve">conflict.</w:t>
      </w:r>
    </w:p>
    <w:p>
      <w:pPr>
        <w:pStyle w:val="BodyText"/>
      </w:pPr>
      <w:r>
        <w:t xml:space="preserve">In</w:t>
      </w:r>
      <w:r>
        <w:t xml:space="preserve"> </w:t>
      </w:r>
      <w:r>
        <w:rPr>
          <w:i/>
          <w:iCs/>
        </w:rPr>
        <w:t xml:space="preserve">O’Neal v. State</w:t>
      </w:r>
      <w:r>
        <w:t xml:space="preserve">, the court of appeals held that the commitment order there didn’t satisfy that requirement because there was no evidence that</w:t>
      </w:r>
      <w:r>
        <w:t xml:space="preserve"> </w:t>
      </w:r>
      <w:r>
        <w:t xml:space="preserve">“O’Neal received, read, signed, or initialed”</w:t>
      </w:r>
      <w:r>
        <w:t xml:space="preserve"> </w:t>
      </w:r>
      <w:r>
        <w:t xml:space="preserve">it. 2010 Ark. App. 241, at 3. But more recently (and correctly),</w:t>
      </w:r>
      <w:r>
        <w:t xml:space="preserve"> </w:t>
      </w:r>
      <w:r>
        <w:rPr>
          <w:i/>
          <w:iCs/>
        </w:rPr>
        <w:t xml:space="preserve">Valencia v. State</w:t>
      </w:r>
      <w:r>
        <w:t xml:space="preserve"> </w:t>
      </w:r>
      <w:r>
        <w:t xml:space="preserve">held that conditions in a sentencing order did satisfy Section 303(e)⁠(2). 2016 Ark. App. 176, at 5. And it did so despite no evidence that the probationer was personally</w:t>
      </w:r>
      <w:r>
        <w:t xml:space="preserve"> </w:t>
      </w:r>
      <w:r>
        <w:t xml:space="preserve">“served”</w:t>
      </w:r>
      <w:r>
        <w:t xml:space="preserve"> </w:t>
      </w:r>
      <w:r>
        <w:t xml:space="preserve">with it because the circuit clerk is always</w:t>
      </w:r>
      <w:r>
        <w:t xml:space="preserve"> </w:t>
      </w:r>
      <w:r>
        <w:t xml:space="preserve">“responsible for forwarding a copy of the sentencing order to the counsel of record for the defendant.”</w:t>
      </w:r>
      <w:r>
        <w:t xml:space="preserve"> </w:t>
      </w:r>
      <w:r>
        <w:rPr>
          <w:i/>
          <w:iCs/>
        </w:rPr>
        <w:t xml:space="preserve">Id.</w:t>
      </w:r>
    </w:p>
    <w:p>
      <w:pPr>
        <w:pStyle w:val="BodyText"/>
      </w:pPr>
      <w:r>
        <w:t xml:space="preserve">The decision below attempted to harmonize those cases, noting that the</w:t>
      </w:r>
      <w:r>
        <w:t xml:space="preserve"> </w:t>
      </w:r>
      <w:r>
        <w:rPr>
          <w:i/>
          <w:iCs/>
        </w:rPr>
        <w:t xml:space="preserve">Valencia</w:t>
      </w:r>
      <w:r>
        <w:t xml:space="preserve"> </w:t>
      </w:r>
      <w:r>
        <w:t xml:space="preserve">probationer had made restitution payments showing an awareness of the order’s conditions while there was no similar evidence in</w:t>
      </w:r>
      <w:r>
        <w:t xml:space="preserve"> </w:t>
      </w:r>
      <w:r>
        <w:rPr>
          <w:i/>
          <w:iCs/>
        </w:rPr>
        <w:t xml:space="preserve">O’Neal</w:t>
      </w:r>
      <w:r>
        <w:t xml:space="preserve">. Op. at 5</w:t>
      </w:r>
      <w:r>
        <w:noBreakHyphen/>
      </w:r>
      <w:r>
        <w:t xml:space="preserve">6. But as actually applied by the court of appeals here, that’s a distinction without a difference because the court of appeals concluded that Section 303(e) requires a probationer personally receive a written statement of conditions, rather than through her attorney. And that wasn’t true in</w:t>
      </w:r>
      <w:r>
        <w:t xml:space="preserve"> </w:t>
      </w:r>
      <w:r>
        <w:rPr>
          <w:i/>
          <w:iCs/>
        </w:rPr>
        <w:t xml:space="preserve">Valencia</w:t>
      </w:r>
      <w:r>
        <w:t xml:space="preserve">. So this case cannot be squared with</w:t>
      </w:r>
      <w:r>
        <w:t xml:space="preserve"> </w:t>
      </w:r>
      <w:r>
        <w:rPr>
          <w:i/>
          <w:iCs/>
        </w:rPr>
        <w:t xml:space="preserve">Valencia</w:t>
      </w:r>
      <w:r>
        <w:t xml:space="preserve">. Indeed, if anything, this case is more like</w:t>
      </w:r>
      <w:r>
        <w:t xml:space="preserve"> </w:t>
      </w:r>
      <w:r>
        <w:rPr>
          <w:i/>
          <w:iCs/>
        </w:rPr>
        <w:t xml:space="preserve">Valencia</w:t>
      </w:r>
      <w:r>
        <w:t xml:space="preserve"> </w:t>
      </w:r>
      <w:r>
        <w:t xml:space="preserve">because it’s nonsense to suggest that Trudo didn’t know she couldn’t commit the same felonies that led to her original conviction and sentence. This Court should resolve that inconsistency and affirm the circuit court’s order.</w:t>
      </w:r>
    </w:p>
    <w:p>
      <w:pPr>
        <w:keepNext/>
        <w:keepLines/>
        <w:spacing w:before="280" w:after="224" w:line="322" w:lineRule="exact"/>
        <w:ind w:left="720" w:hanging="720"/>
        <w:jc w:val="left"/>
      </w:pPr>
      <w:r>
        <w:rPr>
          <w:b/>
          <w:bCs/>
        </w:rPr>
        <w:t xml:space="preserve">2.</w:t>
      </w:r>
      <w:r>
        <w:rPr>
          <w:b/>
          <w:bCs/>
        </w:rPr>
        <w:t xml:space="preserve"> </w:t>
      </w:r>
      <w:r>
        <w:rPr>
          <w:b/>
          <w:bCs/>
        </w:rPr>
        <w:t xml:space="preserve">Alternatively,</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grant</w:t>
      </w:r>
      <w:r>
        <w:rPr>
          <w:b/>
          <w:bCs/>
        </w:rPr>
        <w:t xml:space="preserve"> </w:t>
      </w:r>
      <w:r>
        <w:rPr>
          <w:b/>
          <w:bCs/>
        </w:rPr>
        <w:t xml:space="preserve">review</w:t>
      </w:r>
      <w:r>
        <w:rPr>
          <w:b/>
          <w:bCs/>
        </w:rPr>
        <w:t xml:space="preserve"> </w:t>
      </w:r>
      <w:r>
        <w:rPr>
          <w:b/>
          <w:bCs/>
        </w:rPr>
        <w:t xml:space="preserve">here</w:t>
      </w:r>
      <w:r>
        <w:rPr>
          <w:b/>
          <w:bCs/>
        </w:rPr>
        <w:t xml:space="preserve"> </w:t>
      </w:r>
      <w:r>
        <w:rPr>
          <w:b/>
          <w:bCs/>
        </w:rPr>
        <w:t xml:space="preserve">and</w:t>
      </w:r>
      <w:r>
        <w:rPr>
          <w:b/>
          <w:bCs/>
        </w:rPr>
        <w:t xml:space="preserve"> </w:t>
      </w:r>
      <w:r>
        <w:rPr>
          <w:b/>
          <w:bCs/>
        </w:rPr>
        <w:t xml:space="preserve">overrule</w:t>
      </w:r>
      <w:r>
        <w:rPr>
          <w:b/>
          <w:bCs/>
        </w:rPr>
        <w:t xml:space="preserve"> </w:t>
      </w:r>
      <w:r>
        <w:rPr>
          <w:b/>
          <w:bCs/>
          <w:i/>
          <w:iCs/>
        </w:rPr>
        <w:t xml:space="preserve">Ross</w:t>
      </w:r>
      <w:r>
        <w:rPr>
          <w:b/>
          <w:bCs/>
          <w:i/>
          <w:iCs/>
        </w:rPr>
        <w:t xml:space="preserve"> </w:t>
      </w:r>
      <w:r>
        <w:rPr>
          <w:b/>
          <w:bCs/>
          <w:i/>
          <w:iCs/>
        </w:rPr>
        <w:t xml:space="preserve">v.</w:t>
      </w:r>
      <w:r>
        <w:rPr>
          <w:b/>
          <w:bCs/>
          <w:i/>
          <w:iCs/>
        </w:rPr>
        <w:t xml:space="preserve"> </w:t>
      </w:r>
      <w:r>
        <w:rPr>
          <w:b/>
          <w:bCs/>
          <w:i/>
          <w:iCs/>
        </w:rPr>
        <w:t xml:space="preserve">State</w:t>
      </w:r>
      <w:r>
        <w:rPr>
          <w:b/>
          <w:bCs/>
        </w:rPr>
        <w:t xml:space="preserve">.</w:t>
      </w:r>
    </w:p>
    <w:p>
      <w:pPr>
        <w:pStyle w:val="BodyText"/>
      </w:pPr>
      <w:r>
        <w:t xml:space="preserve">That case purported to interpret Section 303’s written-statement requirement and concluded that probationers cannot be revoked for the commission of further crimes unless they receive written notice that they cannot break the law while on probation. As then-Judge Tom Glaze noted shortly after that decision,</w:t>
      </w:r>
      <w:r>
        <w:t xml:space="preserve"> </w:t>
      </w:r>
      <w:r>
        <w:t xml:space="preserve">“no member”</w:t>
      </w:r>
      <w:r>
        <w:t xml:space="preserve"> </w:t>
      </w:r>
      <w:r>
        <w:t xml:space="preserve">of the court of appeals</w:t>
      </w:r>
      <w:r>
        <w:t xml:space="preserve"> </w:t>
      </w:r>
      <w:r>
        <w:t xml:space="preserve">“agree[d] that the rule announced in</w:t>
      </w:r>
      <w:r>
        <w:t xml:space="preserve"> </w:t>
      </w:r>
      <w:r>
        <w:rPr>
          <w:i/>
          <w:iCs/>
        </w:rPr>
        <w:t xml:space="preserve">Ross</w:t>
      </w:r>
      <w:r>
        <w:t xml:space="preserve"> ⁠. ⁠. ⁠. [was] correct.”</w:t>
      </w:r>
      <w:r>
        <w:t xml:space="preserve"> </w:t>
      </w:r>
      <w:r>
        <w:rPr>
          <w:i/>
          <w:iCs/>
        </w:rPr>
        <w:t xml:space="preserve">Neely v. State</w:t>
      </w:r>
      <w:r>
        <w:t xml:space="preserve">, 7 Ark. App. 238, 242 (1983) (Glaze, J. dissenting);</w:t>
      </w:r>
      <w:r>
        <w:t xml:space="preserve"> </w:t>
      </w:r>
      <w:r>
        <w:rPr>
          <w:i/>
          <w:iCs/>
        </w:rPr>
        <w:t xml:space="preserve">see also State v. Kunkel</w:t>
      </w:r>
      <w:r>
        <w:t xml:space="preserve">, 455 N.W.2d 213, 215 (N.D. 1990) (disagreeing with</w:t>
      </w:r>
      <w:r>
        <w:t xml:space="preserve"> </w:t>
      </w:r>
      <w:r>
        <w:rPr>
          <w:i/>
          <w:iCs/>
        </w:rPr>
        <w:t xml:space="preserve">Ross</w:t>
      </w:r>
      <w:r>
        <w:t xml:space="preserve">). It violates the maxim that</w:t>
      </w:r>
      <w:r>
        <w:t xml:space="preserve"> </w:t>
      </w:r>
      <w:r>
        <w:t xml:space="preserve">“ignorance of the law ⁠. ⁠. ⁠. is never an excuse.”</w:t>
      </w:r>
      <w:r>
        <w:t xml:space="preserve"> </w:t>
      </w:r>
      <w:r>
        <w:rPr>
          <w:i/>
          <w:iCs/>
        </w:rPr>
        <w:t xml:space="preserve">Williams v. State</w:t>
      </w:r>
      <w:r>
        <w:t xml:space="preserve">, 346 Ark. 304, 309 (2001); Oliver Wendell Holmes, THE COMMON LAW 41 (M. Howe ed. 1963) (1881) (</w:t>
      </w:r>
      <w:r>
        <w:t xml:space="preserve">“Ignorance of the law is no excuse.”</w:t>
      </w:r>
      <w:r>
        <w:t xml:space="preserve">). And it ignores the fact that probation is always, by definition, conditioned on not committing further crimes.</w:t>
      </w:r>
      <w:r>
        <w:t xml:space="preserve"> </w:t>
      </w:r>
      <w:r>
        <w:rPr>
          <w:i/>
          <w:iCs/>
        </w:rPr>
        <w:t xml:space="preserve">See</w:t>
      </w:r>
      <w:r>
        <w:t xml:space="preserve"> </w:t>
      </w:r>
      <w:r>
        <w:t xml:space="preserve">Probation, Black’s Law Dictionary (2nd Ed. Online), available at https://​thelawdictionary.​org/​probation/​. (</w:t>
      </w:r>
      <w:r>
        <w:t xml:space="preserve">“[A]llowing a person convicted ⁠. ⁠. ⁠. to go at large, under a suspension of sentence, during good behavior”</w:t>
      </w:r>
      <w:r>
        <w:t xml:space="preserve">).</w:t>
      </w:r>
    </w:p>
    <w:p>
      <w:pPr>
        <w:pStyle w:val="BodyText"/>
      </w:pPr>
      <w:r>
        <w:t xml:space="preserve">Thus, on its face, Section 303(e)⁠(2) cannot be read in the manner suggested below because it would make ignorance of the law a defense and hand repeat wrongdoers a defense that the law plainly doesn’t provide. Indeed, this case aptly illustrates</w:t>
      </w:r>
      <w:r>
        <w:t xml:space="preserve"> </w:t>
      </w:r>
      <w:r>
        <w:rPr>
          <w:i/>
          <w:iCs/>
        </w:rPr>
        <w:t xml:space="preserve">Ross</w:t>
      </w:r>
      <w:r>
        <w:t xml:space="preserve">’s weakness since—as interpreted by the court of appeals—it would mean that a probationer could recommit the same offense that led to her initial conviction and escape punishment on ignorance grounds. That isn’t the law, and this Court should grant review, make that clear, and affirm the circuit court’s order.</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322" w:lineRule="exact"/>
              <w:ind w:left="0" w:firstLine="0"/>
              <w:jc w:val="left"/>
            </w:pPr>
            <w:r>
              <w:t xml:space="preserve">Respectfully</w:t>
            </w:r>
            <w:r>
              <w:t xml:space="preserve"> </w:t>
            </w:r>
            <w:r>
              <w:t xml:space="preserve">submitted,</w:t>
            </w:r>
          </w:p>
          <w:p>
            <w:pPr>
              <w:spacing w:before="322" w:after="0" w:line="322" w:lineRule="exact"/>
              <w:ind w:left="3456" w:firstLine="0"/>
              <w:jc w:val="left"/>
            </w:pPr>
            <w:r>
              <w:t xml:space="preserve">TIM</w:t>
            </w:r>
            <w:r>
              <w:t xml:space="preserve"> </w:t>
            </w:r>
            <w:r>
              <w:t xml:space="preserve">GRIFFIN</w:t>
            </w:r>
          </w:p>
          <w:p>
            <w:pPr>
              <w:spacing w:before="0" w:after="0" w:line="322" w:lineRule="exact"/>
              <w:ind w:left="3456" w:firstLine="0"/>
              <w:jc w:val="left"/>
            </w:pPr>
            <w:r>
              <w:t xml:space="preserve">Arkansas</w:t>
            </w:r>
            <w:r>
              <w:t xml:space="preserve"> </w:t>
            </w:r>
            <w:r>
              <w:t xml:space="preserve">Attorney</w:t>
            </w:r>
            <w:r>
              <w:t xml:space="preserve"> </w:t>
            </w:r>
            <w:r>
              <w:t xml:space="preserve">General</w:t>
            </w:r>
          </w:p>
          <w:p>
            <w:pPr>
              <w:spacing w:before="0" w:after="0" w:line="322" w:lineRule="exact"/>
              <w:ind w:left="3456" w:firstLine="0"/>
              <w:jc w:val="left"/>
            </w:pPr>
          </w:p>
          <w:p>
            <w:pPr>
              <w:spacing w:before="0" w:after="0" w:line="322" w:lineRule="exact"/>
              <w:ind w:left="3456" w:firstLine="0"/>
              <w:jc w:val="left"/>
            </w:pPr>
            <w:r>
              <w:t xml:space="preserve">NICHOLAS</w:t>
            </w:r>
            <w:r>
              <w:t xml:space="preserve"> </w:t>
            </w:r>
            <w:r>
              <w:t xml:space="preserve">J.</w:t>
            </w:r>
            <w:r>
              <w:t xml:space="preserve"> </w:t>
            </w:r>
            <w:r>
              <w:t xml:space="preserve">BRONNI</w:t>
            </w:r>
            <w:r>
              <w:t xml:space="preserve"> </w:t>
            </w:r>
            <w:r>
              <w:t xml:space="preserve">(2016097)</w:t>
            </w:r>
          </w:p>
          <w:p>
            <w:pPr>
              <w:spacing w:before="0" w:after="0" w:line="322" w:lineRule="exact"/>
              <w:ind w:left="3456" w:firstLine="0"/>
              <w:jc w:val="left"/>
            </w:pPr>
            <w:r>
              <w:t xml:space="preserve">Solicitor</w:t>
            </w:r>
            <w:r>
              <w:t xml:space="preserve"> </w:t>
            </w:r>
            <w:r>
              <w:t xml:space="preserve">General</w:t>
            </w:r>
          </w:p>
          <w:p>
            <w:pPr>
              <w:spacing w:before="0" w:after="0" w:line="322" w:lineRule="exact"/>
              <w:ind w:left="3456" w:firstLine="0"/>
              <w:jc w:val="left"/>
            </w:pPr>
            <w:r>
              <w:t xml:space="preserve">DYLAN</w:t>
            </w:r>
            <w:r>
              <w:t xml:space="preserve"> </w:t>
            </w:r>
            <w:r>
              <w:t xml:space="preserve">L.</w:t>
            </w:r>
            <w:r>
              <w:t xml:space="preserve"> </w:t>
            </w:r>
            <w:r>
              <w:t xml:space="preserve">JACOBS</w:t>
            </w:r>
            <w:r>
              <w:t xml:space="preserve"> </w:t>
            </w:r>
            <w:r>
              <w:t xml:space="preserve">(2016167)</w:t>
            </w:r>
          </w:p>
          <w:p>
            <w:pPr>
              <w:spacing w:before="0" w:after="0" w:line="322" w:lineRule="exact"/>
              <w:ind w:left="3456" w:firstLine="0"/>
              <w:jc w:val="left"/>
            </w:pPr>
            <w:r>
              <w:t xml:space="preserve">Deputy</w:t>
            </w:r>
            <w:r>
              <w:t xml:space="preserve"> </w:t>
            </w:r>
            <w:r>
              <w:t xml:space="preserve">Solicitor</w:t>
            </w:r>
            <w:r>
              <w:t xml:space="preserve"> </w:t>
            </w:r>
            <w:r>
              <w:t xml:space="preserve">General</w:t>
            </w:r>
          </w:p>
          <w:p>
            <w:pPr>
              <w:spacing w:before="0" w:after="0" w:line="322" w:lineRule="exact"/>
              <w:ind w:left="3456" w:firstLine="0"/>
              <w:jc w:val="left"/>
            </w:pPr>
            <w:r>
              <w:t xml:space="preserve">Office</w:t>
            </w:r>
            <w:r>
              <w:t xml:space="preserve"> </w:t>
            </w:r>
            <w:r>
              <w:t xml:space="preserve">of</w:t>
            </w:r>
            <w:r>
              <w:t xml:space="preserve"> </w:t>
            </w:r>
            <w:r>
              <w:t xml:space="preserve">the</w:t>
            </w:r>
            <w:r>
              <w:t xml:space="preserve"> </w:t>
            </w:r>
            <w:r>
              <w:t xml:space="preserve">Arkansas</w:t>
            </w:r>
            <w:r>
              <w:t xml:space="preserve"> </w:t>
            </w:r>
            <w:r>
              <w:t xml:space="preserve">Attorney</w:t>
            </w:r>
            <w:r>
              <w:t xml:space="preserve"> </w:t>
            </w:r>
            <w:r>
              <w:t xml:space="preserve">General</w:t>
            </w:r>
          </w:p>
          <w:p>
            <w:pPr>
              <w:spacing w:before="0" w:after="0" w:line="322" w:lineRule="exact"/>
              <w:ind w:left="3456" w:firstLine="0"/>
              <w:jc w:val="left"/>
            </w:pPr>
            <w:r>
              <w:t xml:space="preserve">323</w:t>
            </w:r>
            <w:r>
              <w:t xml:space="preserve"> </w:t>
            </w:r>
            <w:r>
              <w:t xml:space="preserve">Center</w:t>
            </w:r>
            <w:r>
              <w:t xml:space="preserve"> </w:t>
            </w:r>
            <w:r>
              <w:t xml:space="preserve">Street,</w:t>
            </w:r>
            <w:r>
              <w:t xml:space="preserve"> </w:t>
            </w:r>
            <w:r>
              <w:t xml:space="preserve">Suite</w:t>
            </w:r>
            <w:r>
              <w:t xml:space="preserve"> </w:t>
            </w:r>
            <w:r>
              <w:t xml:space="preserve">200</w:t>
            </w:r>
          </w:p>
          <w:p>
            <w:pPr>
              <w:spacing w:before="0" w:after="0" w:line="322" w:lineRule="exact"/>
              <w:ind w:left="3456" w:firstLine="0"/>
              <w:jc w:val="left"/>
            </w:pPr>
            <w:r>
              <w:t xml:space="preserve">Little</w:t>
            </w:r>
            <w:r>
              <w:t xml:space="preserve"> </w:t>
            </w:r>
            <w:r>
              <w:t xml:space="preserve">Rock,</w:t>
            </w:r>
            <w:r>
              <w:t xml:space="preserve"> </w:t>
            </w:r>
            <w:r>
              <w:t xml:space="preserve">AR</w:t>
            </w:r>
            <w:r>
              <w:t xml:space="preserve"> </w:t>
            </w:r>
            <w:r>
              <w:t xml:space="preserve">72201</w:t>
            </w:r>
          </w:p>
          <w:p>
            <w:pPr>
              <w:spacing w:before="0" w:after="0" w:line="322" w:lineRule="exact"/>
              <w:ind w:left="3456" w:firstLine="0"/>
              <w:jc w:val="left"/>
            </w:pPr>
            <w:r>
              <w:t xml:space="preserve">Ph:</w:t>
            </w:r>
            <w:r>
              <w:t xml:space="preserve"> </w:t>
            </w:r>
            <w:r>
              <w:t xml:space="preserve">(501)</w:t>
            </w:r>
            <w:r>
              <w:t xml:space="preserve"> </w:t>
            </w:r>
            <w:r>
              <w:t xml:space="preserve">682</w:t>
              <w:noBreakHyphen/>
              <w:t xml:space="preserve">6302</w:t>
            </w:r>
          </w:p>
          <w:p>
            <w:pPr>
              <w:spacing w:before="0" w:after="0" w:line="322" w:lineRule="exact"/>
              <w:ind w:left="3456" w:firstLine="0"/>
              <w:jc w:val="left"/>
            </w:pPr>
            <w:r>
              <w:t xml:space="preserve">Fax:</w:t>
            </w:r>
            <w:r>
              <w:t xml:space="preserve"> </w:t>
            </w:r>
            <w:r>
              <w:t xml:space="preserve">(501)</w:t>
            </w:r>
            <w:r>
              <w:t xml:space="preserve"> </w:t>
            </w:r>
            <w:r>
              <w:t xml:space="preserve">682</w:t>
              <w:noBreakHyphen/>
              <w:t xml:space="preserve">2591</w:t>
            </w:r>
          </w:p>
          <w:p>
            <w:pPr>
              <w:spacing w:before="0" w:after="0" w:line="322" w:lineRule="exact"/>
              <w:ind w:left="3456" w:firstLine="0"/>
              <w:jc w:val="left"/>
            </w:pPr>
            <w:r>
              <w:t xml:space="preserve">Email:</w:t>
            </w:r>
            <w:r>
              <w:t xml:space="preserve"> </w:t>
            </w:r>
            <w:r>
              <w:t xml:space="preserve">Nicholas.Bronni@ArkansasAG.gov</w:t>
            </w:r>
          </w:p>
          <w:p>
            <w:pPr>
              <w:spacing w:before="168" w:after="0" w:line="322" w:lineRule="exact"/>
              <w:ind w:left="3456" w:firstLine="0"/>
              <w:jc w:val="left"/>
            </w:pPr>
            <w:r>
              <w:rPr>
                <w:u w:val="single"/>
              </w:rPr>
              <w:t xml:space="preserve">/s/</w:t>
            </w:r>
            <w:r>
              <w:rPr>
                <w:u w:val="single"/>
              </w:rPr>
              <w:t xml:space="preserve"> </w:t>
            </w:r>
            <w:r>
              <w:rPr>
                <w:u w:val="single"/>
              </w:rPr>
              <w:t xml:space="preserve">Nicholas</w:t>
            </w:r>
            <w:r>
              <w:rPr>
                <w:u w:val="single"/>
              </w:rPr>
              <w:t xml:space="preserve"> </w:t>
            </w:r>
            <w:r>
              <w:rPr>
                <w:u w:val="single"/>
              </w:rPr>
              <w:t xml:space="preserve">J.</w:t>
            </w:r>
            <w:r>
              <w:rPr>
                <w:u w:val="single"/>
              </w:rPr>
              <w:t xml:space="preserve"> </w:t>
            </w:r>
            <w:r>
              <w:rPr>
                <w:u w:val="single"/>
              </w:rPr>
              <w:t xml:space="preserve">Bronni</w:t>
            </w:r>
          </w:p>
        </w:tc>
      </w:tr>
    </w:tbl>
    <w:p>
      <w:pPr>
        <w:pageBreakBefore/>
        <w:spacing w:before="0" w:after="0" w:line="1" w:lineRule="exact"/>
      </w:pPr>
    </w:p>
    <w:p>
      <w:pPr>
        <w:keepNext/>
        <w:keepLines/>
        <w:spacing w:before="0"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pStyle w:val="XdTail"/>
      </w:pPr>
      <w:r>
        <w:t xml:space="preserve">I, Nicholas J. Bronni, certify that on March 15, 2023, I electronically filed the foregoing document with the Clerk of the Court using the eFlex system which shall send notification of such filing to all counsel of record.</w:t>
      </w:r>
    </w:p>
    <w:p>
      <w:pPr>
        <w:pStyle w:val="XdTail"/>
      </w:pPr>
      <w:r>
        <w:t xml:space="preserve">I further certify that the foregoing document has been mailed, by United States Postal Service, postage prepaid, to:</w:t>
      </w:r>
    </w:p>
    <w:p>
      <w:pPr>
        <w:pStyle w:val="XdQuoteOnly"/>
      </w:pPr>
      <w:r>
        <w:t xml:space="preserve">Honorable Michael Medlock</w:t>
      </w:r>
      <w:r>
        <w:br/>
      </w:r>
      <w:r>
        <w:t xml:space="preserve">Circuit Judge</w:t>
      </w:r>
      <w:r>
        <w:br/>
      </w:r>
      <w:r>
        <w:t xml:space="preserve">Courthouse</w:t>
      </w:r>
      <w:r>
        <w:br/>
      </w:r>
      <w:r>
        <w:t xml:space="preserve">300 Main Street</w:t>
      </w:r>
      <w:r>
        <w:br/>
      </w:r>
      <w:r>
        <w:t xml:space="preserve">Van Buren, AR 72956</w:t>
      </w:r>
    </w:p>
    <w:p>
      <w:pPr>
        <w:pStyle w:val="XdQuoteOnly"/>
      </w:pPr>
      <w:r>
        <w:t xml:space="preserve">/s/ Nicholas J. Bronni</w:t>
      </w:r>
      <w:r>
        <w:br/>
      </w:r>
      <w:r>
        <w:t xml:space="preserve">Nicholas J. Bronni</w:t>
      </w:r>
    </w:p>
    <w:p>
      <w:pPr>
        <w:keepNext/>
        <w:keepLines/>
        <w:spacing w:before="336" w:after="280" w:line="322"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pStyle w:val="XdTail"/>
      </w:pPr>
      <w:r>
        <w:t xml:space="preserve">I, Nicholas J. Bronni, certify that this document is in compliance with the requirements of Administrative Order Number 19 concerning confidential information. Further, I certify that this petition is not more than three double-spaced pages in length and is therefore in compliance with Arkansas Supreme Court Rule 2</w:t>
      </w:r>
      <w:r>
        <w:noBreakHyphen/>
      </w:r>
      <w:r>
        <w:t xml:space="preserve">4(b). This petition does not contain external hyperlinks.</w:t>
      </w:r>
    </w:p>
    <w:p>
      <w:pPr>
        <w:pStyle w:val="XdQuoteOnly"/>
      </w:pPr>
      <w:r>
        <w:t xml:space="preserve">/s/ Nicholas J. Bronni</w:t>
      </w:r>
      <w:r>
        <w:br/>
      </w:r>
      <w:r>
        <w:t xml:space="preserve">Nicholas J. Bronni</w:t>
      </w:r>
    </w:p>
    <w:sectPr>
      <w:footerReference w:type="default" r:id="rIdFooter1"/>
      <w:pgSz w:w="12240" w:h="15840"/>
      <w:pgMar w:top="1440" w:right="1440" w:bottom="1440" w:left="1440" w:header="720" w:footer="686"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322"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8"/>
        <w:szCs w:val="28"/>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644"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322" w:lineRule="exact"/>
      <w:ind w:firstLine="0"/>
      <w:jc w:val="center"/>
      <w:outlineLvl w:val="0"/>
    </w:pPr>
    <w:rPr>
      <w:rFonts w:ascii="Times New Roman" w:hAnsi="Times New Roman" w:eastAsia="Times New Roman" w:cs="Times New Roman"/>
      <w:b/>
      <w:bCs/>
      <w:caps/>
      <w:color w:val="000000"/>
      <w:sz w:val="28"/>
      <w:szCs w:val="28"/>
    </w:rPr>
  </w:style>
  <w:style w:type="paragraph" w:styleId="Heading2">
    <w:name w:val="heading 2"/>
    <w:basedOn w:val="Normal"/>
    <w:next w:val="BodyText"/>
    <w:link w:val="Heading2Char"/>
    <w:uiPriority w:val="9"/>
    <w:semiHidden/>
    <w:unhideWhenUsed/>
    <w:qFormat/>
    <w:rsid w:val="00A10FD9"/>
    <w:pPr>
      <w:keepNext/>
      <w:keepLines/>
      <w:spacing w:before="240" w:after="120" w:line="322" w:lineRule="exact"/>
      <w:ind w:firstLine="0"/>
      <w:outlineLvl w:val="1"/>
    </w:pPr>
    <w:rPr>
      <w:rFonts w:ascii="Times New Roman" w:hAnsi="Times New Roman" w:eastAsia="Times New Roman" w:cs="Times New Roman"/>
      <w:b/>
      <w:bCs/>
      <w:color w:val="000000"/>
      <w:sz w:val="28"/>
      <w:szCs w:val="28"/>
    </w:rPr>
  </w:style>
  <w:style w:type="paragraph" w:styleId="Heading3">
    <w:name w:val="heading 3"/>
    <w:basedOn w:val="Normal"/>
    <w:next w:val="BodyText"/>
    <w:link w:val="Heading3Char"/>
    <w:uiPriority w:val="9"/>
    <w:semiHidden/>
    <w:unhideWhenUsed/>
    <w:qFormat/>
    <w:rsid w:val="00A10FD9"/>
    <w:pPr>
      <w:keepNext/>
      <w:keepLines/>
      <w:spacing w:before="240" w:after="120" w:line="322" w:lineRule="exact"/>
      <w:ind w:firstLine="0"/>
      <w:outlineLvl w:val="2"/>
    </w:pPr>
    <w:rPr>
      <w:rFonts w:ascii="Times New Roman" w:hAnsi="Times New Roman" w:eastAsia="Times New Roman" w:cs="Times New Roman"/>
      <w:b/>
      <w:bCs/>
      <w:color w:val="000000"/>
      <w:sz w:val="28"/>
      <w:szCs w:val="28"/>
    </w:rPr>
  </w:style>
  <w:style w:type="paragraph" w:styleId="Heading4">
    <w:name w:val="heading 4"/>
    <w:basedOn w:val="Normal"/>
    <w:next w:val="BodyText"/>
    <w:link w:val="Heading4Char"/>
    <w:uiPriority w:val="9"/>
    <w:semiHidden/>
    <w:unhideWhenUsed/>
    <w:qFormat/>
    <w:rsid w:val="00A10FD9"/>
    <w:pPr>
      <w:keepNext/>
      <w:keepLines/>
      <w:spacing w:before="240" w:after="120" w:line="322" w:lineRule="exact"/>
      <w:ind w:firstLine="0"/>
      <w:outlineLvl w:val="3"/>
    </w:pPr>
    <w:rPr>
      <w:rFonts w:ascii="Times New Roman" w:hAnsi="Times New Roman" w:eastAsia="Times New Roman" w:cs="Times New Roman"/>
      <w:b/>
      <w:bCs/>
      <w:i/>
      <w:color w:val="000000"/>
      <w:sz w:val="28"/>
      <w:szCs w:val="28"/>
    </w:rPr>
  </w:style>
  <w:style w:type="paragraph" w:styleId="Heading5">
    <w:name w:val="heading 5"/>
    <w:basedOn w:val="Normal"/>
    <w:next w:val="BodyText"/>
    <w:link w:val="Heading5Char"/>
    <w:uiPriority w:val="9"/>
    <w:semiHidden/>
    <w:unhideWhenUsed/>
    <w:qFormat/>
    <w:rsid w:val="00A10FD9"/>
    <w:pPr>
      <w:keepNext/>
      <w:keepLines/>
      <w:spacing w:before="240" w:after="120" w:line="322" w:lineRule="exact"/>
      <w:ind w:firstLine="0"/>
      <w:outlineLvl w:val="4"/>
    </w:pPr>
    <w:rPr>
      <w:rFonts w:ascii="Times New Roman" w:hAnsi="Times New Roman" w:eastAsia="Times New Roman" w:cs="Times New Roman"/>
      <w:b/>
      <w:bCs/>
      <w:i/>
      <w:color w:val="000000"/>
      <w:sz w:val="28"/>
      <w:szCs w:val="28"/>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644" w:lineRule="exact"/>
      <w:ind w:left="720" w:hanging="720"/>
    </w:pPr>
  </w:style>
  <w:style w:type="paragraph" w:styleId="BlockText">
    <w:name w:val="Block Text"/>
    <w:basedOn w:val="BodyText"/>
    <w:next w:val="BodyText"/>
    <w:uiPriority w:val="9"/>
    <w:unhideWhenUsed/>
    <w:qFormat/>
    <w:pPr>
      <w:spacing w:before="280" w:after="280" w:line="322" w:lineRule="exact"/>
      <w:ind w:firstLine="0" w:left="720" w:right="720"/>
    </w:pPr>
  </w:style>
  <w:style w:type="paragraph" w:styleId="FootnoteText">
    <w:name w:val="Footnote Text"/>
    <w:basedOn w:val="Normal"/>
    <w:next w:val="FootnoteText"/>
    <w:uiPriority w:val="9"/>
    <w:unhideWhenUsed/>
    <w:qFormat/>
    <w:pPr>
      <w:keepLines/>
      <w:spacing w:before="0" w:after="140" w:line="644" w:lineRule="exact"/>
    </w:pPr>
    <w:rPr>
      <w:sz w:val="28"/>
      <w:szCs w:val="28"/>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322" w:lineRule="exact"/>
      <w:ind w:left="720" w:right="720" w:firstLine="0"/>
    </w:pPr>
  </w:style>
  <w:style w:type="paragraph" w:customStyle="1" w:styleId="XdQuoteFirst">
    <w:name w:val="Xd Quote First"/>
    <w:basedOn w:val="Normal"/>
    <w:qFormat/>
    <w:pPr>
      <w:spacing w:before="168" w:after="0" w:line="322" w:lineRule="exact"/>
      <w:ind w:left="720" w:right="720" w:firstLine="0"/>
    </w:pPr>
  </w:style>
  <w:style w:type="paragraph" w:customStyle="1" w:styleId="XdQuoteLast">
    <w:name w:val="Xd Quote Last"/>
    <w:basedOn w:val="Normal"/>
    <w:qFormat/>
    <w:pPr>
      <w:spacing w:before="0" w:after="280" w:line="322" w:lineRule="exact"/>
      <w:ind w:left="720" w:right="720" w:firstLine="0"/>
    </w:pPr>
  </w:style>
  <w:style w:type="paragraph" w:customStyle="1" w:styleId="XdQuoteOnly">
    <w:name w:val="Xd Quote Only"/>
    <w:basedOn w:val="Normal"/>
    <w:qFormat/>
    <w:pPr>
      <w:spacing w:before="168" w:after="280" w:line="322" w:lineRule="exact"/>
      <w:ind w:left="720" w:right="720" w:firstLine="0"/>
    </w:pPr>
  </w:style>
  <w:style w:type="paragraph" w:customStyle="1" w:styleId="XdTail">
    <w:name w:val="Xd Tail"/>
    <w:basedOn w:val="Normal"/>
    <w:qFormat/>
    <w:pPr>
      <w:spacing w:before="0" w:after="0" w:line="644" w:lineRule="exact"/>
      <w:ind w:firstLine="720"/>
    </w:pPr>
  </w:style>
  <w:style w:type="paragraph" w:customStyle="1" w:styleId="XdList1">
    <w:name w:val="XdList 1"/>
    <w:basedOn w:val="Normal"/>
    <w:qFormat/>
    <w:pPr>
      <w:spacing w:before="0" w:after="0" w:line="644" w:lineRule="exact"/>
      <w:ind w:left="720" w:hanging="720"/>
    </w:pPr>
  </w:style>
  <w:style w:type="paragraph" w:customStyle="1" w:styleId="XdList2">
    <w:name w:val="XdList 2"/>
    <w:basedOn w:val="Normal"/>
    <w:qFormat/>
    <w:pPr>
      <w:spacing w:before="0" w:after="0" w:line="644" w:lineRule="exact"/>
      <w:ind w:left="1440" w:hanging="720"/>
    </w:pPr>
  </w:style>
  <w:style w:type="paragraph" w:customStyle="1" w:styleId="XdList3">
    <w:name w:val="XdList 3"/>
    <w:basedOn w:val="Normal"/>
    <w:qFormat/>
    <w:pPr>
      <w:spacing w:before="0" w:after="0" w:line="644" w:lineRule="exact"/>
      <w:ind w:left="2160" w:hanging="720"/>
    </w:pPr>
  </w:style>
  <w:style w:type="paragraph" w:customStyle="1" w:styleId="XdTailList1">
    <w:name w:val="XdTailList 1"/>
    <w:basedOn w:val="Normal"/>
    <w:qFormat/>
    <w:pPr>
      <w:spacing w:before="0" w:after="0" w:line="644" w:lineRule="exact"/>
      <w:ind w:left="720" w:hanging="720"/>
    </w:pPr>
  </w:style>
  <w:style w:type="paragraph" w:customStyle="1" w:styleId="XdTailList2">
    <w:name w:val="XdTailList 2"/>
    <w:basedOn w:val="Normal"/>
    <w:qFormat/>
    <w:pPr>
      <w:spacing w:before="0" w:after="0" w:line="644" w:lineRule="exact"/>
      <w:ind w:left="1440" w:hanging="720"/>
    </w:pPr>
  </w:style>
  <w:style w:type="paragraph" w:customStyle="1" w:styleId="XdTailList3">
    <w:name w:val="XdTailList 3"/>
    <w:basedOn w:val="Normal"/>
    <w:qFormat/>
    <w:pPr>
      <w:spacing w:before="0" w:after="0" w:line="644" w:lineRule="exact"/>
      <w:ind w:left="2160" w:hanging="720"/>
    </w:pPr>
  </w:style>
  <w:style w:type="paragraph" w:customStyle="1" w:styleId="XdQuoteList1">
    <w:name w:val="Xd Quote List 1"/>
    <w:basedOn w:val="Normal"/>
    <w:qFormat/>
    <w:pPr>
      <w:spacing w:before="0" w:after="0" w:line="322" w:lineRule="exact"/>
      <w:ind w:left="1440" w:right="720" w:hanging="720"/>
    </w:pPr>
  </w:style>
  <w:style w:type="paragraph" w:customStyle="1" w:styleId="XdQuoteList2">
    <w:name w:val="Xd Quote List 2"/>
    <w:basedOn w:val="Normal"/>
    <w:qFormat/>
    <w:pPr>
      <w:spacing w:before="0" w:after="0" w:line="322" w:lineRule="exact"/>
      <w:ind w:left="2160" w:right="720" w:hanging="720"/>
    </w:pPr>
  </w:style>
  <w:style w:type="paragraph" w:customStyle="1" w:styleId="XdQuoteList3">
    <w:name w:val="Xd Quote List 3"/>
    <w:basedOn w:val="Normal"/>
    <w:qFormat/>
    <w:pPr>
      <w:spacing w:before="0" w:after="0" w:line="322" w:lineRule="exact"/>
      <w:ind w:left="2880" w:right="720" w:hanging="720"/>
    </w:pPr>
  </w:style>
  <w:style w:type="paragraph" w:customStyle="1" w:styleId="XdQuoteOnly">
    <w:name w:val="XdQuoteOnly"/>
    <w:basedOn w:val="BodyText"/>
    <w:qFormat/>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