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NORTH</w:t>
            </w:r>
            <w:r>
              <w:rPr>
                <w:b/>
                <w:bCs/>
              </w:rPr>
              <w:t xml:space="preserve"> </w:t>
            </w:r>
            <w:r>
              <w:rPr>
                <w:b/>
                <w:bCs/>
              </w:rPr>
              <w:t xml:space="preserve">DAKOTA</w:t>
            </w:r>
          </w:p>
          <w:p>
            <w:pPr>
              <w:spacing w:before="276" w:after="0" w:line="276"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No.</w:t>
            </w:r>
            <w:r>
              <w:rPr>
                <w:b/>
                <w:bCs/>
              </w:rPr>
              <w:t xml:space="preserve"> </w:t>
            </w:r>
            <w:r>
              <w:rPr>
                <w:b/>
                <w:bCs/>
              </w:rPr>
              <w:t xml:space="preserve">20260059</w:t>
            </w:r>
          </w:p>
          <w:p>
            <w:pPr>
              <w:spacing w:before="0" w:after="0" w:line="276" w:lineRule="exact"/>
              <w:ind w:left="0" w:firstLine="0"/>
              <w:jc w:val="center"/>
            </w:pPr>
            <w:r>
              <w:rPr>
                <w:b/>
                <w:bCs/>
              </w:rPr>
              <w:t xml:space="preserve">Burleigh</w:t>
            </w:r>
            <w:r>
              <w:rPr>
                <w:b/>
                <w:bCs/>
              </w:rPr>
              <w:t xml:space="preserve"> </w:t>
            </w:r>
            <w:r>
              <w:rPr>
                <w:b/>
                <w:bCs/>
              </w:rPr>
              <w:t xml:space="preserve">County</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Civil</w:t>
            </w:r>
            <w:r>
              <w:rPr>
                <w:b/>
                <w:bCs/>
              </w:rPr>
              <w:t xml:space="preserve"> </w:t>
            </w:r>
            <w:r>
              <w:rPr>
                <w:b/>
                <w:bCs/>
              </w:rPr>
              <w:t xml:space="preserve">No.</w:t>
            </w:r>
            <w:r>
              <w:rPr>
                <w:b/>
                <w:bCs/>
              </w:rPr>
              <w:t xml:space="preserve"> </w:t>
            </w:r>
            <w:r>
              <w:rPr>
                <w:b/>
                <w:bCs/>
              </w:rPr>
              <w:t xml:space="preserve">08</w:t>
              <w:noBreakHyphen/>
              <w:t xml:space="preserve">2025-CV</w:t>
              <w:noBreakHyphen/>
              <w:t xml:space="preserve">02068</w:t>
            </w:r>
          </w:p>
          <w:p>
            <w:pPr>
              <w:spacing w:before="276" w:after="0" w:line="276" w:lineRule="exact"/>
              <w:ind w:left="0" w:firstLine="0"/>
              <w:jc w:val="center"/>
            </w:pPr>
            <w:r>
              <w:t xml:space="preserve">Wano</w:t>
            </w:r>
            <w:r>
              <w:t xml:space="preserve"> </w:t>
            </w:r>
            <w:r>
              <w:t xml:space="preserve">Township,</w:t>
            </w:r>
            <w:r>
              <w:t xml:space="preserve"> </w:t>
            </w:r>
            <w:r>
              <w:t xml:space="preserve">Willowbank</w:t>
            </w:r>
            <w:r>
              <w:t xml:space="preserve"> </w:t>
            </w:r>
            <w:r>
              <w:t xml:space="preserve">Township,</w:t>
            </w:r>
            <w:r>
              <w:t xml:space="preserve"> </w:t>
            </w:r>
            <w:r>
              <w:t xml:space="preserve">Russell</w:t>
            </w:r>
            <w:r>
              <w:t xml:space="preserve"> </w:t>
            </w:r>
            <w:r>
              <w:t xml:space="preserve">Township,</w:t>
            </w:r>
            <w:r>
              <w:t xml:space="preserve"> </w:t>
            </w:r>
            <w:r>
              <w:t xml:space="preserve">Corwin</w:t>
            </w:r>
            <w:r>
              <w:t xml:space="preserve"> </w:t>
            </w:r>
            <w:r>
              <w:t xml:space="preserve">Township,</w:t>
            </w:r>
            <w:r>
              <w:t xml:space="preserve"> </w:t>
            </w:r>
            <w:r>
              <w:t xml:space="preserve">Valley</w:t>
            </w:r>
            <w:r>
              <w:t xml:space="preserve"> </w:t>
            </w:r>
            <w:r>
              <w:t xml:space="preserve">Township,</w:t>
            </w:r>
            <w:r>
              <w:t xml:space="preserve"> </w:t>
            </w:r>
            <w:r>
              <w:t xml:space="preserve">Mike</w:t>
            </w:r>
            <w:r>
              <w:t xml:space="preserve"> </w:t>
            </w:r>
            <w:r>
              <w:t xml:space="preserve">and</w:t>
            </w:r>
            <w:r>
              <w:t xml:space="preserve"> </w:t>
            </w:r>
            <w:r>
              <w:t xml:space="preserve">Patty</w:t>
            </w:r>
            <w:r>
              <w:t xml:space="preserve"> </w:t>
            </w:r>
            <w:r>
              <w:t xml:space="preserve">Bartel,</w:t>
            </w:r>
            <w:r>
              <w:t xml:space="preserve"> </w:t>
            </w:r>
            <w:r>
              <w:t xml:space="preserve">Richard</w:t>
            </w:r>
            <w:r>
              <w:t xml:space="preserve"> </w:t>
            </w:r>
            <w:r>
              <w:t xml:space="preserve">and</w:t>
            </w:r>
            <w:r>
              <w:t xml:space="preserve"> </w:t>
            </w:r>
            <w:r>
              <w:t xml:space="preserve">Susan</w:t>
            </w:r>
            <w:r>
              <w:t xml:space="preserve"> </w:t>
            </w:r>
            <w:r>
              <w:t xml:space="preserve">R.</w:t>
            </w:r>
            <w:r>
              <w:t xml:space="preserve"> </w:t>
            </w:r>
            <w:r>
              <w:t xml:space="preserve">Long,</w:t>
            </w:r>
            <w:r>
              <w:t xml:space="preserve"> </w:t>
            </w:r>
            <w:r>
              <w:t xml:space="preserve">Steven</w:t>
            </w:r>
            <w:r>
              <w:t xml:space="preserve"> </w:t>
            </w:r>
            <w:r>
              <w:t xml:space="preserve">and</w:t>
            </w:r>
            <w:r>
              <w:t xml:space="preserve"> </w:t>
            </w:r>
            <w:r>
              <w:t xml:space="preserve">Julia</w:t>
            </w:r>
            <w:r>
              <w:t xml:space="preserve"> </w:t>
            </w:r>
            <w:r>
              <w:t xml:space="preserve">Nelson,</w:t>
            </w:r>
            <w:r>
              <w:t xml:space="preserve"> </w:t>
            </w:r>
            <w:r>
              <w:t xml:space="preserve">Phyllis</w:t>
            </w:r>
            <w:r>
              <w:t xml:space="preserve"> </w:t>
            </w:r>
            <w:r>
              <w:t xml:space="preserve">P.</w:t>
            </w:r>
            <w:r>
              <w:t xml:space="preserve"> </w:t>
            </w:r>
            <w:r>
              <w:t xml:space="preserve">Otterness</w:t>
            </w:r>
            <w:r>
              <w:t xml:space="preserve"> </w:t>
            </w:r>
            <w:r>
              <w:t xml:space="preserve">and</w:t>
            </w:r>
            <w:r>
              <w:t xml:space="preserve"> </w:t>
            </w:r>
            <w:r>
              <w:t xml:space="preserve">Patricia</w:t>
            </w:r>
            <w:r>
              <w:t xml:space="preserve"> </w:t>
            </w:r>
            <w:r>
              <w:t xml:space="preserve">A.</w:t>
            </w:r>
            <w:r>
              <w:t xml:space="preserve"> </w:t>
            </w:r>
            <w:r>
              <w:t xml:space="preserve">Vick,</w:t>
            </w:r>
            <w:r>
              <w:t xml:space="preserve"> </w:t>
            </w:r>
            <w:r>
              <w:t xml:space="preserve">Brandon</w:t>
            </w:r>
            <w:r>
              <w:t xml:space="preserve"> </w:t>
            </w:r>
            <w:r>
              <w:t xml:space="preserve">and</w:t>
            </w:r>
            <w:r>
              <w:t xml:space="preserve"> </w:t>
            </w:r>
            <w:r>
              <w:t xml:space="preserve">Tausha</w:t>
            </w:r>
            <w:r>
              <w:t xml:space="preserve"> </w:t>
            </w:r>
            <w:r>
              <w:t xml:space="preserve">Schweigert,</w:t>
            </w:r>
            <w:r>
              <w:t xml:space="preserve"> </w:t>
            </w:r>
            <w:r>
              <w:t xml:space="preserve">Shockman</w:t>
            </w:r>
            <w:r>
              <w:t xml:space="preserve"> </w:t>
            </w:r>
            <w:r>
              <w:t xml:space="preserve">Farm</w:t>
            </w:r>
            <w:r>
              <w:t xml:space="preserve"> </w:t>
            </w:r>
            <w:r>
              <w:t xml:space="preserve">Partnership,</w:t>
            </w:r>
            <w:r>
              <w:t xml:space="preserve"> </w:t>
            </w:r>
            <w:r>
              <w:t xml:space="preserve">LLLP,</w:t>
            </w:r>
            <w:r>
              <w:t xml:space="preserve"> </w:t>
            </w:r>
            <w:r>
              <w:t xml:space="preserve">Debra</w:t>
            </w:r>
            <w:r>
              <w:t xml:space="preserve"> </w:t>
            </w:r>
            <w:r>
              <w:t xml:space="preserve">Sue</w:t>
            </w:r>
            <w:r>
              <w:t xml:space="preserve"> </w:t>
            </w:r>
            <w:r>
              <w:t xml:space="preserve">Wald,</w:t>
            </w:r>
            <w:r>
              <w:t xml:space="preserve"> </w:t>
            </w:r>
            <w:r>
              <w:t xml:space="preserve">Lucas</w:t>
            </w:r>
            <w:r>
              <w:t xml:space="preserve"> </w:t>
            </w:r>
            <w:r>
              <w:t xml:space="preserve">and</w:t>
            </w:r>
            <w:r>
              <w:t xml:space="preserve"> </w:t>
            </w:r>
            <w:r>
              <w:t xml:space="preserve">Jill</w:t>
            </w:r>
            <w:r>
              <w:t xml:space="preserve"> </w:t>
            </w:r>
            <w:r>
              <w:t xml:space="preserve">Wald,</w:t>
            </w:r>
            <w:r>
              <w:t xml:space="preserve"> </w:t>
            </w:r>
            <w:r>
              <w:t xml:space="preserve">Tim</w:t>
            </w:r>
            <w:r>
              <w:t xml:space="preserve"> </w:t>
            </w:r>
            <w:r>
              <w:t xml:space="preserve">Leppert,</w:t>
            </w:r>
            <w:r>
              <w:t xml:space="preserve"> </w:t>
            </w:r>
            <w:r>
              <w:t xml:space="preserve">Orr</w:t>
            </w:r>
            <w:r>
              <w:t xml:space="preserve"> </w:t>
            </w:r>
            <w:r>
              <w:t xml:space="preserve">Farms,</w:t>
            </w:r>
            <w:r>
              <w:t xml:space="preserve"> </w:t>
            </w:r>
            <w:r>
              <w:t xml:space="preserve">Steve</w:t>
            </w:r>
            <w:r>
              <w:t xml:space="preserve"> </w:t>
            </w:r>
            <w:r>
              <w:t xml:space="preserve">M.</w:t>
            </w:r>
            <w:r>
              <w:t xml:space="preserve"> </w:t>
            </w:r>
            <w:r>
              <w:t xml:space="preserve">and</w:t>
            </w:r>
            <w:r>
              <w:t xml:space="preserve"> </w:t>
            </w:r>
            <w:r>
              <w:t xml:space="preserve">Sandra</w:t>
            </w:r>
            <w:r>
              <w:t xml:space="preserve"> </w:t>
            </w:r>
            <w:r>
              <w:t xml:space="preserve">J.</w:t>
            </w:r>
            <w:r>
              <w:t xml:space="preserve"> </w:t>
            </w:r>
            <w:r>
              <w:t xml:space="preserve">Rupp,</w:t>
            </w:r>
            <w:r>
              <w:t xml:space="preserve"> </w:t>
            </w:r>
            <w:r>
              <w:t xml:space="preserve">David</w:t>
            </w:r>
            <w:r>
              <w:t xml:space="preserve"> </w:t>
            </w:r>
            <w:r>
              <w:t xml:space="preserve">A.</w:t>
            </w:r>
            <w:r>
              <w:t xml:space="preserve"> </w:t>
            </w:r>
            <w:r>
              <w:t xml:space="preserve">and</w:t>
            </w:r>
            <w:r>
              <w:t xml:space="preserve"> </w:t>
            </w:r>
            <w:r>
              <w:t xml:space="preserve">Denette</w:t>
            </w:r>
            <w:r>
              <w:t xml:space="preserve"> </w:t>
            </w:r>
            <w:r>
              <w:t xml:space="preserve">M.</w:t>
            </w:r>
            <w:r>
              <w:t xml:space="preserve"> </w:t>
            </w:r>
            <w:r>
              <w:t xml:space="preserve">Schweigert,</w:t>
            </w:r>
            <w:r>
              <w:t xml:space="preserve"> </w:t>
            </w:r>
            <w:r>
              <w:t xml:space="preserve">Allen</w:t>
            </w:r>
            <w:r>
              <w:t xml:space="preserve"> </w:t>
            </w:r>
            <w:r>
              <w:t xml:space="preserve">D.</w:t>
            </w:r>
            <w:r>
              <w:t xml:space="preserve"> </w:t>
            </w:r>
            <w:r>
              <w:t xml:space="preserve">and</w:t>
            </w:r>
            <w:r>
              <w:t xml:space="preserve"> </w:t>
            </w:r>
            <w:r>
              <w:t xml:space="preserve">Inna</w:t>
            </w:r>
            <w:r>
              <w:t xml:space="preserve"> </w:t>
            </w:r>
            <w:r>
              <w:t xml:space="preserve">N.</w:t>
            </w:r>
            <w:r>
              <w:t xml:space="preserve"> </w:t>
            </w:r>
            <w:r>
              <w:t xml:space="preserve">Swiontek,</w:t>
            </w:r>
            <w:r>
              <w:t xml:space="preserve"> </w:t>
            </w:r>
            <w:r>
              <w:t xml:space="preserve">David</w:t>
            </w:r>
            <w:r>
              <w:t xml:space="preserve"> </w:t>
            </w:r>
            <w:r>
              <w:t xml:space="preserve">and</w:t>
            </w:r>
            <w:r>
              <w:t xml:space="preserve"> </w:t>
            </w:r>
            <w:r>
              <w:t xml:space="preserve">Holly</w:t>
            </w:r>
            <w:r>
              <w:t xml:space="preserve"> </w:t>
            </w:r>
            <w:r>
              <w:t xml:space="preserve">Wald,</w:t>
            </w:r>
            <w:r>
              <w:t xml:space="preserve"> </w:t>
            </w:r>
            <w:r>
              <w:t xml:space="preserve">Weston</w:t>
            </w:r>
            <w:r>
              <w:t xml:space="preserve"> </w:t>
            </w:r>
            <w:r>
              <w:t xml:space="preserve">Wald,</w:t>
            </w:r>
            <w:r>
              <w:t xml:space="preserve"> </w:t>
            </w:r>
            <w:r>
              <w:t xml:space="preserve">and</w:t>
            </w:r>
            <w:r>
              <w:t xml:space="preserve"> </w:t>
            </w:r>
            <w:r>
              <w:t xml:space="preserve">Willowbank</w:t>
            </w:r>
            <w:r>
              <w:t xml:space="preserve"> </w:t>
            </w:r>
            <w:r>
              <w:t xml:space="preserve">Hutterian</w:t>
            </w:r>
            <w:r>
              <w:t xml:space="preserve"> </w:t>
            </w:r>
            <w:r>
              <w:t xml:space="preserve">Brethren</w:t>
            </w:r>
            <w:r>
              <w:t xml:space="preserve"> </w:t>
            </w:r>
            <w:r>
              <w:t xml:space="preserve">Association,</w:t>
            </w:r>
          </w:p>
          <w:p>
            <w:pPr>
              <w:spacing w:before="276" w:after="276" w:line="276" w:lineRule="exact"/>
              <w:ind w:left="0" w:firstLine="0"/>
              <w:jc w:val="center"/>
            </w:pPr>
            <w:r>
              <w:t xml:space="preserve">Appellants,</w:t>
            </w:r>
          </w:p>
          <w:p>
            <w:pPr>
              <w:spacing w:before="276" w:after="0" w:line="276" w:lineRule="exact"/>
              <w:ind w:left="0" w:firstLine="0"/>
              <w:jc w:val="center"/>
            </w:pPr>
            <w:r>
              <w:t xml:space="preserve">v.</w:t>
            </w:r>
          </w:p>
          <w:p>
            <w:pPr>
              <w:spacing w:before="0" w:after="0" w:line="276" w:lineRule="exact"/>
              <w:ind w:left="0" w:firstLine="0"/>
              <w:jc w:val="center"/>
            </w:pPr>
            <w:r>
              <w:t xml:space="preserve">North</w:t>
            </w:r>
            <w:r>
              <w:t xml:space="preserve"> </w:t>
            </w:r>
            <w:r>
              <w:t xml:space="preserve">Dakota</w:t>
            </w:r>
            <w:r>
              <w:t xml:space="preserve"> </w:t>
            </w:r>
            <w:r>
              <w:t xml:space="preserve">Public</w:t>
            </w:r>
            <w:r>
              <w:t xml:space="preserve"> </w:t>
            </w:r>
            <w:r>
              <w:t xml:space="preserve">Service</w:t>
            </w:r>
            <w:r>
              <w:t xml:space="preserve"> </w:t>
            </w:r>
            <w:r>
              <w:t xml:space="preserve">Commission,</w:t>
            </w:r>
            <w:r>
              <w:t xml:space="preserve"> </w:t>
            </w:r>
            <w:r>
              <w:t xml:space="preserve">Otter</w:t>
            </w:r>
            <w:r>
              <w:t xml:space="preserve"> </w:t>
            </w:r>
            <w:r>
              <w:t xml:space="preserve">Tail</w:t>
            </w:r>
            <w:r>
              <w:t xml:space="preserve"> </w:t>
            </w:r>
            <w:r>
              <w:t xml:space="preserve">Power</w:t>
            </w:r>
            <w:r>
              <w:t xml:space="preserve"> </w:t>
            </w:r>
            <w:r>
              <w:t xml:space="preserve">Company,</w:t>
            </w:r>
            <w:r>
              <w:t xml:space="preserve"> </w:t>
            </w:r>
            <w:r>
              <w:t xml:space="preserve">and</w:t>
            </w:r>
            <w:r>
              <w:t xml:space="preserve"> </w:t>
            </w:r>
            <w:r>
              <w:t xml:space="preserve">Montana-Dakota</w:t>
            </w:r>
            <w:r>
              <w:t xml:space="preserve"> </w:t>
            </w:r>
            <w:r>
              <w:t xml:space="preserve">Utilities</w:t>
            </w:r>
            <w:r>
              <w:t xml:space="preserve"> </w:t>
            </w:r>
            <w:r>
              <w:t xml:space="preserve">Co.,</w:t>
            </w:r>
          </w:p>
          <w:p>
            <w:pPr>
              <w:spacing w:before="276" w:after="276" w:line="276" w:lineRule="exact"/>
              <w:ind w:left="0" w:firstLine="0"/>
              <w:jc w:val="center"/>
            </w:pPr>
            <w:r>
              <w:t xml:space="preserve">Appellees.</w:t>
            </w:r>
          </w:p>
          <w:p>
            <w:pPr>
              <w:spacing w:before="576" w:after="0" w:line="276" w:lineRule="exact"/>
              <w:ind w:left="0" w:firstLine="0"/>
              <w:jc w:val="center"/>
            </w:pPr>
            <w:r>
              <w:rPr>
                <w:b/>
                <w:bCs/>
              </w:rPr>
              <w:t xml:space="preserve">APPELLANTS’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FULL-COURT</w:t>
            </w:r>
            <w:r>
              <w:rPr>
                <w:b/>
                <w:bCs/>
              </w:rPr>
              <w:t xml:space="preserve"> </w:t>
            </w:r>
            <w:r>
              <w:rPr>
                <w:b/>
                <w:bCs/>
              </w:rPr>
              <w:t xml:space="preserve">REVIEW</w:t>
            </w:r>
            <w:r>
              <w:rPr>
                <w:b/>
                <w:bCs/>
              </w:rPr>
              <w:t xml:space="preserve"> </w:t>
            </w:r>
            <w:r>
              <w:rPr>
                <w:b/>
                <w:bCs/>
              </w:rPr>
              <w:t xml:space="preserve">OF</w:t>
            </w:r>
            <w:r>
              <w:rPr>
                <w:b/>
                <w:bCs/>
              </w:rPr>
              <w:t xml:space="preserve"> </w:t>
            </w:r>
            <w:r>
              <w:rPr>
                <w:b/>
                <w:bCs/>
              </w:rPr>
              <w:t xml:space="preserve">SINGLE-JUSTICE</w:t>
            </w:r>
            <w:r>
              <w:rPr>
                <w:b/>
                <w:bCs/>
              </w:rPr>
              <w:t xml:space="preserve"> </w:t>
            </w:r>
            <w:r>
              <w:rPr>
                <w:b/>
                <w:bCs/>
              </w:rPr>
              <w:t xml:space="preserve">ORDERS</w:t>
            </w:r>
            <w:r>
              <w:rPr>
                <w:b/>
                <w:bCs/>
              </w:rPr>
              <w:t xml:space="preserve"> </w:t>
            </w:r>
            <w:r>
              <w:rPr>
                <w:b/>
                <w:bCs/>
              </w:rPr>
              <w:t xml:space="preserve">DENYING</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IN-PERSON</w:t>
            </w:r>
            <w:r>
              <w:rPr>
                <w:b/>
                <w:bCs/>
              </w:rPr>
              <w:t xml:space="preserve"> </w:t>
            </w:r>
            <w:r>
              <w:rPr>
                <w:b/>
                <w:bCs/>
              </w:rPr>
              <w:t xml:space="preserve">ORAL</w:t>
            </w:r>
            <w:r>
              <w:rPr>
                <w:b/>
                <w:bCs/>
              </w:rPr>
              <w:t xml:space="preserve"> </w:t>
            </w:r>
            <w:r>
              <w:rPr>
                <w:b/>
                <w:bCs/>
              </w:rPr>
              <w:t xml:space="preserve">ARGUMENT</w:t>
            </w:r>
            <w:r>
              <w:rPr>
                <w:b/>
                <w:bCs/>
              </w:rPr>
              <w:t xml:space="preserve"> </w:t>
            </w:r>
            <w:r>
              <w:rPr>
                <w:b/>
                <w:bCs/>
              </w:rPr>
              <w:t xml:space="preserve">AND</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LEAVE</w:t>
            </w:r>
            <w:r>
              <w:rPr>
                <w:b/>
                <w:bCs/>
              </w:rPr>
              <w:t xml:space="preserve"> </w:t>
            </w:r>
            <w:r>
              <w:rPr>
                <w:b/>
                <w:bCs/>
              </w:rPr>
              <w:t xml:space="preserve">TO</w:t>
            </w:r>
            <w:r>
              <w:rPr>
                <w:b/>
                <w:bCs/>
              </w:rPr>
              <w:t xml:space="preserve"> </w:t>
            </w:r>
            <w:r>
              <w:rPr>
                <w:b/>
                <w:bCs/>
              </w:rPr>
              <w:t xml:space="preserve">FILE</w:t>
            </w:r>
            <w:r>
              <w:rPr>
                <w:b/>
                <w:bCs/>
              </w:rPr>
              <w:t xml:space="preserve"> </w:t>
            </w:r>
            <w:r>
              <w:rPr>
                <w:b/>
                <w:bCs/>
              </w:rPr>
              <w:t xml:space="preserve">REPLY</w:t>
            </w:r>
          </w:p>
          <w:p>
            <w:pPr>
              <w:spacing w:before="0" w:after="0" w:line="276" w:lineRule="exact"/>
              <w:ind w:left="0" w:firstLine="0"/>
              <w:jc w:val="center"/>
            </w:pPr>
            <w:r>
              <w:rPr>
                <w:b/>
                <w:bCs/>
              </w:rPr>
              <w:t xml:space="preserve">(N.D.R.App.P.</w:t>
            </w:r>
            <w:r>
              <w:rPr>
                <w:b/>
                <w:bCs/>
              </w:rPr>
              <w:t xml:space="preserve"> </w:t>
            </w:r>
            <w:r>
              <w:rPr>
                <w:b/>
                <w:bCs/>
              </w:rPr>
              <w:t xml:space="preserve">27(c),</w:t>
            </w:r>
            <w:r>
              <w:rPr>
                <w:b/>
                <w:bCs/>
              </w:rPr>
              <w:t xml:space="preserve"> </w:t>
            </w:r>
            <w:r>
              <w:rPr>
                <w:b/>
                <w:bCs/>
              </w:rPr>
              <w:t xml:space="preserve">27(d),</w:t>
            </w:r>
            <w:r>
              <w:rPr>
                <w:b/>
                <w:bCs/>
              </w:rPr>
              <w:t xml:space="preserve"> </w:t>
            </w:r>
            <w:r>
              <w:rPr>
                <w:b/>
                <w:bCs/>
              </w:rPr>
              <w:t xml:space="preserve">34)</w:t>
            </w:r>
          </w:p>
        </w:tc>
      </w:tr>
    </w:tbl>
    <w:p>
      <w:pPr>
        <w:spacing w:before="0" w:after="0" w:line="288" w:lineRule="exact"/>
      </w:pPr>
    </w:p>
    <w:p>
      <w:pPr>
        <w:pStyle w:val="BodyText"/>
      </w:pPr>
      <w:r>
        <w:t xml:space="preserve">[¶1] Appellants respectfully move for full-court review of the May 28, 2026 single-justice orders denying Appellants’ Motion for In-Person Oral Argument, Doc. 60, and Appellants’ Motion for Leave to File Reply, Doc. 64.</w:t>
      </w:r>
    </w:p>
    <w:p>
      <w:pPr>
        <w:pStyle w:val="BodyText"/>
      </w:pPr>
      <w:r>
        <w:t xml:space="preserve">[¶2] The docket reflects that both motions were denied by an individual justice after 5:00 p.m. on May 28, 2026. The notice and docket entry do not identify the individual justice and do not state the reasons for the rulings.</w:t>
      </w:r>
    </w:p>
    <w:p>
      <w:pPr>
        <w:pStyle w:val="BodyText"/>
      </w:pPr>
      <w:r>
        <w:t xml:space="preserve">[¶3] Rule 27(d) provides that a single justice may entertain and grant or deny motions, subject to specified limitations, and further provides that</w:t>
      </w:r>
      <w:r>
        <w:t xml:space="preserve"> </w:t>
      </w:r>
      <w:r>
        <w:t xml:space="preserve">“[t]he action of a single justice may be reviewed by the court.”</w:t>
      </w:r>
      <w:r>
        <w:t xml:space="preserve"> </w:t>
      </w:r>
      <w:r>
        <w:t xml:space="preserve">N.D.R.App.P. 27(d). Rule 27(c) also permits a party adversely affected by action on a procedural motion to request reconsideration, vacation, or modification of that action. Appellants seek full-court review, vacation, or modification under those provisions.</w:t>
      </w:r>
    </w:p>
    <w:p>
      <w:pPr>
        <w:pStyle w:val="BodyText"/>
      </w:pPr>
      <w:r>
        <w:t xml:space="preserve">[¶4] Appellants request full-court review because the rulings deny in-person oral argument in a significant public appeal despite Appellants’ objection to reliable-electronic-means argument and despite the Court’s public guidance stating that the Court’s policy is that arguments are in person unless the parties agree to use reliable electronic means.</w:t>
      </w:r>
    </w:p>
    <w:p>
      <w:pPr>
        <w:pStyle w:val="BodyText"/>
      </w:pPr>
      <w:r>
        <w:t xml:space="preserve">[¶5] Appellants do not agree to reliable-electronic-means argument in this case. The Appellants include five townships, numerous landowners, and other affected parties challenging orders of the Public Service Commission concerning a proposed 345 kV transmission line. The appeal presents public-law issues concerning the relationship between N.D.C.C. ch. 49</w:t>
      </w:r>
      <w:r>
        <w:noBreakHyphen/>
      </w:r>
      <w:r>
        <w:t xml:space="preserve">03 and N.D.C.C. ch. 49</w:t>
      </w:r>
      <w:r>
        <w:noBreakHyphen/>
      </w:r>
      <w:r>
        <w:t xml:space="preserve">22, the authority of the Commission, and the treatment of local governmental and landowner interests in a major transmission-line proceeding.</w:t>
      </w:r>
    </w:p>
    <w:p>
      <w:pPr>
        <w:pStyle w:val="BodyText"/>
      </w:pPr>
      <w:r>
        <w:t xml:space="preserve">[¶6] The Public Service Commission did not oppose in-person oral argument if it can occur in June.</w:t>
      </w:r>
      <w:r>
        <w:t xml:space="preserve"> </w:t>
      </w:r>
      <w:r>
        <w:rPr>
          <w:i/>
          <w:iCs/>
        </w:rPr>
        <w:t xml:space="preserve">See</w:t>
      </w:r>
      <w:r>
        <w:t xml:space="preserve"> </w:t>
      </w:r>
      <w:r>
        <w:t xml:space="preserve">PSC Response, Doc. 62. Its objection was limited to resetting the argument to September if no June in-person date is available. The Utilities did not file a response opposing in-person argument.</w:t>
      </w:r>
    </w:p>
    <w:p>
      <w:pPr>
        <w:pStyle w:val="BodyText"/>
      </w:pPr>
      <w:r>
        <w:t xml:space="preserve">[¶7] The Commission’s efficiency concern does not justify denying in-person argument. The appeal is fully briefed. The requested relief concerns only the manner and date of oral argument. A modest adjustment to preserve in-person argument is appropriate where Appellants do not agree to reliable electronic means and where affected township and landowner parties have a strong interest in attending and observing the argument in person.</w:t>
      </w:r>
    </w:p>
    <w:p>
      <w:pPr>
        <w:pStyle w:val="BodyText"/>
      </w:pPr>
      <w:r>
        <w:t xml:space="preserve">[¶8] Nor should the manner of argument be controlled by avoidable or duplicative scheduling conflicts. Appellants understand from the scheduling process that remaining June in-person dates may have been rendered unavailable by conflict submissions from Appellees’ counsel. Appellants respectfully request that the full Court review the scheduling issue and determine whether any asserted conflict should prevent in-person argument in June, including whether at least one counsel of record for each Appellee can appear on an available in-person date.</w:t>
      </w:r>
    </w:p>
    <w:p>
      <w:pPr>
        <w:pStyle w:val="BodyText"/>
      </w:pPr>
      <w:r>
        <w:t xml:space="preserve">[¶9] This request is not made for delay. Appellants seek in-person argument because of the importance of the appeal, the public interest in the case, the number and nature of the affected Appellants, and the Court’s stated policy favoring in-person argument absent agreement to reliable electronic means.</w:t>
      </w:r>
    </w:p>
    <w:p>
      <w:pPr>
        <w:pStyle w:val="BodyText"/>
      </w:pPr>
      <w:r>
        <w:t xml:space="preserve">[¶10] Appellants also request review of the denial of leave to file a short reply. The proposed reply was directed to the limited issue raised by the Commission’s response: whether scheduling concerns should cause the Court’s ordinary in-person argument policy to yield where Appellants have not agreed to reliable electronic means. The proposed reply did not seek to expand the issues.</w:t>
      </w:r>
    </w:p>
    <w:p>
      <w:pPr>
        <w:pStyle w:val="BodyText"/>
      </w:pPr>
      <w:r>
        <w:t xml:space="preserve">[¶11] Appellants respectfully request that the full Court vacate or modify the single-justice orders, grant leave to file Appellants’ reply, and grant Appellants’ Motion for In-Person Oral Argument.</w:t>
      </w:r>
    </w:p>
    <w:p>
      <w:pPr>
        <w:pStyle w:val="BodyText"/>
      </w:pPr>
      <w:r>
        <w:t xml:space="preserve">[¶12] Appellants further request that the Court set this appeal for in-person oral argument in Bismarck on the earliest available in-person date, including any June date on which at least one counsel of record for each Appellee can appear, or, if no June in-person date is available, the next available in-person calendar date.</w:t>
      </w:r>
    </w:p>
    <w:p>
      <w:pPr>
        <w:keepNext/>
        <w:keepLines/>
        <w:spacing w:before="288" w:after="240" w:line="276" w:lineRule="exact"/>
        <w:ind w:left="0" w:firstLine="0"/>
        <w:jc w:val="center"/>
      </w:pPr>
      <w:r>
        <w:rPr>
          <w:b/>
          <w:bCs/>
        </w:rPr>
        <w:t xml:space="preserve">CONCLUSION</w:t>
      </w:r>
    </w:p>
    <w:p>
      <w:pPr>
        <w:pStyle w:val="BodyText"/>
      </w:pPr>
      <w:r>
        <w:t xml:space="preserve">[¶13] For these reasons, Appellants respectfully request full-court review under N.D.R.App.P. 27(c) and 27(d), vacation or modification of the single-justice orders entered May 28, 2026, leave to file Appellants’ reply, and an order setting this appeal for in-person oral argument in Bismarck on the earliest available in-person date.</w:t>
      </w:r>
    </w:p>
    <w:p>
      <w:pPr>
        <w:spacing w:before="0" w:after="0" w:line="57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0" w:firstLine="0"/>
              <w:jc w:val="left"/>
            </w:pPr>
            <w:r>
              <w:t xml:space="preserve">Dated:</w:t>
            </w:r>
            <w:r>
              <w:t xml:space="preserve"> </w:t>
            </w:r>
            <w:r>
              <w:t xml:space="preserve">May</w:t>
            </w:r>
            <w:r>
              <w:t xml:space="preserve"> </w:t>
            </w:r>
            <w:r>
              <w:t xml:space="preserve">29,</w:t>
            </w:r>
            <w:r>
              <w:t xml:space="preserve"> </w:t>
            </w:r>
            <w:r>
              <w:t xml:space="preserve">2026</w:t>
            </w:r>
          </w:p>
          <w:p>
            <w:pPr>
              <w:spacing w:before="0" w:after="0" w:line="19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200"/>
              <w:gridCol w:w="4440"/>
            </w:tblGrid>
            <w:tr>
              <w:trPr>
                <w:cantSplit/>
              </w:trPr>
              <w:tc>
                <w:tcPr>
                  <w:tcW w:w="4200" w:type="dxa"/>
                </w:tcPr>
                <w:p>
                  <w:pPr>
                    <w:spacing w:before="0" w:after="0" w:line="276" w:lineRule="exact"/>
                    <w:ind w:left="0" w:firstLine="0"/>
                    <w:jc w:val="left"/>
                  </w:pPr>
                  <w:r>
                    <w:t xml:space="preserve">Steven</w:t>
                  </w:r>
                  <w:r>
                    <w:t xml:space="preserve"> </w:t>
                  </w:r>
                  <w:r>
                    <w:t xml:space="preserve">J.</w:t>
                  </w:r>
                  <w:r>
                    <w:t xml:space="preserve"> </w:t>
                  </w:r>
                  <w:r>
                    <w:t xml:space="preserve">Leibel</w:t>
                  </w:r>
                  <w:r>
                    <w:t xml:space="preserve"> </w:t>
                  </w:r>
                  <w:r>
                    <w:t xml:space="preserve">(ND#</w:t>
                  </w:r>
                  <w:r>
                    <w:t xml:space="preserve"> </w:t>
                  </w:r>
                  <w:r>
                    <w:t xml:space="preserve">07361)</w:t>
                  </w:r>
                </w:p>
                <w:p>
                  <w:pPr>
                    <w:spacing w:before="0" w:after="0" w:line="276" w:lineRule="exact"/>
                    <w:ind w:left="0" w:firstLine="0"/>
                    <w:jc w:val="left"/>
                  </w:pPr>
                  <w:r>
                    <w:t xml:space="preserve">KNOLL</w:t>
                  </w:r>
                  <w:r>
                    <w:t xml:space="preserve"> </w:t>
                  </w:r>
                  <w:r>
                    <w:t xml:space="preserve">LEIBEL</w:t>
                  </w:r>
                  <w:r>
                    <w:t xml:space="preserve"> </w:t>
                  </w:r>
                  <w:r>
                    <w:t xml:space="preserve">LLP</w:t>
                  </w:r>
                </w:p>
                <w:p>
                  <w:pPr>
                    <w:spacing w:before="0" w:after="0" w:line="276" w:lineRule="exact"/>
                    <w:ind w:left="0" w:firstLine="0"/>
                    <w:jc w:val="left"/>
                  </w:pPr>
                  <w:r>
                    <w:t xml:space="preserve">P.</w:t>
                  </w:r>
                  <w:r>
                    <w:t xml:space="preserve"> </w:t>
                  </w:r>
                  <w:r>
                    <w:t xml:space="preserve">O.</w:t>
                  </w:r>
                  <w:r>
                    <w:t xml:space="preserve"> </w:t>
                  </w:r>
                  <w:r>
                    <w:t xml:space="preserve">Box</w:t>
                  </w:r>
                  <w:r>
                    <w:t xml:space="preserve"> </w:t>
                  </w:r>
                  <w:r>
                    <w:t xml:space="preserve">858</w:t>
                  </w:r>
                </w:p>
                <w:p>
                  <w:pPr>
                    <w:spacing w:before="0" w:after="0" w:line="276" w:lineRule="exact"/>
                    <w:ind w:left="0" w:firstLine="0"/>
                    <w:jc w:val="left"/>
                  </w:pPr>
                  <w:r>
                    <w:t xml:space="preserve">1915</w:t>
                  </w:r>
                  <w:r>
                    <w:t xml:space="preserve"> </w:t>
                  </w:r>
                  <w:r>
                    <w:t xml:space="preserve">N.</w:t>
                  </w:r>
                  <w:r>
                    <w:t xml:space="preserve"> </w:t>
                  </w:r>
                  <w:r>
                    <w:t xml:space="preserve">Kavaney</w:t>
                  </w:r>
                  <w:r>
                    <w:t xml:space="preserve"> </w:t>
                  </w:r>
                  <w:r>
                    <w:t xml:space="preserve">Drive,</w:t>
                  </w:r>
                  <w:r>
                    <w:t xml:space="preserve"> </w:t>
                  </w:r>
                  <w:r>
                    <w:t xml:space="preserve">Ste.</w:t>
                  </w:r>
                  <w:r>
                    <w:t xml:space="preserve"> </w:t>
                  </w:r>
                  <w:r>
                    <w:t xml:space="preserve">3</w:t>
                  </w:r>
                </w:p>
                <w:p>
                  <w:pPr>
                    <w:spacing w:before="0" w:after="0" w:line="276" w:lineRule="exact"/>
                    <w:ind w:left="0" w:firstLine="0"/>
                    <w:jc w:val="left"/>
                  </w:pPr>
                  <w:r>
                    <w:t xml:space="preserve">Bismarck,</w:t>
                  </w:r>
                  <w:r>
                    <w:t xml:space="preserve"> </w:t>
                  </w:r>
                  <w:r>
                    <w:t xml:space="preserve">ND</w:t>
                  </w:r>
                  <w:r>
                    <w:t xml:space="preserve"> </w:t>
                  </w:r>
                  <w:r>
                    <w:t xml:space="preserve">58501</w:t>
                  </w:r>
                </w:p>
                <w:p>
                  <w:pPr>
                    <w:spacing w:before="0" w:after="0" w:line="276" w:lineRule="exact"/>
                    <w:ind w:left="0" w:firstLine="0"/>
                    <w:jc w:val="left"/>
                  </w:pPr>
                  <w:r>
                    <w:t xml:space="preserve">(701)</w:t>
                  </w:r>
                  <w:r>
                    <w:t xml:space="preserve"> </w:t>
                  </w:r>
                  <w:r>
                    <w:t xml:space="preserve">255</w:t>
                    <w:noBreakHyphen/>
                    <w:t xml:space="preserve">2010</w:t>
                  </w:r>
                </w:p>
                <w:p>
                  <w:pPr>
                    <w:spacing w:before="0" w:after="0" w:line="276" w:lineRule="exact"/>
                    <w:ind w:left="0" w:firstLine="0"/>
                    <w:jc w:val="left"/>
                  </w:pPr>
                  <w:r>
                    <w:t xml:space="preserve">steve@bismarck-attorneys.com</w:t>
                  </w:r>
                </w:p>
              </w:tc>
              <w:tc>
                <w:tcPr>
                  <w:tcW w:w="4440" w:type="dxa"/>
                  <w:tcMar>
                    <w:left w:w="240" w:type="dxa"/>
                  </w:tcMar>
                </w:tcPr>
                <w:p>
                  <w:pPr>
                    <w:spacing w:before="0" w:after="0" w:line="276" w:lineRule="exact"/>
                    <w:ind w:left="0" w:firstLine="0"/>
                    <w:jc w:val="left"/>
                  </w:pPr>
                  <w:r>
                    <w:rPr>
                      <w:u w:val="single"/>
                    </w:rPr>
                    <w:t xml:space="preserve">/s/</w:t>
                  </w:r>
                  <w:r>
                    <w:rPr>
                      <w:u w:val="single"/>
                    </w:rPr>
                    <w:t xml:space="preserve"> </w:t>
                  </w:r>
                  <w:r>
                    <w:rPr>
                      <w:u w:val="single"/>
                    </w:rPr>
                    <w:t xml:space="preserve">Douglas</w:t>
                  </w:r>
                  <w:r>
                    <w:rPr>
                      <w:u w:val="single"/>
                    </w:rPr>
                    <w:t xml:space="preserve"> </w:t>
                  </w:r>
                  <w:r>
                    <w:rPr>
                      <w:u w:val="single"/>
                    </w:rPr>
                    <w:t xml:space="preserve">J.</w:t>
                  </w:r>
                  <w:r>
                    <w:rPr>
                      <w:u w:val="single"/>
                    </w:rPr>
                    <w:t xml:space="preserve"> </w:t>
                  </w:r>
                  <w:r>
                    <w:rPr>
                      <w:u w:val="single"/>
                    </w:rPr>
                    <w:t xml:space="preserve">Nill</w:t>
                  </w:r>
                </w:p>
                <w:p>
                  <w:pPr>
                    <w:spacing w:before="0" w:after="0" w:line="276" w:lineRule="exact"/>
                    <w:ind w:left="0" w:firstLine="0"/>
                    <w:jc w:val="left"/>
                  </w:pPr>
                  <w:r>
                    <w:t xml:space="preserve">Douglas</w:t>
                  </w:r>
                  <w:r>
                    <w:t xml:space="preserve"> </w:t>
                  </w:r>
                  <w:r>
                    <w:t xml:space="preserve">J.</w:t>
                  </w:r>
                  <w:r>
                    <w:t xml:space="preserve"> </w:t>
                  </w:r>
                  <w:r>
                    <w:t xml:space="preserve">Nill</w:t>
                  </w:r>
                  <w:r>
                    <w:t xml:space="preserve"> </w:t>
                  </w:r>
                  <w:r>
                    <w:t xml:space="preserve">(ND#</w:t>
                  </w:r>
                  <w:r>
                    <w:t xml:space="preserve"> </w:t>
                  </w:r>
                  <w:r>
                    <w:t xml:space="preserve">P00392)</w:t>
                  </w:r>
                </w:p>
                <w:p>
                  <w:pPr>
                    <w:spacing w:before="0" w:after="0" w:line="276" w:lineRule="exact"/>
                    <w:ind w:left="0" w:firstLine="0"/>
                    <w:jc w:val="left"/>
                  </w:pPr>
                  <w:r>
                    <w:t xml:space="preserve">DOUGLAS</w:t>
                  </w:r>
                  <w:r>
                    <w:t xml:space="preserve"> </w:t>
                  </w:r>
                  <w:r>
                    <w:t xml:space="preserve">J.</w:t>
                  </w:r>
                  <w:r>
                    <w:t xml:space="preserve"> </w:t>
                  </w:r>
                  <w:r>
                    <w:t xml:space="preserve">NILL,</w:t>
                  </w:r>
                  <w:r>
                    <w:t xml:space="preserve"> </w:t>
                  </w:r>
                  <w:r>
                    <w:t xml:space="preserve">PLLC</w:t>
                  </w:r>
                </w:p>
                <w:p>
                  <w:pPr>
                    <w:spacing w:before="0" w:after="0" w:line="276" w:lineRule="exact"/>
                    <w:ind w:left="0" w:firstLine="0"/>
                    <w:jc w:val="left"/>
                  </w:pPr>
                  <w:r>
                    <w:t xml:space="preserve">1850</w:t>
                  </w:r>
                  <w:r>
                    <w:t xml:space="preserve"> </w:t>
                  </w:r>
                  <w:r>
                    <w:t xml:space="preserve">Fifth</w:t>
                  </w:r>
                  <w:r>
                    <w:t xml:space="preserve"> </w:t>
                  </w:r>
                  <w:r>
                    <w:t xml:space="preserve">Street</w:t>
                  </w:r>
                  <w:r>
                    <w:t xml:space="preserve"> </w:t>
                  </w:r>
                  <w:r>
                    <w:t xml:space="preserve">Towers</w:t>
                  </w:r>
                </w:p>
                <w:p>
                  <w:pPr>
                    <w:spacing w:before="0" w:after="0" w:line="276" w:lineRule="exact"/>
                    <w:ind w:left="0" w:firstLine="0"/>
                    <w:jc w:val="left"/>
                  </w:pPr>
                  <w:r>
                    <w:t xml:space="preserve">150</w:t>
                  </w:r>
                  <w:r>
                    <w:t xml:space="preserve"> </w:t>
                  </w:r>
                  <w:r>
                    <w:t xml:space="preserve">South</w:t>
                  </w:r>
                  <w:r>
                    <w:t xml:space="preserve"> </w:t>
                  </w:r>
                  <w:r>
                    <w:t xml:space="preserve">Fifth</w:t>
                  </w:r>
                  <w:r>
                    <w:t xml:space="preserve"> </w:t>
                  </w:r>
                  <w:r>
                    <w:t xml:space="preserve">Street</w:t>
                  </w:r>
                </w:p>
                <w:p>
                  <w:pPr>
                    <w:spacing w:before="0" w:after="0" w:line="276" w:lineRule="exact"/>
                    <w:ind w:left="0" w:firstLine="0"/>
                    <w:jc w:val="left"/>
                  </w:pPr>
                  <w:r>
                    <w:t xml:space="preserve">Minneapolis,</w:t>
                  </w:r>
                  <w:r>
                    <w:t xml:space="preserve"> </w:t>
                  </w:r>
                  <w:r>
                    <w:t xml:space="preserve">MN</w:t>
                  </w:r>
                  <w:r>
                    <w:t xml:space="preserve"> </w:t>
                  </w:r>
                  <w:r>
                    <w:t xml:space="preserve">55402</w:t>
                  </w:r>
                </w:p>
                <w:p>
                  <w:pPr>
                    <w:spacing w:before="0" w:after="0" w:line="276" w:lineRule="exact"/>
                    <w:ind w:left="0" w:firstLine="0"/>
                    <w:jc w:val="left"/>
                  </w:pPr>
                  <w:r>
                    <w:t xml:space="preserve">(612)</w:t>
                  </w:r>
                  <w:r>
                    <w:t xml:space="preserve"> </w:t>
                  </w:r>
                  <w:r>
                    <w:t xml:space="preserve">573</w:t>
                    <w:noBreakHyphen/>
                    <w:t xml:space="preserve">3669</w:t>
                  </w:r>
                </w:p>
                <w:p>
                  <w:pPr>
                    <w:spacing w:before="0" w:after="0" w:line="276" w:lineRule="exact"/>
                    <w:ind w:left="0" w:firstLine="0"/>
                    <w:jc w:val="left"/>
                  </w:pPr>
                  <w:r>
                    <w:t xml:space="preserve">dnill@farmlaw.com</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Appellants</w:t>
                  </w:r>
                </w:p>
              </w:tc>
            </w:tr>
          </w:tbl>
          <w:p>
            <w:pPr>
              <w:spacing w:before="0" w:after="0" w:line="1" w:lineRule="exact"/>
            </w:pPr>
          </w:p>
        </w:tc>
      </w:tr>
    </w:tbl>
    <w:sectPr>
      <w:footerReference w:type="default" r:id="rIdFooter1"/>
      <w:pgSz w:w="12240" w:h="15840"/>
      <w:pgMar w:top="1440" w:right="1440" w:bottom="1440" w:left="216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552"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76" w:after="276" w:line="276" w:lineRule="exact"/>
      <w:ind w:left="720" w:right="720" w:firstLine="0"/>
    </w:pPr>
  </w:style>
  <w:style w:type="paragraph" w:customStyle="1" w:styleId="XdQuoteFirst">
    <w:name w:val="Xd Quote First"/>
    <w:basedOn w:val="Normal"/>
    <w:qFormat/>
    <w:pPr>
      <w:spacing w:before="144" w:after="276" w:line="276" w:lineRule="exact"/>
      <w:ind w:left="720" w:right="720" w:firstLine="0"/>
    </w:pPr>
  </w:style>
  <w:style w:type="paragraph" w:customStyle="1" w:styleId="XdQuoteLast">
    <w:name w:val="Xd Quote Last"/>
    <w:basedOn w:val="Normal"/>
    <w:qFormat/>
    <w:pPr>
      <w:spacing w:before="276" w:after="240" w:line="276" w:lineRule="exact"/>
      <w:ind w:left="720" w:right="720" w:firstLine="0"/>
    </w:pPr>
  </w:style>
  <w:style w:type="paragraph" w:customStyle="1" w:styleId="XdQuoteOnly">
    <w:name w:val="Xd Quote Only"/>
    <w:basedOn w:val="Normal"/>
    <w:qFormat/>
    <w:pPr>
      <w:spacing w:before="144"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