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p>
    <w:p>
      <w:pPr>
        <w:spacing w:before="0" w:after="0" w:line="276" w:lineRule="exact"/>
        <w:ind w:left="0" w:firstLine="0"/>
        <w:jc w:val="center"/>
      </w:pPr>
      <w:r>
        <w:rPr>
          <w:b/>
          <w:bCs/>
        </w:rPr>
        <w:t xml:space="preserve">STATE</w:t>
      </w:r>
      <w:r>
        <w:rPr>
          <w:b/>
          <w:bCs/>
        </w:rPr>
        <w:t xml:space="preserve"> </w:t>
      </w:r>
      <w:r>
        <w:rPr>
          <w:b/>
          <w:bCs/>
        </w:rPr>
        <w:t xml:space="preserve">OF</w:t>
      </w:r>
      <w:r>
        <w:rPr>
          <w:b/>
          <w:bCs/>
        </w:rPr>
        <w:t xml:space="preserve"> </w:t>
      </w:r>
      <w:r>
        <w:rPr>
          <w:b/>
          <w:bCs/>
        </w:rPr>
        <w:t xml:space="preserve">NORTH</w:t>
      </w:r>
      <w:r>
        <w:rPr>
          <w:b/>
          <w:bCs/>
        </w:rPr>
        <w:t xml:space="preserve"> </w:t>
      </w:r>
      <w:r>
        <w:rPr>
          <w:b/>
          <w:bCs/>
        </w:rPr>
        <w:t xml:space="preserve">DAKOTA</w:t>
      </w:r>
    </w:p>
    <w:p>
      <w:pPr>
        <w:spacing w:before="276" w:after="0" w:line="276" w:lineRule="exact"/>
        <w:ind w:left="0" w:firstLine="0"/>
        <w:jc w:val="center"/>
      </w:pPr>
      <w:r>
        <w:rPr>
          <w:b/>
          <w:bCs/>
        </w:rPr>
        <w:t xml:space="preserve">Supreme</w:t>
      </w:r>
      <w:r>
        <w:rPr>
          <w:b/>
          <w:bCs/>
        </w:rPr>
        <w:t xml:space="preserve"> </w:t>
      </w:r>
      <w:r>
        <w:rPr>
          <w:b/>
          <w:bCs/>
        </w:rPr>
        <w:t xml:space="preserve">Court</w:t>
      </w:r>
      <w:r>
        <w:rPr>
          <w:b/>
          <w:bCs/>
        </w:rPr>
        <w:t xml:space="preserve"> </w:t>
      </w:r>
      <w:r>
        <w:rPr>
          <w:b/>
          <w:bCs/>
        </w:rPr>
        <w:t xml:space="preserve">No.</w:t>
      </w:r>
      <w:r>
        <w:rPr>
          <w:b/>
          <w:bCs/>
        </w:rPr>
        <w:t xml:space="preserve"> </w:t>
      </w:r>
      <w:r>
        <w:rPr>
          <w:b/>
          <w:bCs/>
        </w:rPr>
        <w:t xml:space="preserve">20260059</w:t>
      </w:r>
    </w:p>
    <w:p>
      <w:pPr>
        <w:spacing w:before="0" w:after="0" w:line="276" w:lineRule="exact"/>
        <w:ind w:left="0" w:firstLine="0"/>
        <w:jc w:val="center"/>
      </w:pPr>
      <w:r>
        <w:rPr>
          <w:b/>
          <w:bCs/>
        </w:rPr>
        <w:t xml:space="preserve">Burleigh</w:t>
      </w:r>
      <w:r>
        <w:rPr>
          <w:b/>
          <w:bCs/>
        </w:rPr>
        <w:t xml:space="preserve"> </w:t>
      </w:r>
      <w:r>
        <w:rPr>
          <w:b/>
          <w:bCs/>
        </w:rPr>
        <w:t xml:space="preserve">County</w:t>
      </w:r>
      <w:r>
        <w:rPr>
          <w:b/>
          <w:bCs/>
        </w:rPr>
        <w:t xml:space="preserve"> </w:t>
      </w:r>
      <w:r>
        <w:rPr>
          <w:b/>
          <w:bCs/>
        </w:rPr>
        <w:t xml:space="preserve">No.</w:t>
      </w:r>
      <w:r>
        <w:rPr>
          <w:b/>
          <w:bCs/>
        </w:rPr>
        <w:t xml:space="preserve"> </w:t>
      </w:r>
      <w:r>
        <w:rPr>
          <w:b/>
          <w:bCs/>
        </w:rPr>
        <w:t xml:space="preserve">08</w:t>
        <w:noBreakHyphen/>
        <w:t xml:space="preserve">2025-CV</w:t>
        <w:noBreakHyphen/>
        <w:t xml:space="preserve">02068</w:t>
      </w:r>
    </w:p>
    <w:p>
      <w:pPr>
        <w:spacing w:before="0" w:after="0" w:line="276" w:lineRule="exact"/>
        <w:ind w:left="0" w:firstLine="0"/>
        <w:jc w:val="center"/>
      </w:pPr>
      <w:r>
        <w:rPr>
          <w:b/>
          <w:bCs/>
        </w:rPr>
        <w:t xml:space="preserve">Hon.</w:t>
      </w:r>
      <w:r>
        <w:rPr>
          <w:b/>
          <w:bCs/>
        </w:rPr>
        <w:t xml:space="preserve"> </w:t>
      </w:r>
      <w:r>
        <w:rPr>
          <w:b/>
          <w:bCs/>
        </w:rPr>
        <w:t xml:space="preserve">Bobbi</w:t>
      </w:r>
      <w:r>
        <w:rPr>
          <w:b/>
          <w:bCs/>
        </w:rPr>
        <w:t xml:space="preserve"> </w:t>
      </w:r>
      <w:r>
        <w:rPr>
          <w:b/>
          <w:bCs/>
        </w:rPr>
        <w:t xml:space="preserve">Weiler</w:t>
      </w:r>
    </w:p>
    <w:p>
      <w:pPr>
        <w:spacing w:before="276" w:after="0" w:line="276" w:lineRule="exact"/>
        <w:ind w:left="0" w:firstLine="0"/>
        <w:jc w:val="center"/>
      </w:pPr>
      <w:r>
        <w:t xml:space="preserve">Wano</w:t>
      </w:r>
      <w:r>
        <w:t xml:space="preserve"> </w:t>
      </w:r>
      <w:r>
        <w:t xml:space="preserve">Township,</w:t>
      </w:r>
      <w:r>
        <w:t xml:space="preserve"> </w:t>
      </w:r>
      <w:r>
        <w:t xml:space="preserve">Willowbank</w:t>
      </w:r>
      <w:r>
        <w:t xml:space="preserve"> </w:t>
      </w:r>
      <w:r>
        <w:t xml:space="preserve">Township,</w:t>
      </w:r>
      <w:r>
        <w:t xml:space="preserve"> </w:t>
      </w:r>
      <w:r>
        <w:t xml:space="preserve">Russell</w:t>
      </w:r>
      <w:r>
        <w:t xml:space="preserve"> </w:t>
      </w:r>
      <w:r>
        <w:t xml:space="preserve">Township,</w:t>
      </w:r>
      <w:r>
        <w:t xml:space="preserve"> </w:t>
      </w:r>
      <w:r>
        <w:t xml:space="preserve">Corwin</w:t>
      </w:r>
      <w:r>
        <w:t xml:space="preserve"> </w:t>
      </w:r>
      <w:r>
        <w:t xml:space="preserve">Township,</w:t>
      </w:r>
      <w:r>
        <w:t xml:space="preserve"> </w:t>
      </w:r>
      <w:r>
        <w:t xml:space="preserve">Valley</w:t>
      </w:r>
      <w:r>
        <w:t xml:space="preserve"> </w:t>
      </w:r>
      <w:r>
        <w:t xml:space="preserve">Township,</w:t>
      </w:r>
      <w:r>
        <w:t xml:space="preserve"> </w:t>
      </w:r>
      <w:r>
        <w:t xml:space="preserve">Mike</w:t>
      </w:r>
      <w:r>
        <w:t xml:space="preserve"> </w:t>
      </w:r>
      <w:r>
        <w:t xml:space="preserve">and</w:t>
      </w:r>
      <w:r>
        <w:t xml:space="preserve"> </w:t>
      </w:r>
      <w:r>
        <w:t xml:space="preserve">Patty</w:t>
      </w:r>
      <w:r>
        <w:t xml:space="preserve"> </w:t>
      </w:r>
      <w:r>
        <w:t xml:space="preserve">Bartel,</w:t>
      </w:r>
      <w:r>
        <w:t xml:space="preserve"> </w:t>
      </w:r>
      <w:r>
        <w:t xml:space="preserve">Richard</w:t>
      </w:r>
      <w:r>
        <w:t xml:space="preserve"> </w:t>
      </w:r>
      <w:r>
        <w:t xml:space="preserve">and</w:t>
      </w:r>
      <w:r>
        <w:t xml:space="preserve"> </w:t>
      </w:r>
      <w:r>
        <w:t xml:space="preserve">Susan</w:t>
      </w:r>
      <w:r>
        <w:t xml:space="preserve"> </w:t>
      </w:r>
      <w:r>
        <w:t xml:space="preserve">R.</w:t>
      </w:r>
      <w:r>
        <w:t xml:space="preserve"> </w:t>
      </w:r>
      <w:r>
        <w:t xml:space="preserve">Long,</w:t>
      </w:r>
      <w:r>
        <w:t xml:space="preserve"> </w:t>
      </w:r>
      <w:r>
        <w:t xml:space="preserve">Steven</w:t>
      </w:r>
      <w:r>
        <w:t xml:space="preserve"> </w:t>
      </w:r>
      <w:r>
        <w:t xml:space="preserve">and</w:t>
      </w:r>
      <w:r>
        <w:t xml:space="preserve"> </w:t>
      </w:r>
      <w:r>
        <w:t xml:space="preserve">Julia</w:t>
      </w:r>
      <w:r>
        <w:t xml:space="preserve"> </w:t>
      </w:r>
      <w:r>
        <w:t xml:space="preserve">Nelson,</w:t>
      </w:r>
      <w:r>
        <w:t xml:space="preserve"> </w:t>
      </w:r>
      <w:r>
        <w:t xml:space="preserve">Phyllis</w:t>
      </w:r>
      <w:r>
        <w:t xml:space="preserve"> </w:t>
      </w:r>
      <w:r>
        <w:t xml:space="preserve">P.</w:t>
      </w:r>
      <w:r>
        <w:t xml:space="preserve"> </w:t>
      </w:r>
      <w:r>
        <w:t xml:space="preserve">Ottemess</w:t>
      </w:r>
      <w:r>
        <w:t xml:space="preserve"> </w:t>
      </w:r>
      <w:r>
        <w:t xml:space="preserve">and</w:t>
      </w:r>
      <w:r>
        <w:t xml:space="preserve"> </w:t>
      </w:r>
      <w:r>
        <w:t xml:space="preserve">Patricia</w:t>
      </w:r>
      <w:r>
        <w:t xml:space="preserve"> </w:t>
      </w:r>
      <w:r>
        <w:t xml:space="preserve">A.</w:t>
      </w:r>
      <w:r>
        <w:t xml:space="preserve"> </w:t>
      </w:r>
      <w:r>
        <w:t xml:space="preserve">Vick,</w:t>
      </w:r>
      <w:r>
        <w:t xml:space="preserve"> </w:t>
      </w:r>
      <w:r>
        <w:t xml:space="preserve">Brandon</w:t>
      </w:r>
      <w:r>
        <w:t xml:space="preserve"> </w:t>
      </w:r>
      <w:r>
        <w:t xml:space="preserve">and</w:t>
      </w:r>
      <w:r>
        <w:t xml:space="preserve"> </w:t>
      </w:r>
      <w:r>
        <w:t xml:space="preserve">Tausha</w:t>
      </w:r>
      <w:r>
        <w:t xml:space="preserve"> </w:t>
      </w:r>
      <w:r>
        <w:t xml:space="preserve">Schweigert,</w:t>
      </w:r>
      <w:r>
        <w:t xml:space="preserve"> </w:t>
      </w:r>
      <w:r>
        <w:t xml:space="preserve">Shockman</w:t>
      </w:r>
      <w:r>
        <w:t xml:space="preserve"> </w:t>
      </w:r>
      <w:r>
        <w:t xml:space="preserve">Farm</w:t>
      </w:r>
      <w:r>
        <w:t xml:space="preserve"> </w:t>
      </w:r>
      <w:r>
        <w:t xml:space="preserve">Partnership,</w:t>
      </w:r>
      <w:r>
        <w:t xml:space="preserve"> </w:t>
      </w:r>
      <w:r>
        <w:t xml:space="preserve">LLLP,</w:t>
      </w:r>
      <w:r>
        <w:t xml:space="preserve"> </w:t>
      </w:r>
      <w:r>
        <w:t xml:space="preserve">Debra</w:t>
      </w:r>
      <w:r>
        <w:t xml:space="preserve"> </w:t>
      </w:r>
      <w:r>
        <w:t xml:space="preserve">Sue</w:t>
      </w:r>
      <w:r>
        <w:t xml:space="preserve"> </w:t>
      </w:r>
      <w:r>
        <w:t xml:space="preserve">Wald,</w:t>
      </w:r>
      <w:r>
        <w:t xml:space="preserve"> </w:t>
      </w:r>
      <w:r>
        <w:t xml:space="preserve">Lucas</w:t>
      </w:r>
      <w:r>
        <w:t xml:space="preserve"> </w:t>
      </w:r>
      <w:r>
        <w:t xml:space="preserve">and</w:t>
      </w:r>
      <w:r>
        <w:t xml:space="preserve"> </w:t>
      </w:r>
      <w:r>
        <w:t xml:space="preserve">Jill</w:t>
      </w:r>
      <w:r>
        <w:t xml:space="preserve"> </w:t>
      </w:r>
      <w:r>
        <w:t xml:space="preserve">Wald,</w:t>
      </w:r>
      <w:r>
        <w:t xml:space="preserve"> </w:t>
      </w:r>
      <w:r>
        <w:t xml:space="preserve">Tim</w:t>
      </w:r>
      <w:r>
        <w:t xml:space="preserve"> </w:t>
      </w:r>
      <w:r>
        <w:t xml:space="preserve">Leppert,</w:t>
      </w:r>
      <w:r>
        <w:t xml:space="preserve"> </w:t>
      </w:r>
      <w:r>
        <w:t xml:space="preserve">Orr</w:t>
      </w:r>
      <w:r>
        <w:t xml:space="preserve"> </w:t>
      </w:r>
      <w:r>
        <w:t xml:space="preserve">Farms,</w:t>
      </w:r>
      <w:r>
        <w:t xml:space="preserve"> </w:t>
      </w:r>
      <w:r>
        <w:t xml:space="preserve">Steve</w:t>
      </w:r>
      <w:r>
        <w:t xml:space="preserve"> </w:t>
      </w:r>
      <w:r>
        <w:t xml:space="preserve">M.</w:t>
      </w:r>
      <w:r>
        <w:t xml:space="preserve"> </w:t>
      </w:r>
      <w:r>
        <w:t xml:space="preserve">and</w:t>
      </w:r>
      <w:r>
        <w:t xml:space="preserve"> </w:t>
      </w:r>
      <w:r>
        <w:t xml:space="preserve">Sandra</w:t>
      </w:r>
      <w:r>
        <w:t xml:space="preserve"> </w:t>
      </w:r>
      <w:r>
        <w:t xml:space="preserve">J.</w:t>
      </w:r>
      <w:r>
        <w:t xml:space="preserve"> </w:t>
      </w:r>
      <w:r>
        <w:t xml:space="preserve">Rupp,</w:t>
      </w:r>
      <w:r>
        <w:t xml:space="preserve"> </w:t>
      </w:r>
      <w:r>
        <w:t xml:space="preserve">David</w:t>
      </w:r>
      <w:r>
        <w:t xml:space="preserve"> </w:t>
      </w:r>
      <w:r>
        <w:t xml:space="preserve">A.</w:t>
      </w:r>
      <w:r>
        <w:t xml:space="preserve"> </w:t>
      </w:r>
      <w:r>
        <w:t xml:space="preserve">and</w:t>
      </w:r>
      <w:r>
        <w:t xml:space="preserve"> </w:t>
      </w:r>
      <w:r>
        <w:t xml:space="preserve">Denette</w:t>
      </w:r>
      <w:r>
        <w:t xml:space="preserve"> </w:t>
      </w:r>
      <w:r>
        <w:t xml:space="preserve">M.</w:t>
      </w:r>
      <w:r>
        <w:t xml:space="preserve"> </w:t>
      </w:r>
      <w:r>
        <w:t xml:space="preserve">Schweigert,</w:t>
      </w:r>
      <w:r>
        <w:t xml:space="preserve"> </w:t>
      </w:r>
      <w:r>
        <w:t xml:space="preserve">Allen</w:t>
      </w:r>
      <w:r>
        <w:t xml:space="preserve"> </w:t>
      </w:r>
      <w:r>
        <w:t xml:space="preserve">D.</w:t>
      </w:r>
      <w:r>
        <w:t xml:space="preserve"> </w:t>
      </w:r>
      <w:r>
        <w:t xml:space="preserve">and</w:t>
      </w:r>
      <w:r>
        <w:t xml:space="preserve"> </w:t>
      </w:r>
      <w:r>
        <w:t xml:space="preserve">Inna</w:t>
      </w:r>
      <w:r>
        <w:t xml:space="preserve"> </w:t>
      </w:r>
      <w:r>
        <w:t xml:space="preserve">N.</w:t>
      </w:r>
      <w:r>
        <w:t xml:space="preserve"> </w:t>
      </w:r>
      <w:r>
        <w:t xml:space="preserve">Swiontek,</w:t>
      </w:r>
      <w:r>
        <w:t xml:space="preserve"> </w:t>
      </w:r>
      <w:r>
        <w:t xml:space="preserve">David</w:t>
      </w:r>
      <w:r>
        <w:t xml:space="preserve"> </w:t>
      </w:r>
      <w:r>
        <w:t xml:space="preserve">and</w:t>
      </w:r>
      <w:r>
        <w:t xml:space="preserve"> </w:t>
      </w:r>
      <w:r>
        <w:t xml:space="preserve">Holly</w:t>
      </w:r>
      <w:r>
        <w:t xml:space="preserve"> </w:t>
      </w:r>
      <w:r>
        <w:t xml:space="preserve">Wald,</w:t>
      </w:r>
      <w:r>
        <w:t xml:space="preserve"> </w:t>
      </w:r>
      <w:r>
        <w:t xml:space="preserve">Weston</w:t>
      </w:r>
      <w:r>
        <w:t xml:space="preserve"> </w:t>
      </w:r>
      <w:r>
        <w:t xml:space="preserve">Wald,</w:t>
      </w:r>
      <w:r>
        <w:t xml:space="preserve"> </w:t>
      </w:r>
      <w:r>
        <w:t xml:space="preserve">and</w:t>
      </w:r>
      <w:r>
        <w:t xml:space="preserve"> </w:t>
      </w:r>
      <w:r>
        <w:t xml:space="preserve">Willowbank</w:t>
      </w:r>
      <w:r>
        <w:t xml:space="preserve"> </w:t>
      </w:r>
      <w:r>
        <w:t xml:space="preserve">Hutterian</w:t>
      </w:r>
      <w:r>
        <w:t xml:space="preserve"> </w:t>
      </w:r>
      <w:r>
        <w:t xml:space="preserve">Brethren</w:t>
      </w:r>
      <w:r>
        <w:t xml:space="preserve"> </w:t>
      </w:r>
      <w:r>
        <w:t xml:space="preserve">Association,</w:t>
      </w:r>
    </w:p>
    <w:p>
      <w:pPr>
        <w:spacing w:before="276" w:after="276" w:line="276" w:lineRule="exact"/>
        <w:ind w:left="0" w:firstLine="0"/>
        <w:jc w:val="center"/>
      </w:pPr>
      <w:r>
        <w:t xml:space="preserve">Appellants,</w:t>
      </w:r>
    </w:p>
    <w:p>
      <w:pPr>
        <w:spacing w:before="276" w:after="0" w:line="276" w:lineRule="exact"/>
        <w:ind w:left="0" w:firstLine="0"/>
        <w:jc w:val="center"/>
      </w:pPr>
      <w:r>
        <w:t xml:space="preserve">v.</w:t>
      </w:r>
    </w:p>
    <w:p>
      <w:pPr>
        <w:spacing w:before="0" w:after="0" w:line="276" w:lineRule="exact"/>
        <w:ind w:left="0" w:firstLine="0"/>
        <w:jc w:val="center"/>
      </w:pPr>
      <w:r>
        <w:t xml:space="preserve">North</w:t>
      </w:r>
      <w:r>
        <w:t xml:space="preserve"> </w:t>
      </w:r>
      <w:r>
        <w:t xml:space="preserve">Dakota</w:t>
      </w:r>
      <w:r>
        <w:t xml:space="preserve"> </w:t>
      </w:r>
      <w:r>
        <w:t xml:space="preserve">Public</w:t>
      </w:r>
      <w:r>
        <w:t xml:space="preserve"> </w:t>
      </w:r>
      <w:r>
        <w:t xml:space="preserve">Service</w:t>
      </w:r>
      <w:r>
        <w:t xml:space="preserve"> </w:t>
      </w:r>
      <w:r>
        <w:t xml:space="preserve">Commission,</w:t>
      </w:r>
      <w:r>
        <w:t xml:space="preserve"> </w:t>
      </w:r>
      <w:r>
        <w:t xml:space="preserve">Otter</w:t>
      </w:r>
      <w:r>
        <w:t xml:space="preserve"> </w:t>
      </w:r>
      <w:r>
        <w:t xml:space="preserve">Tail</w:t>
      </w:r>
      <w:r>
        <w:t xml:space="preserve"> </w:t>
      </w:r>
      <w:r>
        <w:t xml:space="preserve">Power</w:t>
      </w:r>
      <w:r>
        <w:t xml:space="preserve"> </w:t>
      </w:r>
      <w:r>
        <w:t xml:space="preserve">Company,</w:t>
      </w:r>
      <w:r>
        <w:t xml:space="preserve"> </w:t>
      </w:r>
      <w:r>
        <w:t xml:space="preserve">and</w:t>
      </w:r>
      <w:r>
        <w:t xml:space="preserve"> </w:t>
      </w:r>
      <w:r>
        <w:t xml:space="preserve">Montana-Dakota</w:t>
      </w:r>
      <w:r>
        <w:t xml:space="preserve"> </w:t>
      </w:r>
      <w:r>
        <w:t xml:space="preserve">Utilities</w:t>
      </w:r>
      <w:r>
        <w:t xml:space="preserve"> </w:t>
      </w:r>
      <w:r>
        <w:t xml:space="preserve">Co.,</w:t>
      </w:r>
    </w:p>
    <w:p>
      <w:pPr>
        <w:spacing w:before="276" w:after="276" w:line="276" w:lineRule="exact"/>
        <w:ind w:left="0" w:firstLine="0"/>
        <w:jc w:val="center"/>
      </w:pPr>
      <w:r>
        <w:t xml:space="preserve">Appellees.</w:t>
      </w:r>
    </w:p>
    <w:p>
      <w:pPr>
        <w:pBdr>
          <w:top w:val="single" w:sz="4" w:space="0" w:color="000000"/>
        </w:pBdr>
        <w:spacing w:before="276" w:after="0" w:line="1" w:lineRule="exact"/>
      </w:pPr>
    </w:p>
    <w:p>
      <w:pPr>
        <w:spacing w:before="276" w:after="0" w:line="276" w:lineRule="exact"/>
        <w:ind w:left="0" w:firstLine="0"/>
        <w:jc w:val="center"/>
      </w:pPr>
      <w:r>
        <w:t xml:space="preserve">APPEAL</w:t>
      </w:r>
      <w:r>
        <w:t xml:space="preserve"> </w:t>
      </w:r>
      <w:r>
        <w:t xml:space="preserve">FROM</w:t>
      </w:r>
      <w:r>
        <w:t xml:space="preserve"> </w:t>
      </w:r>
      <w:r>
        <w:t xml:space="preserve">JUDGMENT</w:t>
      </w:r>
      <w:r>
        <w:t xml:space="preserve"> </w:t>
      </w:r>
      <w:r>
        <w:t xml:space="preserve">ON</w:t>
      </w:r>
      <w:r>
        <w:t xml:space="preserve"> </w:t>
      </w:r>
      <w:r>
        <w:t xml:space="preserve">ADMINISTRATIVE</w:t>
      </w:r>
      <w:r>
        <w:t xml:space="preserve"> </w:t>
      </w:r>
      <w:r>
        <w:t xml:space="preserve">APPEAL</w:t>
      </w:r>
    </w:p>
    <w:p>
      <w:pPr>
        <w:pBdr>
          <w:top w:val="single" w:sz="4" w:space="0" w:color="000000"/>
        </w:pBdr>
        <w:spacing w:before="276" w:after="0" w:line="1" w:lineRule="exact"/>
      </w:pPr>
    </w:p>
    <w:p>
      <w:pPr>
        <w:spacing w:before="576" w:after="0" w:line="276" w:lineRule="exact"/>
        <w:ind w:left="0" w:firstLine="0"/>
        <w:jc w:val="center"/>
      </w:pPr>
      <w:r>
        <w:rPr>
          <w:b/>
          <w:bCs/>
        </w:rPr>
        <w:t xml:space="preserve">APPELLANTS’</w:t>
      </w:r>
      <w:r>
        <w:rPr>
          <w:b/>
          <w:bCs/>
        </w:rPr>
        <w:t xml:space="preserve"> </w:t>
      </w:r>
      <w:r>
        <w:rPr>
          <w:b/>
          <w:bCs/>
        </w:rPr>
        <w:t xml:space="preserve">REPLY</w:t>
      </w:r>
      <w:r>
        <w:rPr>
          <w:b/>
          <w:bCs/>
        </w:rPr>
        <w:t xml:space="preserve"> </w:t>
      </w:r>
      <w:r>
        <w:rPr>
          <w:b/>
          <w:bCs/>
        </w:rPr>
        <w:t xml:space="preserve">BRIEF</w:t>
      </w:r>
    </w:p>
    <w:p>
      <w:pPr>
        <w:spacing w:before="276" w:after="0" w:line="276" w:lineRule="exact"/>
        <w:ind w:left="0" w:firstLine="0"/>
        <w:jc w:val="center"/>
      </w:pPr>
      <w:r>
        <w:rPr>
          <w:b/>
          <w:bCs/>
        </w:rPr>
        <w:t xml:space="preserve">ORAL</w:t>
      </w:r>
      <w:r>
        <w:rPr>
          <w:b/>
          <w:bCs/>
        </w:rPr>
        <w:t xml:space="preserve"> </w:t>
      </w:r>
      <w:r>
        <w:rPr>
          <w:b/>
          <w:bCs/>
        </w:rPr>
        <w:t xml:space="preserve">ARGUMENT</w:t>
      </w:r>
      <w:r>
        <w:rPr>
          <w:b/>
          <w:bCs/>
        </w:rPr>
        <w:t xml:space="preserve"> </w:t>
      </w:r>
      <w:r>
        <w:rPr>
          <w:b/>
          <w:bCs/>
        </w:rPr>
        <w:t xml:space="preserve">REQUESTED</w:t>
      </w:r>
    </w:p>
    <w:p>
      <w:pPr>
        <w:spacing w:before="0" w:after="0" w:line="576"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4200"/>
        <w:gridCol w:w="4440"/>
      </w:tblGrid>
      <w:tr>
        <w:trPr>
          <w:cantSplit/>
        </w:trPr>
        <w:tc>
          <w:tcPr>
            <w:tcW w:w="4200" w:type="dxa"/>
          </w:tcPr>
          <w:p>
            <w:pPr>
              <w:spacing w:before="0" w:after="0" w:line="276" w:lineRule="exact"/>
              <w:ind w:left="0" w:firstLine="0"/>
              <w:jc w:val="left"/>
            </w:pPr>
            <w:r>
              <w:t xml:space="preserve">Steven</w:t>
            </w:r>
            <w:r>
              <w:t xml:space="preserve"> </w:t>
            </w:r>
            <w:r>
              <w:t xml:space="preserve">J.</w:t>
            </w:r>
            <w:r>
              <w:t xml:space="preserve"> </w:t>
            </w:r>
            <w:r>
              <w:t xml:space="preserve">Leibel</w:t>
            </w:r>
            <w:r>
              <w:t xml:space="preserve"> </w:t>
            </w:r>
            <w:r>
              <w:t xml:space="preserve">(ND#</w:t>
            </w:r>
            <w:r>
              <w:t xml:space="preserve"> </w:t>
            </w:r>
            <w:r>
              <w:t xml:space="preserve">07361)</w:t>
            </w:r>
          </w:p>
          <w:p>
            <w:pPr>
              <w:spacing w:before="0" w:after="0" w:line="276" w:lineRule="exact"/>
              <w:ind w:left="0" w:firstLine="0"/>
              <w:jc w:val="left"/>
            </w:pPr>
            <w:r>
              <w:t xml:space="preserve">KNOLL</w:t>
            </w:r>
            <w:r>
              <w:t xml:space="preserve"> </w:t>
            </w:r>
            <w:r>
              <w:t xml:space="preserve">LEIBEL</w:t>
            </w:r>
            <w:r>
              <w:t xml:space="preserve"> </w:t>
            </w:r>
            <w:r>
              <w:t xml:space="preserve">LLP</w:t>
            </w:r>
          </w:p>
          <w:p>
            <w:pPr>
              <w:spacing w:before="0" w:after="0" w:line="276" w:lineRule="exact"/>
              <w:ind w:left="0" w:firstLine="0"/>
              <w:jc w:val="left"/>
            </w:pPr>
            <w:r>
              <w:t xml:space="preserve">P.O.</w:t>
            </w:r>
            <w:r>
              <w:t xml:space="preserve"> </w:t>
            </w:r>
            <w:r>
              <w:t xml:space="preserve">Box</w:t>
            </w:r>
            <w:r>
              <w:t xml:space="preserve"> </w:t>
            </w:r>
            <w:r>
              <w:t xml:space="preserve">858</w:t>
            </w:r>
          </w:p>
          <w:p>
            <w:pPr>
              <w:spacing w:before="0" w:after="0" w:line="276" w:lineRule="exact"/>
              <w:ind w:left="0" w:firstLine="0"/>
              <w:jc w:val="left"/>
            </w:pPr>
            <w:r>
              <w:t xml:space="preserve">1915</w:t>
            </w:r>
            <w:r>
              <w:t xml:space="preserve"> </w:t>
            </w:r>
            <w:r>
              <w:t xml:space="preserve">N.</w:t>
            </w:r>
            <w:r>
              <w:t xml:space="preserve"> </w:t>
            </w:r>
            <w:r>
              <w:t xml:space="preserve">Kavaney</w:t>
            </w:r>
            <w:r>
              <w:t xml:space="preserve"> </w:t>
            </w:r>
            <w:r>
              <w:t xml:space="preserve">Drive,</w:t>
            </w:r>
            <w:r>
              <w:t xml:space="preserve"> </w:t>
            </w:r>
            <w:r>
              <w:t xml:space="preserve">Ste.</w:t>
            </w:r>
            <w:r>
              <w:t xml:space="preserve"> </w:t>
            </w:r>
            <w:r>
              <w:t xml:space="preserve">3</w:t>
            </w:r>
          </w:p>
          <w:p>
            <w:pPr>
              <w:spacing w:before="0" w:after="0" w:line="276" w:lineRule="exact"/>
              <w:ind w:left="0" w:firstLine="0"/>
              <w:jc w:val="left"/>
            </w:pPr>
            <w:r>
              <w:t xml:space="preserve">Bismarck,</w:t>
            </w:r>
            <w:r>
              <w:t xml:space="preserve"> </w:t>
            </w:r>
            <w:r>
              <w:t xml:space="preserve">ND</w:t>
            </w:r>
            <w:r>
              <w:t xml:space="preserve"> </w:t>
            </w:r>
            <w:r>
              <w:t xml:space="preserve">58501</w:t>
            </w:r>
          </w:p>
          <w:p>
            <w:pPr>
              <w:spacing w:before="0" w:after="0" w:line="276" w:lineRule="exact"/>
              <w:ind w:left="0" w:firstLine="0"/>
              <w:jc w:val="left"/>
            </w:pPr>
            <w:r>
              <w:t xml:space="preserve">(701)</w:t>
            </w:r>
            <w:r>
              <w:t xml:space="preserve"> </w:t>
            </w:r>
            <w:r>
              <w:t xml:space="preserve">255</w:t>
              <w:noBreakHyphen/>
              <w:t xml:space="preserve">2010</w:t>
            </w:r>
          </w:p>
          <w:p>
            <w:pPr>
              <w:spacing w:before="0" w:after="0" w:line="276" w:lineRule="exact"/>
              <w:ind w:left="0" w:firstLine="0"/>
              <w:jc w:val="left"/>
            </w:pPr>
            <w:r>
              <w:t xml:space="preserve">steve@bismarck-attomeys.com</w:t>
            </w:r>
          </w:p>
        </w:tc>
        <w:tc>
          <w:tcPr>
            <w:tcW w:w="4440" w:type="dxa"/>
            <w:tcMar>
              <w:left w:w="240" w:type="dxa"/>
            </w:tcMar>
          </w:tcPr>
          <w:p>
            <w:pPr>
              <w:spacing w:before="0" w:after="0" w:line="276" w:lineRule="exact"/>
              <w:ind w:left="0" w:firstLine="0"/>
              <w:jc w:val="left"/>
            </w:pPr>
            <w:r>
              <w:t xml:space="preserve">Douglas</w:t>
            </w:r>
            <w:r>
              <w:t xml:space="preserve"> </w:t>
            </w:r>
            <w:r>
              <w:t xml:space="preserve">J.</w:t>
            </w:r>
            <w:r>
              <w:t xml:space="preserve"> </w:t>
            </w:r>
            <w:r>
              <w:t xml:space="preserve">Nill</w:t>
            </w:r>
            <w:r>
              <w:t xml:space="preserve"> </w:t>
            </w:r>
            <w:r>
              <w:t xml:space="preserve">(ND#</w:t>
            </w:r>
            <w:r>
              <w:t xml:space="preserve"> </w:t>
            </w:r>
            <w:r>
              <w:t xml:space="preserve">P00392)</w:t>
            </w:r>
          </w:p>
          <w:p>
            <w:pPr>
              <w:spacing w:before="0" w:after="0" w:line="276" w:lineRule="exact"/>
              <w:ind w:left="0" w:firstLine="0"/>
              <w:jc w:val="left"/>
            </w:pPr>
            <w:r>
              <w:t xml:space="preserve">DOUGLAS</w:t>
            </w:r>
            <w:r>
              <w:t xml:space="preserve"> </w:t>
            </w:r>
            <w:r>
              <w:t xml:space="preserve">J.</w:t>
            </w:r>
            <w:r>
              <w:t xml:space="preserve"> </w:t>
            </w:r>
            <w:r>
              <w:t xml:space="preserve">NILL,</w:t>
            </w:r>
            <w:r>
              <w:t xml:space="preserve"> </w:t>
            </w:r>
            <w:r>
              <w:t xml:space="preserve">PLLC</w:t>
            </w:r>
          </w:p>
          <w:p>
            <w:pPr>
              <w:spacing w:before="0" w:after="0" w:line="276" w:lineRule="exact"/>
              <w:ind w:left="0" w:firstLine="0"/>
              <w:jc w:val="left"/>
            </w:pPr>
            <w:r>
              <w:t xml:space="preserve">1850</w:t>
            </w:r>
            <w:r>
              <w:t xml:space="preserve"> </w:t>
            </w:r>
            <w:r>
              <w:t xml:space="preserve">Fifth</w:t>
            </w:r>
            <w:r>
              <w:t xml:space="preserve"> </w:t>
            </w:r>
            <w:r>
              <w:t xml:space="preserve">Street</w:t>
            </w:r>
            <w:r>
              <w:t xml:space="preserve"> </w:t>
            </w:r>
            <w:r>
              <w:t xml:space="preserve">Towers</w:t>
            </w:r>
          </w:p>
          <w:p>
            <w:pPr>
              <w:spacing w:before="0" w:after="0" w:line="276" w:lineRule="exact"/>
              <w:ind w:left="0" w:firstLine="0"/>
              <w:jc w:val="left"/>
            </w:pPr>
            <w:r>
              <w:t xml:space="preserve">150</w:t>
            </w:r>
            <w:r>
              <w:t xml:space="preserve"> </w:t>
            </w:r>
            <w:r>
              <w:t xml:space="preserve">South</w:t>
            </w:r>
            <w:r>
              <w:t xml:space="preserve"> </w:t>
            </w:r>
            <w:r>
              <w:t xml:space="preserve">Fifth</w:t>
            </w:r>
            <w:r>
              <w:t xml:space="preserve"> </w:t>
            </w:r>
            <w:r>
              <w:t xml:space="preserve">Street</w:t>
            </w:r>
          </w:p>
          <w:p>
            <w:pPr>
              <w:spacing w:before="0" w:after="0" w:line="276" w:lineRule="exact"/>
              <w:ind w:left="0" w:firstLine="0"/>
              <w:jc w:val="left"/>
            </w:pPr>
            <w:r>
              <w:t xml:space="preserve">Minneapolis,</w:t>
            </w:r>
            <w:r>
              <w:t xml:space="preserve"> </w:t>
            </w:r>
            <w:r>
              <w:t xml:space="preserve">MN</w:t>
            </w:r>
            <w:r>
              <w:t xml:space="preserve"> </w:t>
            </w:r>
            <w:r>
              <w:t xml:space="preserve">55402</w:t>
            </w:r>
          </w:p>
          <w:p>
            <w:pPr>
              <w:spacing w:before="0" w:after="0" w:line="276" w:lineRule="exact"/>
              <w:ind w:left="0" w:firstLine="0"/>
              <w:jc w:val="left"/>
            </w:pPr>
            <w:r>
              <w:t xml:space="preserve">(612)</w:t>
            </w:r>
            <w:r>
              <w:t xml:space="preserve"> </w:t>
            </w:r>
            <w:r>
              <w:t xml:space="preserve">573</w:t>
              <w:noBreakHyphen/>
              <w:t xml:space="preserve">3669</w:t>
            </w:r>
          </w:p>
          <w:p>
            <w:pPr>
              <w:spacing w:before="0" w:after="0" w:line="276" w:lineRule="exact"/>
              <w:ind w:left="0" w:firstLine="0"/>
              <w:jc w:val="left"/>
            </w:pPr>
            <w:r>
              <w:t xml:space="preserve">dnill@farmlaw.com</w:t>
            </w:r>
          </w:p>
          <w:p>
            <w:pPr>
              <w:spacing w:before="0" w:after="0" w:line="276"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the</w:t>
            </w:r>
            <w:r>
              <w:rPr>
                <w:i/>
                <w:iCs/>
              </w:rPr>
              <w:t xml:space="preserve"> </w:t>
            </w:r>
            <w:r>
              <w:rPr>
                <w:i/>
                <w:iCs/>
              </w:rPr>
              <w:t xml:space="preserve">Appellants</w:t>
            </w:r>
          </w:p>
        </w:tc>
      </w:tr>
    </w:tbl>
    <w:p>
      <w:pPr>
        <w:pageBreakBefore/>
        <w:spacing w:before="0" w:after="0" w:line="1" w:lineRule="exact"/>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8640"/>
        </w:tabs>
        <w:spacing w:before="168" w:after="0" w:line="276" w:lineRule="exact"/>
        <w:ind w:left="0" w:right="720" w:firstLine="0"/>
      </w:pPr>
      <w:r>
        <w:t xml:space="preserve">INTRODUCTION.</w:t>
      </w:r>
      <w:r>
        <w:t xml:space="preserve">   </w:t>
      </w:r>
      <w:r>
        <w:tab/>
      </w:r>
      <w:r>
        <w:t xml:space="preserve">4</w:t>
      </w:r>
    </w:p>
    <w:p>
      <w:pPr>
        <w:keepLines/>
        <w:tabs>
          <w:tab w:val="right" w:leader="dot" w:pos="8640"/>
        </w:tabs>
        <w:spacing w:before="168" w:after="0" w:line="276" w:lineRule="exact"/>
        <w:ind w:left="0" w:right="720" w:firstLine="0"/>
      </w:pPr>
      <w:r>
        <w:t xml:space="preserve">ARGUMENT.</w:t>
      </w:r>
      <w:r>
        <w:t xml:space="preserve">   </w:t>
      </w:r>
      <w:r>
        <w:tab/>
      </w:r>
      <w:r>
        <w:t xml:space="preserve">6</w:t>
      </w:r>
    </w:p>
    <w:p>
      <w:pPr>
        <w:keepLines/>
        <w:tabs>
          <w:tab w:val="right" w:leader="dot" w:pos="8640"/>
        </w:tabs>
        <w:spacing w:before="168" w:after="0" w:line="276" w:lineRule="exact"/>
        <w:ind w:left="360" w:right="720" w:firstLine="0"/>
      </w:pPr>
      <w:r>
        <w:t xml:space="preserve">I.</w:t>
      </w:r>
      <w:r>
        <w:t xml:space="preserve"> </w:t>
      </w:r>
      <w:r>
        <w:t xml:space="preserve">Appellees’</w:t>
      </w:r>
      <w:r>
        <w:t xml:space="preserve"> </w:t>
      </w:r>
      <w:r>
        <w:t xml:space="preserve">timeliness</w:t>
      </w:r>
      <w:r>
        <w:t xml:space="preserve"> </w:t>
      </w:r>
      <w:r>
        <w:t xml:space="preserve">argument</w:t>
      </w:r>
      <w:r>
        <w:t xml:space="preserve"> </w:t>
      </w:r>
      <w:r>
        <w:t xml:space="preserve">fails</w:t>
      </w:r>
      <w:r>
        <w:t xml:space="preserve"> </w:t>
      </w:r>
      <w:r>
        <w:t xml:space="preserve">because</w:t>
      </w:r>
      <w:r>
        <w:t xml:space="preserve"> </w:t>
      </w:r>
      <w:r>
        <w:t xml:space="preserve">it</w:t>
      </w:r>
      <w:r>
        <w:t xml:space="preserve"> </w:t>
      </w:r>
      <w:r>
        <w:t xml:space="preserve">assumes</w:t>
      </w:r>
      <w:r>
        <w:t xml:space="preserve"> </w:t>
      </w:r>
      <w:r>
        <w:t xml:space="preserve">statutory</w:t>
      </w:r>
      <w:r>
        <w:t xml:space="preserve"> </w:t>
      </w:r>
      <w:r>
        <w:t xml:space="preserve">authority</w:t>
      </w:r>
      <w:r>
        <w:t xml:space="preserve"> </w:t>
      </w:r>
      <w:r>
        <w:t xml:space="preserve">and</w:t>
      </w:r>
      <w:r>
        <w:t xml:space="preserve"> </w:t>
      </w:r>
      <w:r>
        <w:t xml:space="preserve">a</w:t>
      </w:r>
      <w:r>
        <w:t xml:space="preserve"> </w:t>
      </w:r>
      <w:r>
        <w:t xml:space="preserve">valid</w:t>
      </w:r>
      <w:r>
        <w:t xml:space="preserve"> </w:t>
      </w:r>
      <w:r>
        <w:t xml:space="preserve">final</w:t>
      </w:r>
      <w:r>
        <w:t xml:space="preserve"> </w:t>
      </w:r>
      <w:r>
        <w:t xml:space="preserve">order.</w:t>
      </w:r>
      <w:r>
        <w:t xml:space="preserve">   </w:t>
      </w:r>
      <w:r>
        <w:tab/>
      </w:r>
      <w:r>
        <w:t xml:space="preserve">6</w:t>
      </w:r>
    </w:p>
    <w:p>
      <w:pPr>
        <w:keepLines/>
        <w:tabs>
          <w:tab w:val="right" w:leader="dot" w:pos="8640"/>
        </w:tabs>
        <w:spacing w:before="168" w:after="0" w:line="276" w:lineRule="exact"/>
        <w:ind w:left="360" w:right="720" w:firstLine="0"/>
      </w:pPr>
      <w:r>
        <w:t xml:space="preserve">II.</w:t>
      </w:r>
      <w:r>
        <w:t xml:space="preserve"> </w:t>
      </w:r>
      <w:r>
        <w:t xml:space="preserve">Chapter</w:t>
      </w:r>
      <w:r>
        <w:t xml:space="preserve"> </w:t>
      </w:r>
      <w:r>
        <w:t xml:space="preserve">49</w:t>
        <w:noBreakHyphen/>
        <w:t xml:space="preserve">22</w:t>
      </w:r>
      <w:r>
        <w:t xml:space="preserve"> </w:t>
      </w:r>
      <w:r>
        <w:t xml:space="preserve">is</w:t>
      </w:r>
      <w:r>
        <w:t xml:space="preserve"> </w:t>
      </w:r>
      <w:r>
        <w:t xml:space="preserve">not</w:t>
      </w:r>
      <w:r>
        <w:t xml:space="preserve"> </w:t>
      </w:r>
      <w:r>
        <w:t xml:space="preserve">a</w:t>
      </w:r>
      <w:r>
        <w:t xml:space="preserve"> </w:t>
      </w:r>
      <w:r>
        <w:t xml:space="preserve">cleanup</w:t>
      </w:r>
      <w:r>
        <w:t xml:space="preserve"> </w:t>
      </w:r>
      <w:r>
        <w:t xml:space="preserve">step</w:t>
      </w:r>
      <w:r>
        <w:t xml:space="preserve"> </w:t>
      </w:r>
      <w:r>
        <w:t xml:space="preserve">after</w:t>
      </w:r>
      <w:r>
        <w:t xml:space="preserve"> </w:t>
      </w:r>
      <w:r>
        <w:t xml:space="preserve">Chapter</w:t>
      </w:r>
      <w:r>
        <w:t xml:space="preserve"> </w:t>
      </w:r>
      <w:r>
        <w:t xml:space="preserve">49</w:t>
        <w:noBreakHyphen/>
        <w:t xml:space="preserve">03.</w:t>
      </w:r>
      <w:r>
        <w:t xml:space="preserve">   </w:t>
      </w:r>
      <w:r>
        <w:tab/>
      </w:r>
      <w:r>
        <w:t xml:space="preserve">8</w:t>
      </w:r>
    </w:p>
    <w:p>
      <w:pPr>
        <w:keepLines/>
        <w:tabs>
          <w:tab w:val="right" w:leader="dot" w:pos="8640"/>
        </w:tabs>
        <w:spacing w:before="168" w:after="0" w:line="276" w:lineRule="exact"/>
        <w:ind w:left="360" w:right="720" w:firstLine="0"/>
      </w:pPr>
      <w:r>
        <w:t xml:space="preserve">III.</w:t>
      </w:r>
      <w:r>
        <w:t xml:space="preserve"> </w:t>
      </w:r>
      <w:r>
        <w:t xml:space="preserve">The</w:t>
      </w:r>
      <w:r>
        <w:t xml:space="preserve"> </w:t>
      </w:r>
      <w:r>
        <w:t xml:space="preserve">notice</w:t>
      </w:r>
      <w:r>
        <w:t xml:space="preserve"> </w:t>
      </w:r>
      <w:r>
        <w:t xml:space="preserve">problem</w:t>
      </w:r>
      <w:r>
        <w:t xml:space="preserve"> </w:t>
      </w:r>
      <w:r>
        <w:t xml:space="preserve">defeats</w:t>
      </w:r>
      <w:r>
        <w:t xml:space="preserve"> </w:t>
      </w:r>
      <w:r>
        <w:t xml:space="preserve">Appellees’</w:t>
      </w:r>
      <w:r>
        <w:t xml:space="preserve"> </w:t>
      </w:r>
      <w:r>
        <w:t xml:space="preserve">blame</w:t>
      </w:r>
      <w:r>
        <w:t xml:space="preserve"> </w:t>
      </w:r>
      <w:r>
        <w:t xml:space="preserve">and</w:t>
      </w:r>
      <w:r>
        <w:t xml:space="preserve"> </w:t>
      </w:r>
      <w:r>
        <w:t xml:space="preserve">waiver</w:t>
      </w:r>
      <w:r>
        <w:t xml:space="preserve"> </w:t>
      </w:r>
      <w:r>
        <w:t xml:space="preserve">arguments.</w:t>
      </w:r>
      <w:r>
        <w:t xml:space="preserve">   </w:t>
      </w:r>
      <w:r>
        <w:tab/>
      </w:r>
      <w:r>
        <w:t xml:space="preserve">9</w:t>
      </w:r>
    </w:p>
    <w:p>
      <w:pPr>
        <w:keepLines/>
        <w:tabs>
          <w:tab w:val="right" w:leader="dot" w:pos="8640"/>
        </w:tabs>
        <w:spacing w:before="168" w:after="0" w:line="276" w:lineRule="exact"/>
        <w:ind w:left="360" w:right="720" w:firstLine="0"/>
      </w:pPr>
      <w:r>
        <w:t xml:space="preserve">IV.</w:t>
      </w:r>
      <w:r>
        <w:t xml:space="preserve"> </w:t>
      </w:r>
      <w:r>
        <w:t xml:space="preserve">Appellants</w:t>
      </w:r>
      <w:r>
        <w:t xml:space="preserve"> </w:t>
      </w:r>
      <w:r>
        <w:t xml:space="preserve">have</w:t>
      </w:r>
      <w:r>
        <w:t xml:space="preserve"> </w:t>
      </w:r>
      <w:r>
        <w:t xml:space="preserve">standing</w:t>
      </w:r>
      <w:r>
        <w:t xml:space="preserve"> </w:t>
      </w:r>
      <w:r>
        <w:t xml:space="preserve">to</w:t>
      </w:r>
      <w:r>
        <w:t xml:space="preserve"> </w:t>
      </w:r>
      <w:r>
        <w:t xml:space="preserve">seek</w:t>
      </w:r>
      <w:r>
        <w:t xml:space="preserve"> </w:t>
      </w:r>
      <w:r>
        <w:t xml:space="preserve">review</w:t>
      </w:r>
      <w:r>
        <w:t xml:space="preserve"> </w:t>
      </w:r>
      <w:r>
        <w:t xml:space="preserve">of</w:t>
      </w:r>
      <w:r>
        <w:t xml:space="preserve"> </w:t>
      </w:r>
      <w:r>
        <w:t xml:space="preserve">the</w:t>
      </w:r>
      <w:r>
        <w:t xml:space="preserve"> </w:t>
      </w:r>
      <w:r>
        <w:t xml:space="preserve">June</w:t>
      </w:r>
      <w:r>
        <w:t xml:space="preserve"> </w:t>
      </w:r>
      <w:r>
        <w:t xml:space="preserve">18</w:t>
      </w:r>
      <w:r>
        <w:t xml:space="preserve"> </w:t>
      </w:r>
      <w:r>
        <w:t xml:space="preserve">order.</w:t>
      </w:r>
      <w:r>
        <w:t xml:space="preserve">   </w:t>
      </w:r>
      <w:r>
        <w:tab/>
      </w:r>
      <w:r>
        <w:t xml:space="preserve">10</w:t>
      </w:r>
    </w:p>
    <w:p>
      <w:pPr>
        <w:keepLines/>
        <w:tabs>
          <w:tab w:val="right" w:leader="dot" w:pos="8640"/>
        </w:tabs>
        <w:spacing w:before="168" w:after="0" w:line="276" w:lineRule="exact"/>
        <w:ind w:left="0" w:right="720" w:firstLine="0"/>
      </w:pPr>
      <w:r>
        <w:t xml:space="preserve">CONCLUSION.</w:t>
      </w:r>
      <w:r>
        <w:t xml:space="preserve">   </w:t>
      </w:r>
      <w:r>
        <w:tab/>
      </w:r>
      <w:r>
        <w:t xml:space="preserve">11</w:t>
      </w:r>
    </w:p>
    <w:p>
      <w:pPr>
        <w:keepLines/>
        <w:tabs>
          <w:tab w:val="right" w:leader="dot" w:pos="8640"/>
        </w:tabs>
        <w:spacing w:before="168" w:after="0" w:line="276" w:lineRule="exact"/>
        <w:ind w:left="0" w:right="720" w:firstLine="0"/>
      </w:pPr>
      <w:r>
        <w:t xml:space="preserve">CERTIFICATE</w:t>
      </w:r>
      <w:r>
        <w:t xml:space="preserve"> </w:t>
      </w:r>
      <w:r>
        <w:t xml:space="preserve">OF</w:t>
      </w:r>
      <w:r>
        <w:t xml:space="preserve"> </w:t>
      </w:r>
      <w:r>
        <w:t xml:space="preserve">COMPLIANCE</w:t>
      </w:r>
      <w:r>
        <w:t xml:space="preserve">   </w:t>
      </w:r>
      <w:r>
        <w:tab/>
      </w:r>
      <w:r>
        <w:t xml:space="preserve">12</w:t>
      </w:r>
    </w:p>
    <w:p>
      <w:pPr>
        <w:pageBreakBefore/>
        <w:spacing w:before="0" w:after="0" w:line="1" w:lineRule="exact"/>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264" w:after="96" w:line="276" w:lineRule="exact"/>
        <w:ind w:left="0" w:firstLine="0"/>
        <w:jc w:val="left"/>
      </w:pPr>
      <w:r>
        <w:rPr>
          <w:b/>
          <w:bCs/>
        </w:rPr>
        <w:t xml:space="preserve">Cases</w:t>
      </w:r>
    </w:p>
    <w:p>
      <w:pPr>
        <w:keepLines/>
        <w:tabs>
          <w:tab w:val="right" w:leader="dot" w:pos="8640"/>
        </w:tabs>
        <w:spacing w:before="168" w:after="0" w:line="276" w:lineRule="exact"/>
        <w:ind w:left="720" w:right="1120" w:hanging="720"/>
      </w:pPr>
      <w:r>
        <w:rPr>
          <w:i/>
          <w:iCs/>
        </w:rPr>
        <w:t xml:space="preserve">Energy</w:t>
      </w:r>
      <w:r>
        <w:rPr>
          <w:i/>
          <w:iCs/>
        </w:rPr>
        <w:t xml:space="preserve"> </w:t>
      </w:r>
      <w:r>
        <w:rPr>
          <w:i/>
          <w:iCs/>
        </w:rPr>
        <w:t xml:space="preserve">Transfer</w:t>
      </w:r>
      <w:r>
        <w:rPr>
          <w:i/>
          <w:iCs/>
        </w:rPr>
        <w:t xml:space="preserve"> </w:t>
      </w:r>
      <w:r>
        <w:rPr>
          <w:i/>
          <w:iCs/>
        </w:rPr>
        <w:t xml:space="preserve">LP</w:t>
      </w:r>
      <w:r>
        <w:rPr>
          <w:i/>
          <w:iCs/>
        </w:rPr>
        <w:t xml:space="preserve"> </w:t>
      </w:r>
      <w:r>
        <w:rPr>
          <w:i/>
          <w:iCs/>
        </w:rPr>
        <w:t xml:space="preserve">v.</w:t>
      </w:r>
      <w:r>
        <w:rPr>
          <w:i/>
          <w:iCs/>
        </w:rPr>
        <w:t xml:space="preserve"> </w:t>
      </w:r>
      <w:r>
        <w:rPr>
          <w:i/>
          <w:iCs/>
        </w:rPr>
        <w:t xml:space="preserve">N.D.</w:t>
      </w:r>
      <w:r>
        <w:rPr>
          <w:i/>
          <w:iCs/>
        </w:rPr>
        <w:t xml:space="preserve"> </w:t>
      </w:r>
      <w:r>
        <w:rPr>
          <w:i/>
          <w:iCs/>
        </w:rPr>
        <w:t xml:space="preserve">Private</w:t>
      </w:r>
      <w:r>
        <w:rPr>
          <w:i/>
          <w:iCs/>
        </w:rPr>
        <w:t xml:space="preserve"> </w:t>
      </w:r>
      <w:r>
        <w:rPr>
          <w:i/>
          <w:iCs/>
        </w:rPr>
        <w:t xml:space="preserve">Investigative</w:t>
      </w:r>
      <w:r>
        <w:rPr>
          <w:i/>
          <w:iCs/>
        </w:rPr>
        <w:t xml:space="preserve"> </w:t>
      </w:r>
      <w:r>
        <w:rPr>
          <w:i/>
          <w:iCs/>
        </w:rPr>
        <w:t xml:space="preserve">&amp;</w:t>
      </w:r>
      <w:r>
        <w:rPr>
          <w:i/>
          <w:iCs/>
        </w:rPr>
        <w:t xml:space="preserve"> </w:t>
      </w:r>
      <w:r>
        <w:rPr>
          <w:i/>
          <w:iCs/>
        </w:rPr>
        <w:t xml:space="preserve">Security</w:t>
      </w:r>
      <w:r>
        <w:rPr>
          <w:i/>
          <w:iCs/>
        </w:rPr>
        <w:t xml:space="preserve"> </w:t>
      </w:r>
      <w:r>
        <w:rPr>
          <w:i/>
          <w:iCs/>
        </w:rPr>
        <w:t xml:space="preserve">Bd.</w:t>
      </w:r>
      <w:r>
        <w:t xml:space="preserve">,</w:t>
      </w:r>
      <w:r>
        <w:t xml:space="preserve"> </w:t>
      </w:r>
      <w:r>
        <w:t xml:space="preserve">2022</w:t>
      </w:r>
      <w:r>
        <w:t xml:space="preserve"> </w:t>
      </w:r>
      <w:r>
        <w:t xml:space="preserve">ND</w:t>
      </w:r>
      <w:r>
        <w:t xml:space="preserve"> </w:t>
      </w:r>
      <w:r>
        <w:t xml:space="preserve">85,</w:t>
      </w:r>
      <w:r>
        <w:t xml:space="preserve"> </w:t>
      </w:r>
      <w:r>
        <w:t xml:space="preserve">973</w:t>
      </w:r>
      <w:r>
        <w:t xml:space="preserve"> </w:t>
      </w:r>
      <w:r>
        <w:t xml:space="preserve">N.W.2d</w:t>
      </w:r>
      <w:r>
        <w:t xml:space="preserve"> </w:t>
      </w:r>
      <w:r>
        <w:t xml:space="preserve">394</w:t>
      </w:r>
      <w:r>
        <w:t xml:space="preserve">   </w:t>
      </w:r>
      <w:r>
        <w:tab/>
      </w:r>
      <w:r>
        <w:t xml:space="preserve">10</w:t>
      </w:r>
    </w:p>
    <w:p>
      <w:pPr>
        <w:keepLines/>
        <w:tabs>
          <w:tab w:val="right" w:leader="dot" w:pos="8640"/>
        </w:tabs>
        <w:spacing w:before="168" w:after="0" w:line="276" w:lineRule="exact"/>
        <w:ind w:left="720" w:right="1120" w:hanging="720"/>
      </w:pPr>
      <w:r>
        <w:rPr>
          <w:i/>
          <w:iCs/>
        </w:rPr>
        <w:t xml:space="preserve">Matter</w:t>
      </w:r>
      <w:r>
        <w:rPr>
          <w:i/>
          <w:iCs/>
        </w:rPr>
        <w:t xml:space="preserve"> </w:t>
      </w:r>
      <w:r>
        <w:rPr>
          <w:i/>
          <w:iCs/>
        </w:rPr>
        <w:t xml:space="preserve">of</w:t>
      </w:r>
      <w:r>
        <w:rPr>
          <w:i/>
          <w:iCs/>
        </w:rPr>
        <w:t xml:space="preserve"> </w:t>
      </w:r>
      <w:r>
        <w:rPr>
          <w:i/>
          <w:iCs/>
        </w:rPr>
        <w:t xml:space="preserve">Neb.</w:t>
      </w:r>
      <w:r>
        <w:rPr>
          <w:i/>
          <w:iCs/>
        </w:rPr>
        <w:t xml:space="preserve"> </w:t>
      </w:r>
      <w:r>
        <w:rPr>
          <w:i/>
          <w:iCs/>
        </w:rPr>
        <w:t xml:space="preserve">Pub.</w:t>
      </w:r>
      <w:r>
        <w:rPr>
          <w:i/>
          <w:iCs/>
        </w:rPr>
        <w:t xml:space="preserve"> </w:t>
      </w:r>
      <w:r>
        <w:rPr>
          <w:i/>
          <w:iCs/>
        </w:rPr>
        <w:t xml:space="preserve">Power</w:t>
      </w:r>
      <w:r>
        <w:rPr>
          <w:i/>
          <w:iCs/>
        </w:rPr>
        <w:t xml:space="preserve"> </w:t>
      </w:r>
      <w:r>
        <w:rPr>
          <w:i/>
          <w:iCs/>
        </w:rPr>
        <w:t xml:space="preserve">Dist.</w:t>
      </w:r>
      <w:r>
        <w:t xml:space="preserve">,</w:t>
      </w:r>
      <w:r>
        <w:t xml:space="preserve"> </w:t>
      </w:r>
      <w:r>
        <w:t xml:space="preserve">330</w:t>
      </w:r>
      <w:r>
        <w:t xml:space="preserve"> </w:t>
      </w:r>
      <w:r>
        <w:t xml:space="preserve">N.W.2d</w:t>
      </w:r>
      <w:r>
        <w:t xml:space="preserve"> </w:t>
      </w:r>
      <w:r>
        <w:t xml:space="preserve">143</w:t>
      </w:r>
      <w:r>
        <w:t xml:space="preserve"> </w:t>
      </w:r>
      <w:r>
        <w:t xml:space="preserve">(N.D.</w:t>
      </w:r>
      <w:r>
        <w:t xml:space="preserve"> </w:t>
      </w:r>
      <w:r>
        <w:t xml:space="preserve">1983)</w:t>
      </w:r>
      <w:r>
        <w:t xml:space="preserve">   </w:t>
      </w:r>
      <w:r>
        <w:tab/>
      </w:r>
      <w:r>
        <w:t xml:space="preserve">9</w:t>
      </w:r>
    </w:p>
    <w:p>
      <w:pPr>
        <w:keepLines/>
        <w:tabs>
          <w:tab w:val="right" w:leader="dot" w:pos="8640"/>
        </w:tabs>
        <w:spacing w:before="168" w:after="0" w:line="276" w:lineRule="exact"/>
        <w:ind w:left="720" w:right="1120" w:hanging="720"/>
      </w:pPr>
      <w:r>
        <w:rPr>
          <w:i/>
          <w:iCs/>
        </w:rPr>
        <w:t xml:space="preserve">Minn-Kota</w:t>
      </w:r>
      <w:r>
        <w:rPr>
          <w:i/>
          <w:iCs/>
        </w:rPr>
        <w:t xml:space="preserve"> </w:t>
      </w:r>
      <w:r>
        <w:rPr>
          <w:i/>
          <w:iCs/>
        </w:rPr>
        <w:t xml:space="preserve">Ag</w:t>
      </w:r>
      <w:r>
        <w:rPr>
          <w:i/>
          <w:iCs/>
        </w:rPr>
        <w:t xml:space="preserve"> </w:t>
      </w:r>
      <w:r>
        <w:rPr>
          <w:i/>
          <w:iCs/>
        </w:rPr>
        <w:t xml:space="preserve">Prods.,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N.D.</w:t>
      </w:r>
      <w:r>
        <w:rPr>
          <w:i/>
          <w:iCs/>
        </w:rPr>
        <w:t xml:space="preserve"> </w:t>
      </w:r>
      <w:r>
        <w:rPr>
          <w:i/>
          <w:iCs/>
        </w:rPr>
        <w:t xml:space="preserve">Pub.</w:t>
      </w:r>
      <w:r>
        <w:rPr>
          <w:i/>
          <w:iCs/>
        </w:rPr>
        <w:t xml:space="preserve"> </w:t>
      </w:r>
      <w:r>
        <w:rPr>
          <w:i/>
          <w:iCs/>
        </w:rPr>
        <w:t xml:space="preserve">Serv.</w:t>
      </w:r>
      <w:r>
        <w:rPr>
          <w:i/>
          <w:iCs/>
        </w:rPr>
        <w:t xml:space="preserve"> </w:t>
      </w:r>
      <w:r>
        <w:rPr>
          <w:i/>
          <w:iCs/>
        </w:rPr>
        <w:t xml:space="preserve">Comm’n</w:t>
      </w:r>
      <w:r>
        <w:t xml:space="preserve">,</w:t>
      </w:r>
      <w:r>
        <w:t xml:space="preserve"> </w:t>
      </w:r>
      <w:r>
        <w:t xml:space="preserve">2020</w:t>
      </w:r>
      <w:r>
        <w:t xml:space="preserve"> </w:t>
      </w:r>
      <w:r>
        <w:t xml:space="preserve">ND</w:t>
      </w:r>
      <w:r>
        <w:t xml:space="preserve"> </w:t>
      </w:r>
      <w:r>
        <w:t xml:space="preserve">12,</w:t>
      </w:r>
      <w:r>
        <w:t xml:space="preserve"> </w:t>
      </w:r>
      <w:r>
        <w:t xml:space="preserve">938</w:t>
      </w:r>
      <w:r>
        <w:t xml:space="preserve"> </w:t>
      </w:r>
      <w:r>
        <w:t xml:space="preserve">N.W.2d</w:t>
      </w:r>
      <w:r>
        <w:t xml:space="preserve"> </w:t>
      </w:r>
      <w:r>
        <w:t xml:space="preserve">118</w:t>
      </w:r>
      <w:r>
        <w:t xml:space="preserve">   </w:t>
      </w:r>
      <w:r>
        <w:tab/>
      </w:r>
      <w:r>
        <w:t xml:space="preserve">11</w:t>
      </w:r>
    </w:p>
    <w:p>
      <w:pPr>
        <w:keepNext/>
        <w:keepLines/>
        <w:spacing w:before="264" w:after="96" w:line="276" w:lineRule="exact"/>
        <w:ind w:left="0" w:firstLine="0"/>
        <w:jc w:val="left"/>
      </w:pPr>
      <w:r>
        <w:rPr>
          <w:b/>
          <w:bCs/>
        </w:rPr>
        <w:t xml:space="preserve">Statutes</w:t>
      </w:r>
    </w:p>
    <w:p>
      <w:pPr>
        <w:keepLines/>
        <w:tabs>
          <w:tab w:val="right" w:leader="dot" w:pos="8640"/>
        </w:tabs>
        <w:spacing w:before="168" w:after="0" w:line="276" w:lineRule="exact"/>
        <w:ind w:left="720" w:right="1200" w:hanging="720"/>
      </w:pPr>
      <w:r>
        <w:t xml:space="preserve">N.D.C.C.</w:t>
      </w:r>
      <w:r>
        <w:t xml:space="preserve"> </w:t>
      </w:r>
      <w:r>
        <w:t xml:space="preserve">ch.</w:t>
      </w:r>
      <w:r>
        <w:t xml:space="preserve"> </w:t>
      </w:r>
      <w:r>
        <w:t xml:space="preserve">49</w:t>
        <w:noBreakHyphen/>
        <w:t xml:space="preserve">03</w:t>
      </w:r>
      <w:r>
        <w:t xml:space="preserve">   </w:t>
      </w:r>
      <w:r>
        <w:tab/>
      </w:r>
      <w:r>
        <w:t xml:space="preserve">4, 6, 8, 9, 11</w:t>
      </w:r>
    </w:p>
    <w:p>
      <w:pPr>
        <w:keepLines/>
        <w:tabs>
          <w:tab w:val="right" w:leader="dot" w:pos="8640"/>
        </w:tabs>
        <w:spacing w:before="168" w:after="0" w:line="276" w:lineRule="exact"/>
        <w:ind w:left="720" w:right="2160" w:hanging="720"/>
      </w:pPr>
      <w:r>
        <w:t xml:space="preserve">N.D.C.C.</w:t>
      </w:r>
      <w:r>
        <w:t xml:space="preserve"> </w:t>
      </w:r>
      <w:r>
        <w:t xml:space="preserve">ch.</w:t>
      </w:r>
      <w:r>
        <w:t xml:space="preserve"> </w:t>
      </w:r>
      <w:r>
        <w:t xml:space="preserve">49</w:t>
        <w:noBreakHyphen/>
        <w:t xml:space="preserve">22</w:t>
      </w:r>
      <w:r>
        <w:t xml:space="preserve">   </w:t>
      </w:r>
      <w:r>
        <w:tab/>
      </w:r>
      <w:r>
        <w:t xml:space="preserve">4, 5, 6, 8, 9, 10, 11, 12</w:t>
      </w:r>
    </w:p>
    <w:p>
      <w:pPr>
        <w:keepLines/>
        <w:tabs>
          <w:tab w:val="right" w:leader="dot" w:pos="8640"/>
        </w:tabs>
        <w:spacing w:before="168" w:after="0" w:line="276" w:lineRule="exact"/>
        <w:ind w:left="720" w:right="1120" w:hanging="720"/>
      </w:pPr>
      <w:r>
        <w:t xml:space="preserve">N.D.C.C.</w:t>
      </w:r>
      <w:r>
        <w:t xml:space="preserve"> </w:t>
      </w:r>
      <w:r>
        <w:t xml:space="preserve">§</w:t>
      </w:r>
      <w:r>
        <w:t xml:space="preserve"> </w:t>
      </w:r>
      <w:r>
        <w:t xml:space="preserve">28</w:t>
        <w:noBreakHyphen/>
        <w:t xml:space="preserve">32</w:t>
        <w:noBreakHyphen/>
        <w:t xml:space="preserve">22</w:t>
      </w:r>
      <w:r>
        <w:t xml:space="preserve">   </w:t>
      </w:r>
      <w:r>
        <w:tab/>
      </w:r>
      <w:r>
        <w:t xml:space="preserve">7</w:t>
      </w:r>
    </w:p>
    <w:p>
      <w:pPr>
        <w:keepLines/>
        <w:tabs>
          <w:tab w:val="right" w:leader="dot" w:pos="8640"/>
        </w:tabs>
        <w:spacing w:before="168" w:after="0" w:line="276" w:lineRule="exact"/>
        <w:ind w:left="720" w:right="1120" w:hanging="720"/>
      </w:pPr>
      <w:r>
        <w:t xml:space="preserve">N.D.C.C.</w:t>
      </w:r>
      <w:r>
        <w:t xml:space="preserve"> </w:t>
      </w:r>
      <w:r>
        <w:t xml:space="preserve">§</w:t>
      </w:r>
      <w:r>
        <w:t xml:space="preserve"> </w:t>
      </w:r>
      <w:r>
        <w:t xml:space="preserve">28</w:t>
        <w:noBreakHyphen/>
        <w:t xml:space="preserve">32</w:t>
        <w:noBreakHyphen/>
        <w:t xml:space="preserve">39</w:t>
      </w:r>
      <w:r>
        <w:t xml:space="preserve">   </w:t>
      </w:r>
      <w:r>
        <w:tab/>
      </w:r>
      <w:r>
        <w:t xml:space="preserve">6</w:t>
      </w:r>
    </w:p>
    <w:p>
      <w:pPr>
        <w:keepLines/>
        <w:tabs>
          <w:tab w:val="right" w:leader="dot" w:pos="8640"/>
        </w:tabs>
        <w:spacing w:before="168" w:after="0" w:line="276" w:lineRule="exact"/>
        <w:ind w:left="720" w:right="1120" w:hanging="720"/>
      </w:pPr>
      <w:r>
        <w:t xml:space="preserve">N.D.C.C.</w:t>
      </w:r>
      <w:r>
        <w:t xml:space="preserve"> </w:t>
      </w:r>
      <w:r>
        <w:t xml:space="preserve">§</w:t>
      </w:r>
      <w:r>
        <w:t xml:space="preserve"> </w:t>
      </w:r>
      <w:r>
        <w:t xml:space="preserve">28</w:t>
        <w:noBreakHyphen/>
        <w:t xml:space="preserve">32</w:t>
        <w:noBreakHyphen/>
        <w:t xml:space="preserve">42</w:t>
      </w:r>
      <w:r>
        <w:t xml:space="preserve">   </w:t>
      </w:r>
      <w:r>
        <w:tab/>
      </w:r>
      <w:r>
        <w:t xml:space="preserve">6</w:t>
      </w:r>
    </w:p>
    <w:p>
      <w:pPr>
        <w:keepLines/>
        <w:tabs>
          <w:tab w:val="right" w:leader="dot" w:pos="8640"/>
        </w:tabs>
        <w:spacing w:before="168" w:after="0" w:line="276" w:lineRule="exact"/>
        <w:ind w:left="720" w:right="1120" w:hanging="720"/>
      </w:pPr>
      <w:r>
        <w:t xml:space="preserve">N.D.C.C.</w:t>
      </w:r>
      <w:r>
        <w:t xml:space="preserve"> </w:t>
      </w:r>
      <w:r>
        <w:t xml:space="preserve">§</w:t>
      </w:r>
      <w:r>
        <w:t xml:space="preserve"> </w:t>
      </w:r>
      <w:r>
        <w:t xml:space="preserve">28</w:t>
        <w:noBreakHyphen/>
        <w:t xml:space="preserve">32</w:t>
        <w:noBreakHyphen/>
        <w:t xml:space="preserve">46</w:t>
      </w:r>
      <w:r>
        <w:t xml:space="preserve">   </w:t>
      </w:r>
      <w:r>
        <w:tab/>
      </w:r>
      <w:r>
        <w:t xml:space="preserve">7</w:t>
      </w:r>
    </w:p>
    <w:p>
      <w:pPr>
        <w:keepLines/>
        <w:tabs>
          <w:tab w:val="right" w:leader="dot" w:pos="8640"/>
        </w:tabs>
        <w:spacing w:before="168" w:after="0" w:line="276" w:lineRule="exact"/>
        <w:ind w:left="720" w:right="1120" w:hanging="720"/>
      </w:pPr>
      <w:r>
        <w:t xml:space="preserve">N.D.C.C.</w:t>
      </w:r>
      <w:r>
        <w:t xml:space="preserve"> </w:t>
      </w:r>
      <w:r>
        <w:t xml:space="preserve">§</w:t>
      </w:r>
      <w:r>
        <w:t xml:space="preserve"> </w:t>
      </w:r>
      <w:r>
        <w:t xml:space="preserve">49</w:t>
        <w:noBreakHyphen/>
        <w:t xml:space="preserve">22</w:t>
        <w:noBreakHyphen/>
        <w:t xml:space="preserve">02</w:t>
      </w:r>
      <w:r>
        <w:t xml:space="preserve">   </w:t>
      </w:r>
      <w:r>
        <w:tab/>
      </w:r>
      <w:r>
        <w:t xml:space="preserve">5, 8</w:t>
      </w:r>
    </w:p>
    <w:p>
      <w:pPr>
        <w:keepLines/>
        <w:tabs>
          <w:tab w:val="right" w:leader="dot" w:pos="8640"/>
        </w:tabs>
        <w:spacing w:before="168" w:after="0" w:line="276" w:lineRule="exact"/>
        <w:ind w:left="720" w:right="1120" w:hanging="720"/>
      </w:pPr>
      <w:r>
        <w:t xml:space="preserve">N.D.C.C.</w:t>
      </w:r>
      <w:r>
        <w:t xml:space="preserve"> </w:t>
      </w:r>
      <w:r>
        <w:t xml:space="preserve">§</w:t>
      </w:r>
      <w:r>
        <w:t xml:space="preserve"> </w:t>
      </w:r>
      <w:r>
        <w:t xml:space="preserve">49</w:t>
        <w:noBreakHyphen/>
        <w:t xml:space="preserve">22</w:t>
        <w:noBreakHyphen/>
        <w:t xml:space="preserve">03</w:t>
      </w:r>
      <w:r>
        <w:t xml:space="preserve">   </w:t>
      </w:r>
      <w:r>
        <w:tab/>
      </w:r>
      <w:r>
        <w:t xml:space="preserve">8</w:t>
      </w:r>
    </w:p>
    <w:p>
      <w:pPr>
        <w:keepLines/>
        <w:tabs>
          <w:tab w:val="right" w:leader="dot" w:pos="8640"/>
        </w:tabs>
        <w:spacing w:before="168" w:after="0" w:line="276" w:lineRule="exact"/>
        <w:ind w:left="720" w:right="1120" w:hanging="720"/>
      </w:pPr>
      <w:r>
        <w:t xml:space="preserve">N.D.C.C.</w:t>
      </w:r>
      <w:r>
        <w:t xml:space="preserve"> </w:t>
      </w:r>
      <w:r>
        <w:t xml:space="preserve">§</w:t>
      </w:r>
      <w:r>
        <w:t xml:space="preserve"> </w:t>
      </w:r>
      <w:r>
        <w:t xml:space="preserve">49</w:t>
        <w:noBreakHyphen/>
        <w:t xml:space="preserve">22</w:t>
        <w:noBreakHyphen/>
        <w:t xml:space="preserve">07</w:t>
      </w:r>
      <w:r>
        <w:t xml:space="preserve">   </w:t>
      </w:r>
      <w:r>
        <w:tab/>
      </w:r>
      <w:r>
        <w:t xml:space="preserve">8</w:t>
      </w:r>
    </w:p>
    <w:p>
      <w:pPr>
        <w:keepLines/>
        <w:tabs>
          <w:tab w:val="right" w:leader="dot" w:pos="8640"/>
        </w:tabs>
        <w:spacing w:before="168" w:after="0" w:line="276" w:lineRule="exact"/>
        <w:ind w:left="720" w:right="1120" w:hanging="720"/>
      </w:pPr>
      <w:r>
        <w:t xml:space="preserve">N.D.C.C.</w:t>
      </w:r>
      <w:r>
        <w:t xml:space="preserve"> </w:t>
      </w:r>
      <w:r>
        <w:t xml:space="preserve">§</w:t>
      </w:r>
      <w:r>
        <w:t xml:space="preserve"> </w:t>
      </w:r>
      <w:r>
        <w:t xml:space="preserve">49</w:t>
        <w:noBreakHyphen/>
        <w:t xml:space="preserve">22</w:t>
        <w:noBreakHyphen/>
        <w:t xml:space="preserve">08(1)⁠(c)</w:t>
      </w:r>
      <w:r>
        <w:t xml:space="preserve">   </w:t>
      </w:r>
      <w:r>
        <w:tab/>
      </w:r>
      <w:r>
        <w:t xml:space="preserve">5, 8</w:t>
      </w:r>
    </w:p>
    <w:p>
      <w:pPr>
        <w:keepLines/>
        <w:tabs>
          <w:tab w:val="right" w:leader="dot" w:pos="8640"/>
        </w:tabs>
        <w:spacing w:before="168" w:after="0" w:line="276" w:lineRule="exact"/>
        <w:ind w:left="720" w:right="1120" w:hanging="720"/>
      </w:pPr>
      <w:r>
        <w:t xml:space="preserve">N.D.C.C.</w:t>
      </w:r>
      <w:r>
        <w:t xml:space="preserve"> </w:t>
      </w:r>
      <w:r>
        <w:t xml:space="preserve">§</w:t>
      </w:r>
      <w:r>
        <w:t xml:space="preserve"> </w:t>
      </w:r>
      <w:r>
        <w:t xml:space="preserve">49</w:t>
        <w:noBreakHyphen/>
        <w:t xml:space="preserve">22</w:t>
        <w:noBreakHyphen/>
        <w:t xml:space="preserve">08(6)</w:t>
      </w:r>
      <w:r>
        <w:t xml:space="preserve">   </w:t>
      </w:r>
      <w:r>
        <w:tab/>
      </w:r>
      <w:r>
        <w:t xml:space="preserve">5, 8</w:t>
      </w:r>
    </w:p>
    <w:p>
      <w:pPr>
        <w:keepLines/>
        <w:tabs>
          <w:tab w:val="right" w:leader="dot" w:pos="8640"/>
        </w:tabs>
        <w:spacing w:before="168" w:after="0" w:line="276" w:lineRule="exact"/>
        <w:ind w:left="720" w:right="1120" w:hanging="720"/>
      </w:pPr>
      <w:r>
        <w:t xml:space="preserve">N.D.C.C.</w:t>
      </w:r>
      <w:r>
        <w:t xml:space="preserve"> </w:t>
      </w:r>
      <w:r>
        <w:t xml:space="preserve">§</w:t>
      </w:r>
      <w:r>
        <w:t xml:space="preserve"> </w:t>
      </w:r>
      <w:r>
        <w:t xml:space="preserve">49</w:t>
        <w:noBreakHyphen/>
        <w:t xml:space="preserve">22</w:t>
        <w:noBreakHyphen/>
        <w:t xml:space="preserve">08.1(5)</w:t>
      </w:r>
      <w:r>
        <w:t xml:space="preserve">   </w:t>
      </w:r>
      <w:r>
        <w:tab/>
      </w:r>
      <w:r>
        <w:t xml:space="preserve">5, 8</w:t>
      </w:r>
    </w:p>
    <w:p>
      <w:pPr>
        <w:keepLines/>
        <w:tabs>
          <w:tab w:val="right" w:leader="dot" w:pos="8640"/>
        </w:tabs>
        <w:spacing w:before="168" w:after="0" w:line="276" w:lineRule="exact"/>
        <w:ind w:left="720" w:right="1120" w:hanging="720"/>
      </w:pPr>
      <w:r>
        <w:t xml:space="preserve">N.D.C.C.</w:t>
      </w:r>
      <w:r>
        <w:t xml:space="preserve"> </w:t>
      </w:r>
      <w:r>
        <w:t xml:space="preserve">§</w:t>
      </w:r>
      <w:r>
        <w:t xml:space="preserve"> </w:t>
      </w:r>
      <w:r>
        <w:t xml:space="preserve">49</w:t>
        <w:noBreakHyphen/>
        <w:t xml:space="preserve">22</w:t>
        <w:noBreakHyphen/>
        <w:t xml:space="preserve">09</w:t>
      </w:r>
      <w:r>
        <w:t xml:space="preserve">   </w:t>
      </w:r>
      <w:r>
        <w:tab/>
      </w:r>
      <w:r>
        <w:t xml:space="preserve">5, 8</w:t>
      </w:r>
    </w:p>
    <w:p>
      <w:pPr>
        <w:keepNext/>
        <w:keepLines/>
        <w:spacing w:before="264" w:after="96" w:line="276" w:lineRule="exact"/>
        <w:ind w:left="0" w:firstLine="0"/>
        <w:jc w:val="left"/>
      </w:pPr>
      <w:r>
        <w:rPr>
          <w:b/>
          <w:bCs/>
        </w:rPr>
        <w:t xml:space="preserve">Rules</w:t>
      </w:r>
    </w:p>
    <w:p>
      <w:pPr>
        <w:keepLines/>
        <w:tabs>
          <w:tab w:val="right" w:leader="dot" w:pos="8640"/>
        </w:tabs>
        <w:spacing w:before="168" w:after="0" w:line="276" w:lineRule="exact"/>
        <w:ind w:left="720" w:right="1120" w:hanging="720"/>
      </w:pPr>
      <w:r>
        <w:t xml:space="preserve">N.D.R.App.P.</w:t>
      </w:r>
      <w:r>
        <w:t xml:space="preserve"> </w:t>
      </w:r>
      <w:r>
        <w:t xml:space="preserve">32(a)⁠(8)⁠(A)</w:t>
      </w:r>
      <w:r>
        <w:t xml:space="preserve">   </w:t>
      </w:r>
      <w:r>
        <w:tab/>
      </w:r>
      <w:r>
        <w:t xml:space="preserve">12</w:t>
      </w:r>
    </w:p>
    <w:p>
      <w:pPr>
        <w:pageBreakBefore/>
        <w:spacing w:before="0" w:after="0" w:line="1" w:lineRule="exact"/>
      </w:pPr>
    </w:p>
    <w:p>
      <w:pPr>
        <w:keepNext/>
        <w:keepLines/>
        <w:spacing w:before="0" w:after="240" w:line="276" w:lineRule="exact"/>
        <w:ind w:left="0" w:firstLine="0"/>
        <w:jc w:val="center"/>
      </w:pPr>
      <w:r>
        <w:rPr>
          <w:b/>
          <w:bCs/>
        </w:rPr>
        <w:t xml:space="preserve">INTRODUCTION.</w:t>
      </w:r>
    </w:p>
    <w:p>
      <w:pPr>
        <w:pStyle w:val="BodyText"/>
      </w:pPr>
      <w:r>
        <w:t xml:space="preserve">[¶1] Appellees’ briefs rest on one premise: the November 20, 2024 CPCN order was final, Appellants were too late, and every substantive question is therefore beyond review.</w:t>
      </w:r>
    </w:p>
    <w:p>
      <w:pPr>
        <w:pStyle w:val="BodyText"/>
      </w:pPr>
      <w:r>
        <w:t xml:space="preserve">[¶2] That premise fails because it assumes what must first be decided. The threshold question is whether the Public Service Commission had statutory authority to use Chapter 49</w:t>
      </w:r>
      <w:r>
        <w:noBreakHyphen/>
      </w:r>
      <w:r>
        <w:t xml:space="preserve">03</w:t>
      </w:r>
      <w:r>
        <w:t xml:space="preserve"> </w:t>
      </w:r>
      <w:r>
        <w:t xml:space="preserve">to determine</w:t>
      </w:r>
      <w:r>
        <w:t xml:space="preserve"> </w:t>
      </w:r>
      <w:r>
        <w:t xml:space="preserve">“public convenience and necessity”</w:t>
      </w:r>
      <w:r>
        <w:t xml:space="preserve"> </w:t>
      </w:r>
      <w:r>
        <w:t xml:space="preserve">for a new 85-mile, 345-kV transmission line that Chapter 49</w:t>
      </w:r>
      <w:r>
        <w:noBreakHyphen/>
      </w:r>
      <w:r>
        <w:t xml:space="preserve">22</w:t>
      </w:r>
      <w:r>
        <w:t xml:space="preserve"> </w:t>
      </w:r>
      <w:r>
        <w:t xml:space="preserve">requires to be justified through a siting application, direct notice, local hearing, evidence, and findings with reasons.</w:t>
      </w:r>
    </w:p>
    <w:p>
      <w:pPr>
        <w:pStyle w:val="BodyText"/>
      </w:pPr>
      <w:r>
        <w:t xml:space="preserve">[¶3] Appellees never overcome that point. They defend a two-step process that North Dakota law does not authorize.</w:t>
      </w:r>
    </w:p>
    <w:p>
      <w:pPr>
        <w:pStyle w:val="BodyText"/>
      </w:pPr>
      <w:r>
        <w:t xml:space="preserve">[¶4] Step one: the Utilities obtained a CPCN in a Chapter 49</w:t>
      </w:r>
      <w:r>
        <w:noBreakHyphen/>
      </w:r>
      <w:r>
        <w:t xml:space="preserve">03</w:t>
      </w:r>
      <w:r>
        <w:t xml:space="preserve"> </w:t>
      </w:r>
      <w:r>
        <w:t xml:space="preserve">docket noticed by publication. There was no mailed notice to the affected townships and landowners, no local hearing in the project area, no Chapter 49</w:t>
      </w:r>
      <w:r>
        <w:noBreakHyphen/>
      </w:r>
      <w:r>
        <w:t xml:space="preserve">22</w:t>
      </w:r>
      <w:r>
        <w:t xml:space="preserve"> </w:t>
      </w:r>
      <w:r>
        <w:t xml:space="preserve">application explaining need, alternatives, impacts, and effects on local government, and no reasoned findings. The Commission issued a conclusory order stating that public convenience and necessity would be served.</w:t>
      </w:r>
    </w:p>
    <w:p>
      <w:pPr>
        <w:pStyle w:val="BodyText"/>
      </w:pPr>
      <w:r>
        <w:t xml:space="preserve">[¶5] Step two: the Utilities filed the Chapter 49</w:t>
      </w:r>
      <w:r>
        <w:noBreakHyphen/>
      </w:r>
      <w:r>
        <w:t xml:space="preserve">22</w:t>
      </w:r>
      <w:r>
        <w:t xml:space="preserve"> </w:t>
      </w:r>
      <w:r>
        <w:t xml:space="preserve">siting application and treated the CPCN as if it had already established need. The practical effect is obvious. The communities directly in the path of the line are told they are late to the need question because need was decided in a proceeding where they received no direct notice.</w:t>
      </w:r>
    </w:p>
    <w:p>
      <w:pPr>
        <w:pStyle w:val="BodyText"/>
      </w:pPr>
      <w:r>
        <w:t xml:space="preserve">[¶6] The point is not blame. The point is notice. Appellees cannot fault affected townships and landowners for not participating in a proceeding that Chapter 49</w:t>
      </w:r>
      <w:r>
        <w:noBreakHyphen/>
      </w:r>
      <w:r>
        <w:t xml:space="preserve">22</w:t>
      </w:r>
      <w:r>
        <w:t xml:space="preserve"> </w:t>
      </w:r>
      <w:r>
        <w:t xml:space="preserve">required to be brought to them through direct notice, local hearing, evidence, and findings with reasons.</w:t>
      </w:r>
    </w:p>
    <w:p>
      <w:pPr>
        <w:pStyle w:val="BodyText"/>
      </w:pPr>
      <w:r>
        <w:t xml:space="preserve">[¶7] The Legislature did not create Chapter 49</w:t>
      </w:r>
      <w:r>
        <w:noBreakHyphen/>
      </w:r>
      <w:r>
        <w:t xml:space="preserve">22</w:t>
      </w:r>
      <w:r>
        <w:t xml:space="preserve"> </w:t>
      </w:r>
      <w:r>
        <w:t xml:space="preserve">as a routing afterthought. Its policy is to route new high-voltage transmission facilities</w:t>
      </w:r>
      <w:r>
        <w:t xml:space="preserve"> </w:t>
      </w:r>
      <w:r>
        <w:t xml:space="preserve">“in an orderly manner compatible with environmental preservation and the efficient use of resources.”</w:t>
      </w:r>
      <w:r>
        <w:t xml:space="preserve"> </w:t>
      </w:r>
      <w:r>
        <w:t xml:space="preserve">N.D.C.C. § 49-⁠22-⁠02.</w:t>
      </w:r>
      <w:r>
        <w:t xml:space="preserve"> </w:t>
      </w:r>
      <w:r>
        <w:t xml:space="preserve">The statute implements that policy through an application explaining need, hearing procedures allowing testimony and evidence, and decisions made in accordance with the evidence and supported by findings with reasons. N.D.C.C. § § 49</w:t>
      </w:r>
      <w:r>
        <w:noBreakHyphen/>
      </w:r>
      <w:r>
        <w:t xml:space="preserve">22</w:t>
      </w:r>
      <w:r>
        <w:noBreakHyphen/>
      </w:r>
      <w:r>
        <w:t xml:space="preserve">08(1)⁠(c),</w:t>
      </w:r>
      <w:r>
        <w:t xml:space="preserve"> </w:t>
      </w:r>
      <w:r>
        <w:t xml:space="preserve">49</w:t>
      </w:r>
      <w:r>
        <w:noBreakHyphen/>
      </w:r>
      <w:r>
        <w:t xml:space="preserve">22</w:t>
      </w:r>
      <w:r>
        <w:noBreakHyphen/>
      </w:r>
      <w:r>
        <w:t xml:space="preserve">09,</w:t>
      </w:r>
      <w:r>
        <w:t xml:space="preserve"> </w:t>
      </w:r>
      <w:r>
        <w:t xml:space="preserve">49</w:t>
      </w:r>
      <w:r>
        <w:noBreakHyphen/>
      </w:r>
      <w:r>
        <w:t xml:space="preserve">22</w:t>
      </w:r>
      <w:r>
        <w:noBreakHyphen/>
      </w:r>
      <w:r>
        <w:t xml:space="preserve">08(6),</w:t>
      </w:r>
      <w:r>
        <w:t xml:space="preserve"> </w:t>
      </w:r>
      <w:r>
        <w:t xml:space="preserve">49</w:t>
      </w:r>
      <w:r>
        <w:noBreakHyphen/>
      </w:r>
      <w:r>
        <w:t xml:space="preserve">22</w:t>
      </w:r>
      <w:r>
        <w:noBreakHyphen/>
      </w:r>
      <w:r>
        <w:t xml:space="preserve">08.1(5).</w:t>
      </w:r>
      <w:r>
        <w:t xml:space="preserve"> </w:t>
      </w:r>
      <w:r>
        <w:t xml:space="preserve">Those protections are the means by which need, alternatives, local impacts, economic consequences, environmental effects, and efficient use of resources are tested before a high-voltage transmission line is approved.</w:t>
      </w:r>
    </w:p>
    <w:p>
      <w:pPr>
        <w:pStyle w:val="BodyText"/>
      </w:pPr>
      <w:r>
        <w:t xml:space="preserve">[¶8] Appellees’ timeliness argument also depends on a second assumption: that the November 20 CPCN order was a legally sufficient final order that started the appeal clock against Appellants. But that order did not contain explicit findings of fact, separate conclusions of law, or a reasoned explanation tying the evidence to the statutory standard. It cannot both lack the findings necessary for meaningful review and be used to cut off review by the very people who were not directly notified.</w:t>
      </w:r>
    </w:p>
    <w:p>
      <w:pPr>
        <w:pStyle w:val="BodyText"/>
      </w:pPr>
      <w:r>
        <w:t xml:space="preserve">[¶9] At minimum, even if the Court treats the November 20 order as final for some purposes, finality does not cure an ultra vires act. An agency has only the authority the Legislature gives it. Where the PSC proceeds under the wrong statute, bypasses the procedures required by the controlling statute, and then uses that order to predetermine need in the later siting docket, the Court may review and correct the error.</w:t>
      </w:r>
    </w:p>
    <w:p>
      <w:pPr>
        <w:pStyle w:val="BodyText"/>
      </w:pPr>
      <w:r>
        <w:t xml:space="preserve">[¶10] Appellees’ standing argument fails for the same reason. Appellants are not strangers to a closed dispute. They are affected townships, landowners, and ratepayers whose petition to intervene, reopen, and rescind was denied by the June 18, 2025 order. That order is before the Court.</w:t>
      </w:r>
    </w:p>
    <w:p>
      <w:pPr>
        <w:pStyle w:val="BodyText"/>
      </w:pPr>
      <w:r>
        <w:t xml:space="preserve">[¶11] This Court should reverse. The CPCN should be vacated, the denial of intervention and reopening should be reversed, and the matter should be remanded with instructions that any determination of public need for this 345-kV line must be made under Chapter 49</w:t>
      </w:r>
      <w:r>
        <w:noBreakHyphen/>
      </w:r>
      <w:r>
        <w:t xml:space="preserve">22</w:t>
      </w:r>
      <w:r>
        <w:t xml:space="preserve"> </w:t>
      </w:r>
      <w:r>
        <w:t xml:space="preserve">on a record built with direct notice, local hearing, evidence, and findings with reasons.</w:t>
      </w:r>
    </w:p>
    <w:p>
      <w:pPr>
        <w:keepNext/>
        <w:keepLines/>
        <w:spacing w:before="288" w:after="240" w:line="276" w:lineRule="exact"/>
        <w:ind w:left="0" w:firstLine="0"/>
        <w:jc w:val="center"/>
      </w:pPr>
      <w:r>
        <w:rPr>
          <w:b/>
          <w:bCs/>
        </w:rPr>
        <w:t xml:space="preserve">ARGUMENT.</w:t>
      </w:r>
    </w:p>
    <w:p>
      <w:pPr>
        <w:keepNext/>
        <w:keepLines/>
        <w:spacing w:before="240" w:after="192" w:line="276" w:lineRule="exact"/>
        <w:ind w:left="720" w:hanging="720"/>
        <w:jc w:val="left"/>
      </w:pPr>
      <w:r>
        <w:rPr>
          <w:b/>
          <w:bCs/>
        </w:rPr>
        <w:t xml:space="preserve">I.</w:t>
      </w:r>
      <w:r>
        <w:rPr>
          <w:b/>
          <w:bCs/>
        </w:rPr>
        <w:t xml:space="preserve"> </w:t>
      </w:r>
      <w:r>
        <w:rPr>
          <w:b/>
          <w:bCs/>
        </w:rPr>
        <w:t xml:space="preserve">Appellees’</w:t>
      </w:r>
      <w:r>
        <w:rPr>
          <w:b/>
          <w:bCs/>
        </w:rPr>
        <w:t xml:space="preserve"> </w:t>
      </w:r>
      <w:r>
        <w:rPr>
          <w:b/>
          <w:bCs/>
        </w:rPr>
        <w:t xml:space="preserve">timeliness</w:t>
      </w:r>
      <w:r>
        <w:rPr>
          <w:b/>
          <w:bCs/>
        </w:rPr>
        <w:t xml:space="preserve"> </w:t>
      </w:r>
      <w:r>
        <w:rPr>
          <w:b/>
          <w:bCs/>
        </w:rPr>
        <w:t xml:space="preserve">argument</w:t>
      </w:r>
      <w:r>
        <w:rPr>
          <w:b/>
          <w:bCs/>
        </w:rPr>
        <w:t xml:space="preserve"> </w:t>
      </w:r>
      <w:r>
        <w:rPr>
          <w:b/>
          <w:bCs/>
        </w:rPr>
        <w:t xml:space="preserve">fails</w:t>
      </w:r>
      <w:r>
        <w:rPr>
          <w:b/>
          <w:bCs/>
        </w:rPr>
        <w:t xml:space="preserve"> </w:t>
      </w:r>
      <w:r>
        <w:rPr>
          <w:b/>
          <w:bCs/>
        </w:rPr>
        <w:t xml:space="preserve">because</w:t>
      </w:r>
      <w:r>
        <w:rPr>
          <w:b/>
          <w:bCs/>
        </w:rPr>
        <w:t xml:space="preserve"> </w:t>
      </w:r>
      <w:r>
        <w:rPr>
          <w:b/>
          <w:bCs/>
        </w:rPr>
        <w:t xml:space="preserve">it</w:t>
      </w:r>
      <w:r>
        <w:rPr>
          <w:b/>
          <w:bCs/>
        </w:rPr>
        <w:t xml:space="preserve"> </w:t>
      </w:r>
      <w:r>
        <w:rPr>
          <w:b/>
          <w:bCs/>
        </w:rPr>
        <w:t xml:space="preserve">assumes</w:t>
      </w:r>
      <w:r>
        <w:rPr>
          <w:b/>
          <w:bCs/>
        </w:rPr>
        <w:t xml:space="preserve"> </w:t>
      </w:r>
      <w:r>
        <w:rPr>
          <w:b/>
          <w:bCs/>
        </w:rPr>
        <w:t xml:space="preserve">statutory</w:t>
      </w:r>
      <w:r>
        <w:rPr>
          <w:b/>
          <w:bCs/>
        </w:rPr>
        <w:t xml:space="preserve"> </w:t>
      </w:r>
      <w:r>
        <w:rPr>
          <w:b/>
          <w:bCs/>
        </w:rPr>
        <w:t xml:space="preserve">authority</w:t>
      </w:r>
      <w:r>
        <w:rPr>
          <w:b/>
          <w:bCs/>
        </w:rPr>
        <w:t xml:space="preserve"> </w:t>
      </w:r>
      <w:r>
        <w:rPr>
          <w:b/>
          <w:bCs/>
        </w:rPr>
        <w:t xml:space="preserve">and</w:t>
      </w:r>
      <w:r>
        <w:rPr>
          <w:b/>
          <w:bCs/>
        </w:rPr>
        <w:t xml:space="preserve"> </w:t>
      </w:r>
      <w:r>
        <w:rPr>
          <w:b/>
          <w:bCs/>
        </w:rPr>
        <w:t xml:space="preserve">a</w:t>
      </w:r>
      <w:r>
        <w:rPr>
          <w:b/>
          <w:bCs/>
        </w:rPr>
        <w:t xml:space="preserve"> </w:t>
      </w:r>
      <w:r>
        <w:rPr>
          <w:b/>
          <w:bCs/>
        </w:rPr>
        <w:t xml:space="preserve">valid</w:t>
      </w:r>
      <w:r>
        <w:rPr>
          <w:b/>
          <w:bCs/>
        </w:rPr>
        <w:t xml:space="preserve"> </w:t>
      </w:r>
      <w:r>
        <w:rPr>
          <w:b/>
          <w:bCs/>
        </w:rPr>
        <w:t xml:space="preserve">final</w:t>
      </w:r>
      <w:r>
        <w:rPr>
          <w:b/>
          <w:bCs/>
        </w:rPr>
        <w:t xml:space="preserve"> </w:t>
      </w:r>
      <w:r>
        <w:rPr>
          <w:b/>
          <w:bCs/>
        </w:rPr>
        <w:t xml:space="preserve">order.</w:t>
      </w:r>
    </w:p>
    <w:p>
      <w:pPr>
        <w:pStyle w:val="BodyText"/>
      </w:pPr>
      <w:r>
        <w:t xml:space="preserve">[¶12] Appellees treat this appeal as a simple missed-deadline case. It is not. Their argument depends on the validity of the very agency action Appellants challenge.</w:t>
      </w:r>
    </w:p>
    <w:p>
      <w:pPr>
        <w:pStyle w:val="BodyText"/>
      </w:pPr>
      <w:r>
        <w:t xml:space="preserve">[¶13] The PSC has only the authority conferred by statute. In the administrative context,</w:t>
      </w:r>
      <w:r>
        <w:t xml:space="preserve"> </w:t>
      </w:r>
      <w:r>
        <w:t xml:space="preserve">“jurisdiction”</w:t>
      </w:r>
      <w:r>
        <w:t xml:space="preserve"> </w:t>
      </w:r>
      <w:r>
        <w:t xml:space="preserve">includes the agency’s statutory scope of authority. If the Commission lacked authority to use Chapter 49</w:t>
      </w:r>
      <w:r>
        <w:noBreakHyphen/>
      </w:r>
      <w:r>
        <w:t xml:space="preserve">03</w:t>
      </w:r>
      <w:r>
        <w:t xml:space="preserve"> </w:t>
      </w:r>
      <w:r>
        <w:t xml:space="preserve">to predetermine public need for this new 345-kV transmission facility, the November 20 CPCN order cannot be insulated by the deadline Appellees invoke.</w:t>
      </w:r>
    </w:p>
    <w:p>
      <w:pPr>
        <w:pStyle w:val="BodyText"/>
      </w:pPr>
      <w:r>
        <w:t xml:space="preserve">[¶14] Appellees say Appellants should have appealed the November 20 order within thirty days. But Chapter 28</w:t>
      </w:r>
      <w:r>
        <w:noBreakHyphen/>
      </w:r>
      <w:r>
        <w:t xml:space="preserve">32 ties appeal deadlines to notice of a final order served as required by law. N.D.C.C. § § 28</w:t>
      </w:r>
      <w:r>
        <w:noBreakHyphen/>
      </w:r>
      <w:r>
        <w:t xml:space="preserve">32</w:t>
      </w:r>
      <w:r>
        <w:noBreakHyphen/>
      </w:r>
      <w:r>
        <w:t xml:space="preserve">39,</w:t>
      </w:r>
      <w:r>
        <w:t xml:space="preserve"> </w:t>
      </w:r>
      <w:r>
        <w:t xml:space="preserve">28</w:t>
      </w:r>
      <w:r>
        <w:noBreakHyphen/>
      </w:r>
      <w:r>
        <w:t xml:space="preserve">32</w:t>
      </w:r>
      <w:r>
        <w:noBreakHyphen/>
      </w:r>
      <w:r>
        <w:t xml:space="preserve">42.</w:t>
      </w:r>
      <w:r>
        <w:t xml:space="preserve"> </w:t>
      </w:r>
      <w:r>
        <w:t xml:space="preserve">A final administrative order must disclose the agency’s factual findings, legal conclusions, and reasoning so parties and reviewing courts can determine whether the agency acted within the law, complied with required procedure, and supported its decision by the record.</w:t>
      </w:r>
    </w:p>
    <w:p>
      <w:pPr>
        <w:pStyle w:val="BodyText"/>
      </w:pPr>
      <w:r>
        <w:t xml:space="preserve">[¶15] The November 20 order did not do that. It made no explicit findings on present North Dakota need, alternatives, future wind generation, export capacity, rate impacts, local zoning concerns, or the affected townships’ interests. It did not contain separate conclusions of law. It simply declared the result.</w:t>
      </w:r>
    </w:p>
    <w:p>
      <w:pPr>
        <w:pStyle w:val="BodyText"/>
      </w:pPr>
      <w:r>
        <w:t xml:space="preserve">[¶16] Nor can the PSC cure the problem by invoking</w:t>
      </w:r>
      <w:r>
        <w:t xml:space="preserve"> </w:t>
      </w:r>
      <w:r>
        <w:t xml:space="preserve">“informal disposition.”</w:t>
      </w:r>
      <w:r>
        <w:t xml:space="preserve"> </w:t>
      </w:r>
      <w:r>
        <w:t xml:space="preserve">Informal disposition is permitted only where it does not substantially prejudice party rights. N.D.C.C. § 28-⁠32-⁠22.</w:t>
      </w:r>
      <w:r>
        <w:t xml:space="preserve"> </w:t>
      </w:r>
      <w:r>
        <w:t xml:space="preserve">Here, the prejudice is concrete: the affected townships and landowners were not directly notified, were not heard on need before the CPCN issued, and were denied intervention and reopening after they came forward.</w:t>
      </w:r>
    </w:p>
    <w:p>
      <w:pPr>
        <w:pStyle w:val="BodyText"/>
      </w:pPr>
      <w:r>
        <w:t xml:space="preserve">[¶17] The June 18, 2025 order is therefore properly before the Court. It denied intervention, denied reopening, refused to correct the lack of findings, and left in place an order the Utilities now use as proof that need has already been decided. This appeal is not an improper collateral attack. It is a direct challenge to the agency’s refusal to reopen and correct an unlawful proceeding.</w:t>
      </w:r>
    </w:p>
    <w:p>
      <w:pPr>
        <w:pStyle w:val="BodyText"/>
      </w:pPr>
      <w:r>
        <w:t xml:space="preserve">[¶18] Even if this Court treats the November 20 order as final, the remedy is not affirmance. A final order issued without statutory authority and without required findings is still unlawful. Under N.D.C.C. § 28-⁠32-⁠46,</w:t>
      </w:r>
      <w:r>
        <w:t xml:space="preserve"> </w:t>
      </w:r>
      <w:r>
        <w:t xml:space="preserve">the Court may reverse agency action that is not in accordance with law, violates constitutional rights, fails to comply with required procedure, or rests on insufficient findings and reasoning.</w:t>
      </w:r>
    </w:p>
    <w:p>
      <w:pPr>
        <w:keepNext/>
        <w:keepLines/>
        <w:spacing w:before="240" w:after="192" w:line="276" w:lineRule="exact"/>
        <w:ind w:left="720" w:hanging="720"/>
        <w:jc w:val="left"/>
      </w:pPr>
      <w:r>
        <w:rPr>
          <w:b/>
          <w:bCs/>
        </w:rPr>
        <w:t xml:space="preserve">II.</w:t>
      </w:r>
      <w:r>
        <w:rPr>
          <w:b/>
          <w:bCs/>
        </w:rPr>
        <w:t xml:space="preserve"> </w:t>
      </w:r>
      <w:r>
        <w:rPr>
          <w:b/>
          <w:bCs/>
        </w:rPr>
        <w:t xml:space="preserve">Chapter</w:t>
      </w:r>
      <w:r>
        <w:rPr>
          <w:b/>
          <w:bCs/>
        </w:rPr>
        <w:t xml:space="preserve"> </w:t>
      </w:r>
      <w:r>
        <w:rPr>
          <w:b/>
          <w:bCs/>
        </w:rPr>
        <w:t xml:space="preserve">49</w:t>
        <w:noBreakHyphen/>
        <w:t xml:space="preserve">22</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a</w:t>
      </w:r>
      <w:r>
        <w:rPr>
          <w:b/>
          <w:bCs/>
        </w:rPr>
        <w:t xml:space="preserve"> </w:t>
      </w:r>
      <w:r>
        <w:rPr>
          <w:b/>
          <w:bCs/>
        </w:rPr>
        <w:t xml:space="preserve">cleanup</w:t>
      </w:r>
      <w:r>
        <w:rPr>
          <w:b/>
          <w:bCs/>
        </w:rPr>
        <w:t xml:space="preserve"> </w:t>
      </w:r>
      <w:r>
        <w:rPr>
          <w:b/>
          <w:bCs/>
        </w:rPr>
        <w:t xml:space="preserve">step</w:t>
      </w:r>
      <w:r>
        <w:rPr>
          <w:b/>
          <w:bCs/>
        </w:rPr>
        <w:t xml:space="preserve"> </w:t>
      </w:r>
      <w:r>
        <w:rPr>
          <w:b/>
          <w:bCs/>
        </w:rPr>
        <w:t xml:space="preserve">after</w:t>
      </w:r>
      <w:r>
        <w:rPr>
          <w:b/>
          <w:bCs/>
        </w:rPr>
        <w:t xml:space="preserve"> </w:t>
      </w:r>
      <w:r>
        <w:rPr>
          <w:b/>
          <w:bCs/>
        </w:rPr>
        <w:t xml:space="preserve">Chapter</w:t>
      </w:r>
      <w:r>
        <w:rPr>
          <w:b/>
          <w:bCs/>
        </w:rPr>
        <w:t xml:space="preserve"> </w:t>
      </w:r>
      <w:r>
        <w:rPr>
          <w:b/>
          <w:bCs/>
        </w:rPr>
        <w:t xml:space="preserve">49</w:t>
        <w:noBreakHyphen/>
        <w:t xml:space="preserve">03.</w:t>
      </w:r>
    </w:p>
    <w:p>
      <w:pPr>
        <w:pStyle w:val="BodyText"/>
      </w:pPr>
      <w:r>
        <w:t xml:space="preserve">[¶19] Appellees’ merits argument is that both chapters apply: Chapter 49</w:t>
      </w:r>
      <w:r>
        <w:noBreakHyphen/>
      </w:r>
      <w:r>
        <w:t xml:space="preserve">03</w:t>
      </w:r>
      <w:r>
        <w:t xml:space="preserve"> </w:t>
      </w:r>
      <w:r>
        <w:t xml:space="preserve">decides public need first, and Chapter 49</w:t>
      </w:r>
      <w:r>
        <w:noBreakHyphen/>
      </w:r>
      <w:r>
        <w:t xml:space="preserve">22</w:t>
      </w:r>
      <w:r>
        <w:t xml:space="preserve"> </w:t>
      </w:r>
      <w:r>
        <w:t xml:space="preserve">later addresses location-specific impacts. That reading drains Chapter 49</w:t>
      </w:r>
      <w:r>
        <w:noBreakHyphen/>
      </w:r>
      <w:r>
        <w:t xml:space="preserve">22</w:t>
      </w:r>
      <w:r>
        <w:t xml:space="preserve"> </w:t>
      </w:r>
      <w:r>
        <w:t xml:space="preserve">of its central function.</w:t>
      </w:r>
    </w:p>
    <w:p>
      <w:pPr>
        <w:pStyle w:val="BodyText"/>
      </w:pPr>
      <w:r>
        <w:t xml:space="preserve">[¶20] Chapter 49</w:t>
      </w:r>
      <w:r>
        <w:noBreakHyphen/>
      </w:r>
      <w:r>
        <w:t xml:space="preserve">22</w:t>
      </w:r>
      <w:r>
        <w:t xml:space="preserve"> </w:t>
      </w:r>
      <w:r>
        <w:t xml:space="preserve">expressly applies to electric transmission facilities over 115 kV. N.D.C.C. § 49-⁠22-⁠03.</w:t>
      </w:r>
      <w:r>
        <w:t xml:space="preserve"> </w:t>
      </w:r>
      <w:r>
        <w:t xml:space="preserve">A utility may not begin construction without a route permit issued</w:t>
      </w:r>
      <w:r>
        <w:t xml:space="preserve"> </w:t>
      </w:r>
      <w:r>
        <w:t xml:space="preserve">“pursuant to this chapter.”</w:t>
      </w:r>
      <w:r>
        <w:t xml:space="preserve"> </w:t>
      </w:r>
      <w:r>
        <w:t xml:space="preserve">N.D.C.C. § 49-⁠22-⁠07.</w:t>
      </w:r>
      <w:r>
        <w:t xml:space="preserve"> </w:t>
      </w:r>
      <w:r>
        <w:t xml:space="preserve">The statute’s policy is to route transmission facilities in a manner compatible with environmental preservation and the efficient use of resources. N.D.C.C. § 49-⁠22-⁠02.</w:t>
      </w:r>
      <w:r>
        <w:t xml:space="preserve"> </w:t>
      </w:r>
      <w:r>
        <w:t xml:space="preserve">The application must include</w:t>
      </w:r>
      <w:r>
        <w:t xml:space="preserve"> </w:t>
      </w:r>
      <w:r>
        <w:t xml:space="preserve">“a statement explaining the need for the facility.”</w:t>
      </w:r>
      <w:r>
        <w:t xml:space="preserve"> </w:t>
      </w:r>
      <w:r>
        <w:t xml:space="preserve">N.D.C.C. § 49-⁠22-⁠08(1)⁠(c).</w:t>
      </w:r>
      <w:r>
        <w:t xml:space="preserve"> </w:t>
      </w:r>
      <w:r>
        <w:t xml:space="preserve">The Commission must conduct the hearing process and decide the matter in accordance with the evidence, supported by findings with reasons. N.D.C.C. § § 49</w:t>
      </w:r>
      <w:r>
        <w:noBreakHyphen/>
      </w:r>
      <w:r>
        <w:t xml:space="preserve">22</w:t>
      </w:r>
      <w:r>
        <w:noBreakHyphen/>
      </w:r>
      <w:r>
        <w:t xml:space="preserve">08(6),</w:t>
      </w:r>
      <w:r>
        <w:t xml:space="preserve"> </w:t>
      </w:r>
      <w:r>
        <w:t xml:space="preserve">49</w:t>
      </w:r>
      <w:r>
        <w:noBreakHyphen/>
      </w:r>
      <w:r>
        <w:t xml:space="preserve">22</w:t>
      </w:r>
      <w:r>
        <w:noBreakHyphen/>
      </w:r>
      <w:r>
        <w:t xml:space="preserve">08.1(5),</w:t>
      </w:r>
      <w:r>
        <w:t xml:space="preserve"> </w:t>
      </w:r>
      <w:r>
        <w:t xml:space="preserve">49</w:t>
      </w:r>
      <w:r>
        <w:noBreakHyphen/>
      </w:r>
      <w:r>
        <w:t xml:space="preserve">22</w:t>
      </w:r>
      <w:r>
        <w:noBreakHyphen/>
      </w:r>
      <w:r>
        <w:t xml:space="preserve">09.</w:t>
      </w:r>
    </w:p>
    <w:p>
      <w:pPr>
        <w:pStyle w:val="BodyText"/>
      </w:pPr>
      <w:r>
        <w:t xml:space="preserve">[¶21] Those provisions mean what they say. Need for a new high-voltage line must be tested inside the Chapter 49</w:t>
      </w:r>
      <w:r>
        <w:noBreakHyphen/>
      </w:r>
      <w:r>
        <w:t xml:space="preserve">22</w:t>
      </w:r>
      <w:r>
        <w:t xml:space="preserve"> </w:t>
      </w:r>
      <w:r>
        <w:t xml:space="preserve">process, not decided beforehand in a publication-noticed Chapter 49</w:t>
      </w:r>
      <w:r>
        <w:noBreakHyphen/>
      </w:r>
      <w:r>
        <w:t xml:space="preserve">03</w:t>
      </w:r>
      <w:r>
        <w:t xml:space="preserve"> </w:t>
      </w:r>
      <w:r>
        <w:t xml:space="preserve">docket and then imported into Chapter 49</w:t>
      </w:r>
      <w:r>
        <w:noBreakHyphen/>
      </w:r>
      <w:r>
        <w:t xml:space="preserve">22</w:t>
      </w:r>
      <w:r>
        <w:t xml:space="preserve"> </w:t>
      </w:r>
      <w:r>
        <w:t xml:space="preserve">as an established fact.</w:t>
      </w:r>
    </w:p>
    <w:p>
      <w:pPr>
        <w:pStyle w:val="BodyText"/>
      </w:pPr>
      <w:r>
        <w:t xml:space="preserve">[¶22] Chapter 49</w:t>
      </w:r>
      <w:r>
        <w:noBreakHyphen/>
      </w:r>
      <w:r>
        <w:t xml:space="preserve">03</w:t>
      </w:r>
      <w:r>
        <w:t xml:space="preserve"> </w:t>
      </w:r>
      <w:r>
        <w:t xml:space="preserve">may have continuing application in ordinary utility extension and service-area matters. It cannot be used to bypass the specific notice, hearing, evidence, and findings requirements of Chapter 49</w:t>
      </w:r>
      <w:r>
        <w:noBreakHyphen/>
      </w:r>
      <w:r>
        <w:t xml:space="preserve">22</w:t>
      </w:r>
      <w:r>
        <w:t xml:space="preserve"> </w:t>
      </w:r>
      <w:r>
        <w:t xml:space="preserve">for a new 345-kV line.</w:t>
      </w:r>
    </w:p>
    <w:p>
      <w:pPr>
        <w:pStyle w:val="BodyText"/>
      </w:pPr>
      <w:r>
        <w:t xml:space="preserve">[¶23] This case is not a small extension to serve a discrete local load or a territorial dispute between utilities. It is a major high-voltage transmission corridor tied to future generation development, export capacity, projected congestion, and long-term system assumptions. Those are precisely the kinds of need, alternatives, impacts, and local consequences Chapter 49</w:t>
      </w:r>
      <w:r>
        <w:noBreakHyphen/>
      </w:r>
      <w:r>
        <w:t xml:space="preserve">22</w:t>
      </w:r>
      <w:r>
        <w:t xml:space="preserve"> </w:t>
      </w:r>
      <w:r>
        <w:t xml:space="preserve">requires the Commission to examine in the affected area.</w:t>
      </w:r>
    </w:p>
    <w:p>
      <w:pPr>
        <w:pStyle w:val="BodyText"/>
      </w:pPr>
      <w:r>
        <w:t xml:space="preserve">[¶24] Appellees rely heavily on</w:t>
      </w:r>
      <w:r>
        <w:t xml:space="preserve"> </w:t>
      </w:r>
      <w:r>
        <w:rPr>
          <w:i/>
          <w:iCs/>
        </w:rPr>
        <w:t xml:space="preserve">Matter of Neb. Pub. Power Dist.</w:t>
      </w:r>
      <w:r>
        <w:t xml:space="preserve">, 330 N.W.2d</w:t>
      </w:r>
      <w:r>
        <w:t xml:space="preserve"> </w:t>
      </w:r>
      <w:r>
        <w:t xml:space="preserve">143 (N.D. 1983), but that case should not be read as a blank check to remove need from Chapter 49</w:t>
      </w:r>
      <w:r>
        <w:noBreakHyphen/>
      </w:r>
      <w:r>
        <w:t xml:space="preserve">22.</w:t>
      </w:r>
      <w:r>
        <w:t xml:space="preserve"> </w:t>
      </w:r>
      <w:r>
        <w:rPr>
          <w:i/>
          <w:iCs/>
        </w:rPr>
        <w:t xml:space="preserve">Nebraska</w:t>
      </w:r>
      <w:r>
        <w:t xml:space="preserve"> </w:t>
      </w:r>
      <w:r>
        <w:t xml:space="preserve">involved an interstate transmission corridor and a constitutional-avoidance posture. It did not hold that the Commission may use Chapter 49</w:t>
      </w:r>
      <w:r>
        <w:noBreakHyphen/>
      </w:r>
      <w:r>
        <w:t xml:space="preserve">03</w:t>
      </w:r>
      <w:r>
        <w:t xml:space="preserve"> </w:t>
      </w:r>
      <w:r>
        <w:t xml:space="preserve">to predetermine need for an in-state 345-kV project, without direct notice to affected townships and landowners, and then treat that need determination as binding in the later siting docket.</w:t>
      </w:r>
    </w:p>
    <w:p>
      <w:pPr>
        <w:pStyle w:val="BodyText"/>
      </w:pPr>
      <w:r>
        <w:t xml:space="preserve">[¶25] If</w:t>
      </w:r>
      <w:r>
        <w:t xml:space="preserve"> </w:t>
      </w:r>
      <w:r>
        <w:rPr>
          <w:i/>
          <w:iCs/>
        </w:rPr>
        <w:t xml:space="preserve">Nebraska</w:t>
      </w:r>
      <w:r>
        <w:t xml:space="preserve"> </w:t>
      </w:r>
      <w:r>
        <w:t xml:space="preserve">is read as Appellees read it, Chapter 49</w:t>
      </w:r>
      <w:r>
        <w:noBreakHyphen/>
      </w:r>
      <w:r>
        <w:t xml:space="preserve">22’s</w:t>
      </w:r>
      <w:r>
        <w:t xml:space="preserve"> </w:t>
      </w:r>
      <w:r>
        <w:t xml:space="preserve">requirement that the application include a statement explaining need becomes meaningless. The better reading harmonizes the statutes: Chapter 49</w:t>
      </w:r>
      <w:r>
        <w:noBreakHyphen/>
      </w:r>
      <w:r>
        <w:t xml:space="preserve">22</w:t>
      </w:r>
      <w:r>
        <w:t xml:space="preserve"> </w:t>
      </w:r>
      <w:r>
        <w:t xml:space="preserve">controls the process by which need, alternatives, local impacts, and siting criteria are tested, and Chapter 49</w:t>
      </w:r>
      <w:r>
        <w:noBreakHyphen/>
      </w:r>
      <w:r>
        <w:t xml:space="preserve">03</w:t>
      </w:r>
      <w:r>
        <w:t xml:space="preserve"> </w:t>
      </w:r>
      <w:r>
        <w:t xml:space="preserve">cannot be used to predetermine need, avoid direct notice, or narrow the later Chapter 49</w:t>
      </w:r>
      <w:r>
        <w:noBreakHyphen/>
      </w:r>
      <w:r>
        <w:t xml:space="preserve">22</w:t>
      </w:r>
      <w:r>
        <w:t xml:space="preserve"> </w:t>
      </w:r>
      <w:r>
        <w:t xml:space="preserve">proceeding to routing alone.</w:t>
      </w:r>
    </w:p>
    <w:p>
      <w:pPr>
        <w:keepNext/>
        <w:keepLines/>
        <w:spacing w:before="240" w:after="192" w:line="276" w:lineRule="exact"/>
        <w:ind w:left="720" w:hanging="720"/>
        <w:jc w:val="left"/>
      </w:pPr>
      <w:r>
        <w:rPr>
          <w:b/>
          <w:bCs/>
        </w:rPr>
        <w:t xml:space="preserve">III.</w:t>
      </w:r>
      <w:r>
        <w:rPr>
          <w:b/>
          <w:bCs/>
        </w:rPr>
        <w:t xml:space="preserve"> </w:t>
      </w:r>
      <w:r>
        <w:rPr>
          <w:b/>
          <w:bCs/>
        </w:rPr>
        <w:t xml:space="preserve">The</w:t>
      </w:r>
      <w:r>
        <w:rPr>
          <w:b/>
          <w:bCs/>
        </w:rPr>
        <w:t xml:space="preserve"> </w:t>
      </w:r>
      <w:r>
        <w:rPr>
          <w:b/>
          <w:bCs/>
        </w:rPr>
        <w:t xml:space="preserve">notice</w:t>
      </w:r>
      <w:r>
        <w:rPr>
          <w:b/>
          <w:bCs/>
        </w:rPr>
        <w:t xml:space="preserve"> </w:t>
      </w:r>
      <w:r>
        <w:rPr>
          <w:b/>
          <w:bCs/>
        </w:rPr>
        <w:t xml:space="preserve">problem</w:t>
      </w:r>
      <w:r>
        <w:rPr>
          <w:b/>
          <w:bCs/>
        </w:rPr>
        <w:t xml:space="preserve"> </w:t>
      </w:r>
      <w:r>
        <w:rPr>
          <w:b/>
          <w:bCs/>
        </w:rPr>
        <w:t xml:space="preserve">defeats</w:t>
      </w:r>
      <w:r>
        <w:rPr>
          <w:b/>
          <w:bCs/>
        </w:rPr>
        <w:t xml:space="preserve"> </w:t>
      </w:r>
      <w:r>
        <w:rPr>
          <w:b/>
          <w:bCs/>
        </w:rPr>
        <w:t xml:space="preserve">Appellees’</w:t>
      </w:r>
      <w:r>
        <w:rPr>
          <w:b/>
          <w:bCs/>
        </w:rPr>
        <w:t xml:space="preserve"> </w:t>
      </w:r>
      <w:r>
        <w:rPr>
          <w:b/>
          <w:bCs/>
        </w:rPr>
        <w:t xml:space="preserve">blame</w:t>
      </w:r>
      <w:r>
        <w:rPr>
          <w:b/>
          <w:bCs/>
        </w:rPr>
        <w:t xml:space="preserve"> </w:t>
      </w:r>
      <w:r>
        <w:rPr>
          <w:b/>
          <w:bCs/>
        </w:rPr>
        <w:t xml:space="preserve">and</w:t>
      </w:r>
      <w:r>
        <w:rPr>
          <w:b/>
          <w:bCs/>
        </w:rPr>
        <w:t xml:space="preserve"> </w:t>
      </w:r>
      <w:r>
        <w:rPr>
          <w:b/>
          <w:bCs/>
        </w:rPr>
        <w:t xml:space="preserve">waiver</w:t>
      </w:r>
      <w:r>
        <w:rPr>
          <w:b/>
          <w:bCs/>
        </w:rPr>
        <w:t xml:space="preserve"> </w:t>
      </w:r>
      <w:r>
        <w:rPr>
          <w:b/>
          <w:bCs/>
        </w:rPr>
        <w:t xml:space="preserve">arguments.</w:t>
      </w:r>
    </w:p>
    <w:p>
      <w:pPr>
        <w:pStyle w:val="BodyText"/>
      </w:pPr>
      <w:r>
        <w:t xml:space="preserve">[¶26] The PSC states that Appellants</w:t>
      </w:r>
      <w:r>
        <w:t xml:space="preserve"> </w:t>
      </w:r>
      <w:r>
        <w:t xml:space="preserve">“have no one to blame”</w:t>
      </w:r>
      <w:r>
        <w:t xml:space="preserve"> </w:t>
      </w:r>
      <w:r>
        <w:t xml:space="preserve">but themselves because they did not intervene sooner. PSC Br., ¶ 13. That argument proves the due-process problem.</w:t>
      </w:r>
    </w:p>
    <w:p>
      <w:pPr>
        <w:pStyle w:val="BodyText"/>
      </w:pPr>
      <w:r>
        <w:t xml:space="preserve">[¶27] Affected townships and landowners cannot be faulted for failing to participate in a proceeding that should have been conducted under Chapter 49</w:t>
      </w:r>
      <w:r>
        <w:noBreakHyphen/>
      </w:r>
      <w:r>
        <w:t xml:space="preserve">22,</w:t>
      </w:r>
      <w:r>
        <w:t xml:space="preserve"> </w:t>
      </w:r>
      <w:r>
        <w:t xml:space="preserve">with direct notice and a local hearing, but instead was conducted first under Chapter 49</w:t>
      </w:r>
      <w:r>
        <w:noBreakHyphen/>
      </w:r>
      <w:r>
        <w:t xml:space="preserve">03</w:t>
      </w:r>
      <w:r>
        <w:t xml:space="preserve"> </w:t>
      </w:r>
      <w:r>
        <w:t xml:space="preserve">with publication notice. The issue is not whether a newspaper notice existed. The issue is whether the Commission used the correct statutory procedure for a project of this size and consequence.</w:t>
      </w:r>
    </w:p>
    <w:p>
      <w:pPr>
        <w:pStyle w:val="BodyText"/>
      </w:pPr>
      <w:r>
        <w:t xml:space="preserve">[¶28] Appellees also argue that the townships and landowners can raise their concerns later in the siting docket. But later participation is not an adequate substitute if the Utilities may rely on the CPCN as proof that need has already been decided. That changes the posture of the siting case and converts Chapter 49</w:t>
      </w:r>
      <w:r>
        <w:noBreakHyphen/>
      </w:r>
      <w:r>
        <w:t xml:space="preserve">22</w:t>
      </w:r>
      <w:r>
        <w:t xml:space="preserve"> </w:t>
      </w:r>
      <w:r>
        <w:t xml:space="preserve">from a proceeding about need, alternatives, impacts, and route into a narrower proceeding about where to place a line already blessed as necessary.</w:t>
      </w:r>
    </w:p>
    <w:p>
      <w:pPr>
        <w:pStyle w:val="BodyText"/>
      </w:pPr>
      <w:r>
        <w:t xml:space="preserve">[¶29] Chapter 49</w:t>
      </w:r>
      <w:r>
        <w:noBreakHyphen/>
      </w:r>
      <w:r>
        <w:t xml:space="preserve">22</w:t>
      </w:r>
      <w:r>
        <w:t xml:space="preserve"> </w:t>
      </w:r>
      <w:r>
        <w:t xml:space="preserve">was enacted to prevent that result. The affected communities should not have to claw back the threshold need question after the Commission has already issued a public convenience and necessity certificate without direct notice, local hearing, or findings with reasons.</w:t>
      </w:r>
    </w:p>
    <w:p>
      <w:pPr>
        <w:keepNext/>
        <w:keepLines/>
        <w:spacing w:before="240" w:after="192" w:line="276" w:lineRule="exact"/>
        <w:ind w:left="720" w:hanging="720"/>
        <w:jc w:val="left"/>
      </w:pPr>
      <w:r>
        <w:rPr>
          <w:b/>
          <w:bCs/>
        </w:rPr>
        <w:t xml:space="preserve">IV.</w:t>
      </w:r>
      <w:r>
        <w:rPr>
          <w:b/>
          <w:bCs/>
        </w:rPr>
        <w:t xml:space="preserve"> </w:t>
      </w:r>
      <w:r>
        <w:rPr>
          <w:b/>
          <w:bCs/>
        </w:rPr>
        <w:t xml:space="preserve">Appellants</w:t>
      </w:r>
      <w:r>
        <w:rPr>
          <w:b/>
          <w:bCs/>
        </w:rPr>
        <w:t xml:space="preserve"> </w:t>
      </w:r>
      <w:r>
        <w:rPr>
          <w:b/>
          <w:bCs/>
        </w:rPr>
        <w:t xml:space="preserve">have</w:t>
      </w:r>
      <w:r>
        <w:rPr>
          <w:b/>
          <w:bCs/>
        </w:rPr>
        <w:t xml:space="preserve"> </w:t>
      </w:r>
      <w:r>
        <w:rPr>
          <w:b/>
          <w:bCs/>
        </w:rPr>
        <w:t xml:space="preserve">standing</w:t>
      </w:r>
      <w:r>
        <w:rPr>
          <w:b/>
          <w:bCs/>
        </w:rPr>
        <w:t xml:space="preserve"> </w:t>
      </w:r>
      <w:r>
        <w:rPr>
          <w:b/>
          <w:bCs/>
        </w:rPr>
        <w:t xml:space="preserve">to</w:t>
      </w:r>
      <w:r>
        <w:rPr>
          <w:b/>
          <w:bCs/>
        </w:rPr>
        <w:t xml:space="preserve"> </w:t>
      </w:r>
      <w:r>
        <w:rPr>
          <w:b/>
          <w:bCs/>
        </w:rPr>
        <w:t xml:space="preserve">seek</w:t>
      </w:r>
      <w:r>
        <w:rPr>
          <w:b/>
          <w:bCs/>
        </w:rPr>
        <w:t xml:space="preserve"> </w:t>
      </w:r>
      <w:r>
        <w:rPr>
          <w:b/>
          <w:bCs/>
        </w:rPr>
        <w:t xml:space="preserve">review</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June</w:t>
      </w:r>
      <w:r>
        <w:rPr>
          <w:b/>
          <w:bCs/>
        </w:rPr>
        <w:t xml:space="preserve"> </w:t>
      </w:r>
      <w:r>
        <w:rPr>
          <w:b/>
          <w:bCs/>
        </w:rPr>
        <w:t xml:space="preserve">18</w:t>
      </w:r>
      <w:r>
        <w:rPr>
          <w:b/>
          <w:bCs/>
        </w:rPr>
        <w:t xml:space="preserve"> </w:t>
      </w:r>
      <w:r>
        <w:rPr>
          <w:b/>
          <w:bCs/>
        </w:rPr>
        <w:t xml:space="preserve">order.</w:t>
      </w:r>
    </w:p>
    <w:p>
      <w:pPr>
        <w:pStyle w:val="BodyText"/>
      </w:pPr>
      <w:r>
        <w:t xml:space="preserve">[¶30] Appellees’ standing argument depends on the same circular reasoning as their timeliness argument. They say Appellants cannot challenge the CPCN because they were not parties. But Appellants were not parties because they were not directly notified and because the PSC denied their petition to intervene.</w:t>
      </w:r>
    </w:p>
    <w:p>
      <w:pPr>
        <w:pStyle w:val="BodyText"/>
      </w:pPr>
      <w:r>
        <w:t xml:space="preserve">[¶31]</w:t>
      </w:r>
      <w:r>
        <w:t xml:space="preserve"> </w:t>
      </w:r>
      <w:r>
        <w:rPr>
          <w:i/>
          <w:iCs/>
        </w:rPr>
        <w:t xml:space="preserve">Energy Transfer</w:t>
      </w:r>
      <w:r>
        <w:rPr>
          <w:i/>
          <w:iCs/>
        </w:rPr>
        <w:t xml:space="preserve"> </w:t>
      </w:r>
      <w:r>
        <w:rPr>
          <w:i/>
          <w:iCs/>
        </w:rPr>
        <w:t xml:space="preserve">LP v. N.D. Private Investigative &amp; Security Bd.</w:t>
      </w:r>
      <w:r>
        <w:t xml:space="preserve">, 2022 ND 85, 973 N.W.2d 394, confirms that a denied intervenor may obtain review of the denial of intervention. That is enough to bring the June 18 order before this Court. Once the Court reviews that order, it must decide whether the Commission lawfully denied intervention and reopening in a proceeding that affected Appellants’ property interests, township zoning authority, and ratepayer interests.</w:t>
      </w:r>
    </w:p>
    <w:p>
      <w:pPr>
        <w:pStyle w:val="BodyText"/>
      </w:pPr>
      <w:r>
        <w:t xml:space="preserve">[¶32]</w:t>
      </w:r>
      <w:r>
        <w:t xml:space="preserve"> </w:t>
      </w:r>
      <w:r>
        <w:rPr>
          <w:i/>
          <w:iCs/>
        </w:rPr>
        <w:t xml:space="preserve">Minn-Kota Ag Prods., Inc. v. N.D. Pub. Serv. Comm’n</w:t>
      </w:r>
      <w:r>
        <w:t xml:space="preserve">, 2020 ND 12, 938 N.W.2d</w:t>
      </w:r>
      <w:r>
        <w:t xml:space="preserve"> </w:t>
      </w:r>
      <w:r>
        <w:t xml:space="preserve">118, also defeats Appellees’ rigid participation argument. Minimal participation may be sufficient where a person is directly interested and factually aggrieved. Here, Appellants did more than submit a stray letter. After learning of the CPCN, the townships held meetings, acted through their local governments, denied conditional use permits, and jointly petitioned the PSC to intervene, reopen, and rescind. The landowners and ratepayers joined that request. The Commission then directly adjudicated and denied it.</w:t>
      </w:r>
    </w:p>
    <w:p>
      <w:pPr>
        <w:pStyle w:val="BodyText"/>
      </w:pPr>
      <w:r>
        <w:t xml:space="preserve">[¶33] Appellees’ position would create an impossible rule. Affected persons who were not directly notified under the statute that should have governed would lack standing because they did not participate before they were notified. That is not a standing doctrine. It is a forfeiture trap.</w:t>
      </w:r>
    </w:p>
    <w:p>
      <w:pPr>
        <w:pStyle w:val="BodyText"/>
      </w:pPr>
      <w:r>
        <w:t xml:space="preserve">[¶34] The Court should reject it. Appellants have standing to challenge the June 18 order denying intervention and reopening. And because the lawfulness of that order depends on the legality and effect of the CPCN it left in place, the Court necessarily may decide whether the PSC exceeded its statutory authority and whether the CPCN may continue to be used as proof of need in the Chapter 49</w:t>
      </w:r>
      <w:r>
        <w:noBreakHyphen/>
      </w:r>
      <w:r>
        <w:t xml:space="preserve">22</w:t>
      </w:r>
      <w:r>
        <w:t xml:space="preserve"> </w:t>
      </w:r>
      <w:r>
        <w:t xml:space="preserve">docket.</w:t>
      </w:r>
    </w:p>
    <w:p>
      <w:pPr>
        <w:keepNext/>
        <w:keepLines/>
        <w:spacing w:before="288" w:after="240" w:line="276" w:lineRule="exact"/>
        <w:ind w:left="0" w:firstLine="0"/>
        <w:jc w:val="center"/>
      </w:pPr>
      <w:r>
        <w:rPr>
          <w:b/>
          <w:bCs/>
        </w:rPr>
        <w:t xml:space="preserve">CONCLUSION.</w:t>
      </w:r>
    </w:p>
    <w:p>
      <w:pPr>
        <w:pStyle w:val="BodyText"/>
      </w:pPr>
      <w:r>
        <w:t xml:space="preserve">[¶35] Appellees reduce this case to timing. But timing does not answer statutory authority. The PSC used Chapter 49</w:t>
      </w:r>
      <w:r>
        <w:noBreakHyphen/>
      </w:r>
      <w:r>
        <w:t xml:space="preserve">03</w:t>
      </w:r>
      <w:r>
        <w:t xml:space="preserve"> </w:t>
      </w:r>
      <w:r>
        <w:t xml:space="preserve">to issue a public convenience and necessity certificate for a new 345-kV transmission line that Chapter 49</w:t>
      </w:r>
      <w:r>
        <w:noBreakHyphen/>
      </w:r>
      <w:r>
        <w:t xml:space="preserve">22</w:t>
      </w:r>
      <w:r>
        <w:t xml:space="preserve"> </w:t>
      </w:r>
      <w:r>
        <w:t xml:space="preserve">required to be justified through direct notice, local hearing, evidence, and findings with reasons. The affected townships and landowners were then told they were too late.</w:t>
      </w:r>
    </w:p>
    <w:p>
      <w:pPr>
        <w:pStyle w:val="BodyText"/>
      </w:pPr>
      <w:r>
        <w:t xml:space="preserve">[¶36] The Court should reverse the judgment, vacate the CPCN, reverse the June 18, 2025 denial of intervention and reopening, and remand with instructions that any determination of need, public convenience and necessity, corridor, or route for this 345-kV line proceed under Chapter 49</w:t>
      </w:r>
      <w:r>
        <w:noBreakHyphen/>
      </w:r>
      <w:r>
        <w:t xml:space="preserve">22.</w:t>
      </w:r>
    </w:p>
    <w:p>
      <w:pPr>
        <w:keepNext/>
        <w:keepLines/>
        <w:spacing w:before="288" w:after="240"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pStyle w:val="BodyText"/>
      </w:pPr>
      <w:r>
        <w:t xml:space="preserve">[¶37] I certify that this brief complies with N.D.R.App.P. 32(a)⁠(8)⁠(A).</w:t>
      </w:r>
      <w:r>
        <w:t xml:space="preserve"> </w:t>
      </w:r>
      <w:r>
        <w:t xml:space="preserve">I relied on the page count of the filed electronic document, which totals 12 pages. This brief was prepared in Microsoft Word using Times New Roman, 12-point, proportionally spaced font.</w:t>
      </w:r>
    </w:p>
    <w:p>
      <w:pPr>
        <w:spacing w:before="0" w:after="0" w:line="576"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276" w:lineRule="exact"/>
              <w:ind w:left="0" w:firstLine="0"/>
              <w:jc w:val="left"/>
            </w:pPr>
            <w:r>
              <w:t xml:space="preserve">Dated:</w:t>
            </w:r>
            <w:r>
              <w:t xml:space="preserve"> </w:t>
            </w:r>
            <w:r>
              <w:t xml:space="preserve">May</w:t>
            </w:r>
            <w:r>
              <w:t xml:space="preserve"> </w:t>
            </w:r>
            <w:r>
              <w:t xml:space="preserve">19,</w:t>
            </w:r>
            <w:r>
              <w:t xml:space="preserve"> </w:t>
            </w:r>
            <w:r>
              <w:t xml:space="preserve">2026</w:t>
            </w:r>
          </w:p>
          <w:p>
            <w:pPr>
              <w:spacing w:before="0" w:after="0" w:line="192"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4200"/>
              <w:gridCol w:w="4440"/>
            </w:tblGrid>
            <w:tr>
              <w:trPr>
                <w:cantSplit/>
              </w:trPr>
              <w:tc>
                <w:tcPr>
                  <w:tcW w:w="4200" w:type="dxa"/>
                </w:tcPr>
                <w:p>
                  <w:pPr>
                    <w:spacing w:before="0" w:after="0" w:line="276" w:lineRule="exact"/>
                    <w:ind w:left="0" w:firstLine="0"/>
                    <w:jc w:val="left"/>
                  </w:pPr>
                  <w:r>
                    <w:t xml:space="preserve">Steven</w:t>
                  </w:r>
                  <w:r>
                    <w:t xml:space="preserve"> </w:t>
                  </w:r>
                  <w:r>
                    <w:t xml:space="preserve">J.</w:t>
                  </w:r>
                  <w:r>
                    <w:t xml:space="preserve"> </w:t>
                  </w:r>
                  <w:r>
                    <w:t xml:space="preserve">Leibel</w:t>
                  </w:r>
                  <w:r>
                    <w:t xml:space="preserve"> </w:t>
                  </w:r>
                  <w:r>
                    <w:t xml:space="preserve">(ND</w:t>
                  </w:r>
                  <w:r>
                    <w:t xml:space="preserve"> </w:t>
                  </w:r>
                  <w:r>
                    <w:t xml:space="preserve">#</w:t>
                  </w:r>
                  <w:r>
                    <w:t xml:space="preserve"> </w:t>
                  </w:r>
                  <w:r>
                    <w:t xml:space="preserve">07361)</w:t>
                  </w:r>
                </w:p>
                <w:p>
                  <w:pPr>
                    <w:spacing w:before="0" w:after="0" w:line="276" w:lineRule="exact"/>
                    <w:ind w:left="0" w:firstLine="0"/>
                    <w:jc w:val="left"/>
                  </w:pPr>
                  <w:r>
                    <w:t xml:space="preserve">KNOLL</w:t>
                  </w:r>
                  <w:r>
                    <w:t xml:space="preserve"> </w:t>
                  </w:r>
                  <w:r>
                    <w:t xml:space="preserve">LEIBEL</w:t>
                  </w:r>
                  <w:r>
                    <w:t xml:space="preserve"> </w:t>
                  </w:r>
                  <w:r>
                    <w:t xml:space="preserve">LLP</w:t>
                  </w:r>
                </w:p>
                <w:p>
                  <w:pPr>
                    <w:spacing w:before="0" w:after="0" w:line="276" w:lineRule="exact"/>
                    <w:ind w:left="0" w:firstLine="0"/>
                    <w:jc w:val="left"/>
                  </w:pPr>
                  <w:r>
                    <w:t xml:space="preserve">P.O.</w:t>
                  </w:r>
                  <w:r>
                    <w:t xml:space="preserve"> </w:t>
                  </w:r>
                  <w:r>
                    <w:t xml:space="preserve">Box</w:t>
                  </w:r>
                  <w:r>
                    <w:t xml:space="preserve"> </w:t>
                  </w:r>
                  <w:r>
                    <w:t xml:space="preserve">858</w:t>
                  </w:r>
                </w:p>
                <w:p>
                  <w:pPr>
                    <w:spacing w:before="0" w:after="0" w:line="276" w:lineRule="exact"/>
                    <w:ind w:left="0" w:firstLine="0"/>
                    <w:jc w:val="left"/>
                  </w:pPr>
                  <w:r>
                    <w:t xml:space="preserve">1915</w:t>
                  </w:r>
                  <w:r>
                    <w:t xml:space="preserve"> </w:t>
                  </w:r>
                  <w:r>
                    <w:t xml:space="preserve">N.</w:t>
                  </w:r>
                  <w:r>
                    <w:t xml:space="preserve"> </w:t>
                  </w:r>
                  <w:r>
                    <w:t xml:space="preserve">Kavaney</w:t>
                  </w:r>
                  <w:r>
                    <w:t xml:space="preserve"> </w:t>
                  </w:r>
                  <w:r>
                    <w:t xml:space="preserve">Drive,</w:t>
                  </w:r>
                  <w:r>
                    <w:t xml:space="preserve"> </w:t>
                  </w:r>
                  <w:r>
                    <w:t xml:space="preserve">Ste.</w:t>
                  </w:r>
                  <w:r>
                    <w:t xml:space="preserve"> </w:t>
                  </w:r>
                  <w:r>
                    <w:t xml:space="preserve">3</w:t>
                  </w:r>
                </w:p>
                <w:p>
                  <w:pPr>
                    <w:spacing w:before="0" w:after="0" w:line="276" w:lineRule="exact"/>
                    <w:ind w:left="0" w:firstLine="0"/>
                    <w:jc w:val="left"/>
                  </w:pPr>
                  <w:r>
                    <w:t xml:space="preserve">Bismarck,</w:t>
                  </w:r>
                  <w:r>
                    <w:t xml:space="preserve"> </w:t>
                  </w:r>
                  <w:r>
                    <w:t xml:space="preserve">ND</w:t>
                  </w:r>
                  <w:r>
                    <w:t xml:space="preserve"> </w:t>
                  </w:r>
                  <w:r>
                    <w:t xml:space="preserve">58501</w:t>
                  </w:r>
                </w:p>
                <w:p>
                  <w:pPr>
                    <w:spacing w:before="0" w:after="0" w:line="276" w:lineRule="exact"/>
                    <w:ind w:left="0" w:firstLine="0"/>
                    <w:jc w:val="left"/>
                  </w:pPr>
                  <w:r>
                    <w:t xml:space="preserve">(701)</w:t>
                  </w:r>
                  <w:r>
                    <w:t xml:space="preserve"> </w:t>
                  </w:r>
                  <w:r>
                    <w:t xml:space="preserve">255</w:t>
                    <w:noBreakHyphen/>
                    <w:t xml:space="preserve">2010</w:t>
                  </w:r>
                </w:p>
                <w:p>
                  <w:pPr>
                    <w:spacing w:before="0" w:after="0" w:line="276" w:lineRule="exact"/>
                    <w:ind w:left="0" w:firstLine="0"/>
                    <w:jc w:val="left"/>
                  </w:pPr>
                  <w:r>
                    <w:t xml:space="preserve">steve@bismarck-attomeys.com</w:t>
                  </w:r>
                </w:p>
              </w:tc>
              <w:tc>
                <w:tcPr>
                  <w:tcW w:w="4440" w:type="dxa"/>
                  <w:tcMar>
                    <w:left w:w="240" w:type="dxa"/>
                  </w:tcMar>
                </w:tcPr>
                <w:p>
                  <w:pPr>
                    <w:spacing w:before="0" w:after="0" w:line="276" w:lineRule="exact"/>
                    <w:ind w:left="0" w:firstLine="0"/>
                    <w:jc w:val="left"/>
                  </w:pPr>
                  <w:r>
                    <w:rPr>
                      <w:u w:val="single"/>
                    </w:rPr>
                    <w:t xml:space="preserve">/s/</w:t>
                  </w:r>
                  <w:r>
                    <w:rPr>
                      <w:u w:val="single"/>
                    </w:rPr>
                    <w:t xml:space="preserve"> </w:t>
                  </w:r>
                  <w:r>
                    <w:rPr>
                      <w:u w:val="single"/>
                    </w:rPr>
                    <w:t xml:space="preserve">Douglas</w:t>
                  </w:r>
                  <w:r>
                    <w:rPr>
                      <w:u w:val="single"/>
                    </w:rPr>
                    <w:t xml:space="preserve"> </w:t>
                  </w:r>
                  <w:r>
                    <w:rPr>
                      <w:u w:val="single"/>
                    </w:rPr>
                    <w:t xml:space="preserve">J.</w:t>
                  </w:r>
                  <w:r>
                    <w:rPr>
                      <w:u w:val="single"/>
                    </w:rPr>
                    <w:t xml:space="preserve"> </w:t>
                  </w:r>
                  <w:r>
                    <w:rPr>
                      <w:u w:val="single"/>
                    </w:rPr>
                    <w:t xml:space="preserve">Nill</w:t>
                  </w:r>
                </w:p>
                <w:p>
                  <w:pPr>
                    <w:spacing w:before="0" w:after="0" w:line="276" w:lineRule="exact"/>
                    <w:ind w:left="0" w:firstLine="0"/>
                    <w:jc w:val="left"/>
                  </w:pPr>
                  <w:r>
                    <w:t xml:space="preserve">Douglas</w:t>
                  </w:r>
                  <w:r>
                    <w:t xml:space="preserve"> </w:t>
                  </w:r>
                  <w:r>
                    <w:t xml:space="preserve">J.</w:t>
                  </w:r>
                  <w:r>
                    <w:t xml:space="preserve"> </w:t>
                  </w:r>
                  <w:r>
                    <w:t xml:space="preserve">Nill</w:t>
                  </w:r>
                  <w:r>
                    <w:t xml:space="preserve"> </w:t>
                  </w:r>
                  <w:r>
                    <w:t xml:space="preserve">(ND</w:t>
                  </w:r>
                  <w:r>
                    <w:t xml:space="preserve"> </w:t>
                  </w:r>
                  <w:r>
                    <w:t xml:space="preserve">#</w:t>
                  </w:r>
                  <w:r>
                    <w:t xml:space="preserve"> </w:t>
                  </w:r>
                  <w:r>
                    <w:t xml:space="preserve">P00392)</w:t>
                  </w:r>
                </w:p>
                <w:p>
                  <w:pPr>
                    <w:spacing w:before="0" w:after="0" w:line="276" w:lineRule="exact"/>
                    <w:ind w:left="0" w:firstLine="0"/>
                    <w:jc w:val="left"/>
                  </w:pPr>
                  <w:r>
                    <w:t xml:space="preserve">DOUGLAS</w:t>
                  </w:r>
                  <w:r>
                    <w:t xml:space="preserve"> </w:t>
                  </w:r>
                  <w:r>
                    <w:t xml:space="preserve">J.</w:t>
                  </w:r>
                  <w:r>
                    <w:t xml:space="preserve"> </w:t>
                  </w:r>
                  <w:r>
                    <w:t xml:space="preserve">NILL,</w:t>
                  </w:r>
                  <w:r>
                    <w:t xml:space="preserve"> </w:t>
                  </w:r>
                  <w:r>
                    <w:t xml:space="preserve">PLLC</w:t>
                  </w:r>
                </w:p>
                <w:p>
                  <w:pPr>
                    <w:spacing w:before="0" w:after="0" w:line="276" w:lineRule="exact"/>
                    <w:ind w:left="0" w:firstLine="0"/>
                    <w:jc w:val="left"/>
                  </w:pPr>
                  <w:r>
                    <w:t xml:space="preserve">1850</w:t>
                  </w:r>
                  <w:r>
                    <w:t xml:space="preserve"> </w:t>
                  </w:r>
                  <w:r>
                    <w:t xml:space="preserve">Fifth</w:t>
                  </w:r>
                  <w:r>
                    <w:t xml:space="preserve"> </w:t>
                  </w:r>
                  <w:r>
                    <w:t xml:space="preserve">Street</w:t>
                  </w:r>
                  <w:r>
                    <w:t xml:space="preserve"> </w:t>
                  </w:r>
                  <w:r>
                    <w:t xml:space="preserve">Towers</w:t>
                  </w:r>
                </w:p>
                <w:p>
                  <w:pPr>
                    <w:spacing w:before="0" w:after="0" w:line="276" w:lineRule="exact"/>
                    <w:ind w:left="0" w:firstLine="0"/>
                    <w:jc w:val="left"/>
                  </w:pPr>
                  <w:r>
                    <w:t xml:space="preserve">150</w:t>
                  </w:r>
                  <w:r>
                    <w:t xml:space="preserve"> </w:t>
                  </w:r>
                  <w:r>
                    <w:t xml:space="preserve">South</w:t>
                  </w:r>
                  <w:r>
                    <w:t xml:space="preserve"> </w:t>
                  </w:r>
                  <w:r>
                    <w:t xml:space="preserve">Fifth</w:t>
                  </w:r>
                  <w:r>
                    <w:t xml:space="preserve"> </w:t>
                  </w:r>
                  <w:r>
                    <w:t xml:space="preserve">Street</w:t>
                  </w:r>
                </w:p>
                <w:p>
                  <w:pPr>
                    <w:spacing w:before="0" w:after="0" w:line="276" w:lineRule="exact"/>
                    <w:ind w:left="0" w:firstLine="0"/>
                    <w:jc w:val="left"/>
                  </w:pPr>
                  <w:r>
                    <w:t xml:space="preserve">Minneapolis,</w:t>
                  </w:r>
                  <w:r>
                    <w:t xml:space="preserve"> </w:t>
                  </w:r>
                  <w:r>
                    <w:t xml:space="preserve">MN</w:t>
                  </w:r>
                  <w:r>
                    <w:t xml:space="preserve"> </w:t>
                  </w:r>
                  <w:r>
                    <w:t xml:space="preserve">55402</w:t>
                  </w:r>
                </w:p>
                <w:p>
                  <w:pPr>
                    <w:spacing w:before="0" w:after="0" w:line="276" w:lineRule="exact"/>
                    <w:ind w:left="0" w:firstLine="0"/>
                    <w:jc w:val="left"/>
                  </w:pPr>
                  <w:r>
                    <w:t xml:space="preserve">(612)</w:t>
                  </w:r>
                  <w:r>
                    <w:t xml:space="preserve"> </w:t>
                  </w:r>
                  <w:r>
                    <w:t xml:space="preserve">573</w:t>
                    <w:noBreakHyphen/>
                    <w:t xml:space="preserve">3669</w:t>
                  </w:r>
                </w:p>
                <w:p>
                  <w:pPr>
                    <w:spacing w:before="0" w:after="0" w:line="276" w:lineRule="exact"/>
                    <w:ind w:left="0" w:firstLine="0"/>
                    <w:jc w:val="left"/>
                  </w:pPr>
                  <w:r>
                    <w:t xml:space="preserve">dnill@farmlaw.com</w:t>
                  </w:r>
                </w:p>
                <w:p>
                  <w:pPr>
                    <w:spacing w:before="0" w:after="0" w:line="276"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Appellants</w:t>
                  </w:r>
                </w:p>
              </w:tc>
            </w:tr>
          </w:tbl>
          <w:p>
            <w:pPr>
              <w:spacing w:before="0" w:after="0" w:line="1" w:lineRule="exact"/>
            </w:pPr>
          </w:p>
        </w:tc>
      </w:tr>
    </w:tbl>
    <w:sectPr>
      <w:footerReference w:type="default" r:id="rIdXdPage"/>
      <w:pgSz w:w="12240" w:h="15840"/>
      <w:pgMar w:top="1440" w:right="1440" w:bottom="1440" w:left="2160" w:header="720" w:footer="7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552"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276" w:after="276" w:line="276" w:lineRule="exact"/>
      <w:ind w:left="720" w:right="720" w:firstLine="0"/>
    </w:pPr>
  </w:style>
  <w:style w:type="paragraph" w:customStyle="1" w:styleId="XdQuoteFirst">
    <w:name w:val="Xd Quote First"/>
    <w:basedOn w:val="Normal"/>
    <w:qFormat/>
    <w:pPr>
      <w:spacing w:before="144" w:after="276" w:line="276" w:lineRule="exact"/>
      <w:ind w:left="720" w:right="720" w:firstLine="0"/>
    </w:pPr>
  </w:style>
  <w:style w:type="paragraph" w:customStyle="1" w:styleId="XdQuoteLast">
    <w:name w:val="Xd Quote Last"/>
    <w:basedOn w:val="Normal"/>
    <w:qFormat/>
    <w:pPr>
      <w:spacing w:before="276" w:after="240" w:line="276" w:lineRule="exact"/>
      <w:ind w:left="720" w:right="720" w:firstLine="0"/>
    </w:pPr>
  </w:style>
  <w:style w:type="paragraph" w:customStyle="1" w:styleId="XdQuoteOnly">
    <w:name w:val="Xd Quote Only"/>
    <w:basedOn w:val="Normal"/>
    <w:qFormat/>
    <w:pPr>
      <w:spacing w:before="144" w:after="240"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