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SOUTH</w:t>
      </w:r>
      <w:r>
        <w:rPr>
          <w:b/>
          <w:bCs/>
        </w:rPr>
        <w:t xml:space="preserve"> </w:t>
      </w:r>
      <w:r>
        <w:rPr>
          <w:b/>
          <w:bCs/>
        </w:rPr>
        <w:t xml:space="preserve">CAROLINA</w:t>
      </w:r>
    </w:p>
    <w:p>
      <w:pPr>
        <w:spacing w:before="0" w:after="0" w:line="276" w:lineRule="exact"/>
        <w:ind w:left="0" w:firstLine="0"/>
        <w:jc w:val="center"/>
      </w:pPr>
      <w:r>
        <w:t xml:space="preserve">In</w:t>
      </w:r>
      <w:r>
        <w:t xml:space="preserve"> </w:t>
      </w:r>
      <w:r>
        <w:t xml:space="preserve">the</w:t>
      </w:r>
      <w:r>
        <w:t xml:space="preserve"> </w:t>
      </w:r>
      <w:r>
        <w:t xml:space="preserve">Court</w:t>
      </w:r>
      <w:r>
        <w:t xml:space="preserve"> </w:t>
      </w:r>
      <w:r>
        <w:t xml:space="preserve">of</w:t>
      </w:r>
      <w:r>
        <w:t xml:space="preserve"> </w:t>
      </w:r>
      <w:r>
        <w:t xml:space="preserve">Appeals</w:t>
      </w:r>
    </w:p>
    <w:p>
      <w:pPr>
        <w:spacing w:before="432" w:after="0" w:line="276" w:lineRule="exact"/>
        <w:ind w:left="0" w:firstLine="0"/>
        <w:jc w:val="center"/>
      </w:pPr>
      <w:r>
        <w:t xml:space="preserve">Appeal</w:t>
      </w:r>
      <w:r>
        <w:t xml:space="preserve"> </w:t>
      </w:r>
      <w:r>
        <w:t xml:space="preserve">from</w:t>
      </w:r>
      <w:r>
        <w:t xml:space="preserve"> </w:t>
      </w:r>
      <w:r>
        <w:t xml:space="preserve">Colleton</w:t>
      </w:r>
      <w:r>
        <w:t xml:space="preserve"> </w:t>
      </w:r>
      <w:r>
        <w:t xml:space="preserve">County</w:t>
      </w:r>
    </w:p>
    <w:p>
      <w:pPr>
        <w:spacing w:before="0" w:after="0" w:line="276" w:lineRule="exact"/>
        <w:ind w:left="0" w:firstLine="0"/>
        <w:jc w:val="center"/>
      </w:pPr>
      <w:r>
        <w:t xml:space="preserve">Court</w:t>
      </w:r>
      <w:r>
        <w:t xml:space="preserve"> </w:t>
      </w:r>
      <w:r>
        <w:t xml:space="preserve">of</w:t>
      </w:r>
      <w:r>
        <w:t xml:space="preserve"> </w:t>
      </w:r>
      <w:r>
        <w:t xml:space="preserve">General</w:t>
      </w:r>
      <w:r>
        <w:t xml:space="preserve"> </w:t>
      </w:r>
      <w:r>
        <w:t xml:space="preserve">Sessions</w:t>
      </w:r>
    </w:p>
    <w:p>
      <w:pPr>
        <w:spacing w:before="0" w:after="0" w:line="276" w:lineRule="exact"/>
        <w:ind w:left="0" w:firstLine="0"/>
        <w:jc w:val="center"/>
      </w:pPr>
      <w:r>
        <w:t xml:space="preserve">Clifton</w:t>
      </w:r>
      <w:r>
        <w:t xml:space="preserve"> </w:t>
      </w:r>
      <w:r>
        <w:t xml:space="preserve">B.</w:t>
      </w:r>
      <w:r>
        <w:t xml:space="preserve"> </w:t>
      </w:r>
      <w:r>
        <w:t xml:space="preserve">Newman,</w:t>
      </w:r>
      <w:r>
        <w:t xml:space="preserve"> </w:t>
      </w:r>
      <w:r>
        <w:t xml:space="preserve">Circuit</w:t>
      </w:r>
      <w:r>
        <w:t xml:space="preserve"> </w:t>
      </w:r>
      <w:r>
        <w:t xml:space="preserve">Court</w:t>
      </w:r>
      <w:r>
        <w:t xml:space="preserve"> </w:t>
      </w:r>
      <w:r>
        <w:t xml:space="preserve">Judge</w:t>
      </w:r>
    </w:p>
    <w:p>
      <w:pPr>
        <w:spacing w:before="432" w:after="0" w:line="276" w:lineRule="exact"/>
        <w:ind w:left="0" w:firstLine="0"/>
        <w:jc w:val="center"/>
      </w:pPr>
      <w:r>
        <w:t xml:space="preserve">Appellate</w:t>
      </w:r>
      <w:r>
        <w:t xml:space="preserve"> </w:t>
      </w:r>
      <w:r>
        <w:t xml:space="preserve">Case</w:t>
      </w:r>
      <w:r>
        <w:t xml:space="preserve"> </w:t>
      </w:r>
      <w:r>
        <w:t xml:space="preserve">No.</w:t>
      </w:r>
      <w:r>
        <w:t xml:space="preserve"> </w:t>
      </w:r>
      <w:r>
        <w:t xml:space="preserve">2023</w:t>
        <w:noBreakHyphen/>
        <w:t xml:space="preserve">000392</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20"/>
        <w:gridCol w:w="4320"/>
        <w:gridCol w:w="2520"/>
      </w:tblGrid>
      <w:tr>
        <w:trPr>
          <w:cantSplit/>
        </w:trPr>
        <w:tc>
          <w:tcPr>
            <w:tcW w:w="2520" w:type="dxa"/>
          </w:tcPr>
          <w:p>
            <w:pPr>
              <w:spacing w:before="0" w:after="0" w:line="1" w:lineRule="exact"/>
            </w:pPr>
          </w:p>
        </w:tc>
        <w:tc>
          <w:tcPr>
            <w:tcW w:w="4320" w:type="dxa"/>
          </w:tcPr>
          <w:p>
            <w:pPr>
              <w:pBdr>
                <w:top w:val="single" w:sz="5" w:space="0" w:color="000000"/>
              </w:pBdr>
              <w:spacing w:before="0" w:after="0" w:line="1" w:lineRule="exact"/>
            </w:pPr>
          </w:p>
        </w:tc>
        <w:tc>
          <w:tcPr>
            <w:tcW w:w="2520" w:type="dxa"/>
          </w:tcPr>
          <w:p>
            <w:pPr>
              <w:spacing w:before="0" w:after="0" w:line="1" w:lineRule="exact"/>
            </w:pP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6240"/>
        <w:gridCol w:w="3120"/>
      </w:tblGrid>
      <w:tr>
        <w:trPr>
          <w:cantSplit/>
        </w:trPr>
        <w:tc>
          <w:tcPr>
            <w:tcW w:w="6240" w:type="dxa"/>
          </w:tcPr>
          <w:p>
            <w:pPr>
              <w:spacing w:before="0" w:after="0" w:line="276" w:lineRule="exact"/>
              <w:ind w:left="0" w:firstLine="0"/>
              <w:jc w:val="left"/>
            </w:pPr>
            <w:r>
              <w:t xml:space="preserve">State</w:t>
            </w:r>
            <w:r>
              <w:t xml:space="preserve"> </w:t>
            </w:r>
            <w:r>
              <w:t xml:space="preserve">of</w:t>
            </w:r>
            <w:r>
              <w:t xml:space="preserve"> </w:t>
            </w:r>
            <w:r>
              <w:t xml:space="preserve">South</w:t>
            </w:r>
            <w:r>
              <w:t xml:space="preserve"> </w:t>
            </w:r>
            <w:r>
              <w:t xml:space="preserve">Carolina,</w:t>
            </w:r>
          </w:p>
        </w:tc>
        <w:tc>
          <w:tcPr>
            <w:tcW w:w="3120" w:type="dxa"/>
            <w:tcMar>
              <w:left w:w="240" w:type="dxa"/>
            </w:tcMar>
            <w:vAlign w:val="center"/>
          </w:tcPr>
          <w:p>
            <w:pPr>
              <w:spacing w:before="0" w:after="0" w:line="276" w:lineRule="exact"/>
              <w:ind w:left="0" w:firstLine="0"/>
              <w:jc w:val="right"/>
            </w:pPr>
            <w:r>
              <w:t xml:space="preserve">Respondent,</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6240"/>
        <w:gridCol w:w="3120"/>
      </w:tblGrid>
      <w:tr>
        <w:trPr>
          <w:cantSplit/>
        </w:trPr>
        <w:tc>
          <w:tcPr>
            <w:tcW w:w="6240" w:type="dxa"/>
          </w:tcPr>
          <w:p>
            <w:pPr>
              <w:spacing w:before="0" w:after="0" w:line="276" w:lineRule="exact"/>
              <w:ind w:left="0" w:firstLine="0"/>
              <w:jc w:val="left"/>
            </w:pPr>
            <w:r>
              <w:t xml:space="preserve">Richard</w:t>
            </w:r>
            <w:r>
              <w:t xml:space="preserve"> </w:t>
            </w:r>
            <w:r>
              <w:t xml:space="preserve">Alexander</w:t>
            </w:r>
            <w:r>
              <w:t xml:space="preserve"> </w:t>
            </w:r>
            <w:r>
              <w:t xml:space="preserve">Murdaugh,</w:t>
            </w:r>
          </w:p>
        </w:tc>
        <w:tc>
          <w:tcPr>
            <w:tcW w:w="3120" w:type="dxa"/>
            <w:tcMar>
              <w:left w:w="240" w:type="dxa"/>
            </w:tcMar>
            <w:vAlign w:val="center"/>
          </w:tcPr>
          <w:p>
            <w:pPr>
              <w:spacing w:before="0" w:after="0" w:line="276" w:lineRule="exact"/>
              <w:ind w:left="0" w:firstLine="0"/>
              <w:jc w:val="right"/>
            </w:pPr>
            <w:r>
              <w:t xml:space="preserve">Appellant.</w:t>
            </w:r>
          </w:p>
        </w:tc>
      </w:tr>
    </w:tbl>
    <w:p>
      <w:pPr>
        <w:spacing w:before="1440" w:after="0" w:line="276" w:lineRule="exact"/>
        <w:ind w:left="0" w:firstLine="0"/>
        <w:jc w:val="center"/>
      </w:pPr>
      <w:r>
        <w:rPr>
          <w:b/>
          <w:bCs/>
        </w:rPr>
        <w:t xml:space="preserve">RETURN</w:t>
      </w:r>
      <w:r>
        <w:rPr>
          <w:b/>
          <w:bCs/>
        </w:rPr>
        <w:t xml:space="preserve"> </w:t>
      </w:r>
      <w:r>
        <w:rPr>
          <w:b/>
          <w:bCs/>
        </w:rPr>
        <w:t xml:space="preserve">TO</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SUSPEND</w:t>
      </w:r>
      <w:r>
        <w:rPr>
          <w:b/>
          <w:bCs/>
        </w:rPr>
        <w:t xml:space="preserve"> </w:t>
      </w:r>
      <w:r>
        <w:rPr>
          <w:b/>
          <w:bCs/>
        </w:rPr>
        <w:t xml:space="preserve">APPEAL</w:t>
      </w:r>
      <w:r>
        <w:rPr>
          <w:b/>
          <w:bCs/>
        </w:rPr>
        <w:t xml:space="preserve"> </w:t>
      </w:r>
      <w:r>
        <w:rPr>
          <w:b/>
          <w:bCs/>
        </w:rPr>
        <w:t xml:space="preserve">AND</w:t>
      </w:r>
      <w:r>
        <w:rPr>
          <w:b/>
          <w:bCs/>
        </w:rPr>
        <w:t xml:space="preserve"> </w:t>
      </w:r>
      <w:r>
        <w:rPr>
          <w:b/>
          <w:bCs/>
        </w:rPr>
        <w:t xml:space="preserve">FOR</w:t>
      </w:r>
      <w:r>
        <w:rPr>
          <w:b/>
          <w:bCs/>
        </w:rPr>
        <w:t xml:space="preserve"> </w:t>
      </w:r>
      <w:r>
        <w:rPr>
          <w:b/>
          <w:bCs/>
        </w:rPr>
        <w:t xml:space="preserve">LEAVE</w:t>
      </w:r>
      <w:r>
        <w:rPr>
          <w:b/>
          <w:bCs/>
        </w:rPr>
        <w:t xml:space="preserve"> </w:t>
      </w:r>
      <w:r>
        <w:rPr>
          <w:b/>
          <w:bCs/>
        </w:rPr>
        <w:t xml:space="preserve">TO</w:t>
      </w:r>
      <w:r>
        <w:rPr>
          <w:b/>
          <w:bCs/>
        </w:rPr>
        <w:t xml:space="preserve"> </w:t>
      </w:r>
      <w:r>
        <w:rPr>
          <w:b/>
          <w:bCs/>
        </w:rPr>
        <w:t xml:space="preserve">FILE</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NEW</w:t>
      </w:r>
      <w:r>
        <w:rPr>
          <w:b/>
          <w:bCs/>
        </w:rPr>
        <w:t xml:space="preserve"> </w:t>
      </w:r>
      <w:r>
        <w:rPr>
          <w:b/>
          <w:bCs/>
        </w:rPr>
        <w:t xml:space="preserve">TRIAL</w:t>
      </w:r>
    </w:p>
    <w:p>
      <w:pPr>
        <w:pageBreakBefore/>
        <w:spacing w:before="0" w:after="0" w:line="1" w:lineRule="exact"/>
      </w:pPr>
    </w:p>
    <w:p>
      <w:pPr>
        <w:pStyle w:val="BodyText"/>
      </w:pPr>
      <w:r>
        <w:t xml:space="preserve">On September 5, 2023, Appellant moved pursuant to Rule 29(b), SCRCrimP, to suspend his appeal and grant leave to file a motion for a new trial based on blend of mixed allegations broadly directed at the Colleton County Clerk of Court, Rebecca Hill (“the Clerk”). Respondent would show as follows:</w:t>
      </w:r>
    </w:p>
    <w:p>
      <w:pPr>
        <w:pStyle w:val="BodyText"/>
      </w:pPr>
      <w:r>
        <w:t xml:space="preserve">“A motion for a new trial based on after-discovered evidence may not be made while the case is on appeal unless the appellate court, upon motion, has suspended the appeal and granted leave to make the motion.” Rule 29(b), SCRCrimP. “There can be no doubt that motions of this sort should be received with the utmost caution, because, as it is said by a learned judge, there are but few cases tried in which something new may not be hunted up, and also because it tends to peijuryf.]”</w:t>
      </w:r>
      <w:r>
        <w:t xml:space="preserve"> </w:t>
      </w:r>
      <w:r>
        <w:rPr>
          <w:i/>
          <w:iCs/>
        </w:rPr>
        <w:t xml:space="preserve">State v. Mathis</w:t>
      </w:r>
      <w:r>
        <w:t xml:space="preserve">, 174 S.C. 344, 177 S.E. 318, 320 (1934) (quoting</w:t>
      </w:r>
      <w:r>
        <w:t xml:space="preserve"> </w:t>
      </w:r>
      <w:r>
        <w:rPr>
          <w:i/>
          <w:iCs/>
        </w:rPr>
        <w:t xml:space="preserve">State v. David</w:t>
      </w:r>
      <w:r>
        <w:t xml:space="preserve">, 14 S.C. 428, 432 (1881)). “[I]t would have a mischievous tendency, after all the evidence on the part of the state had been fully disclosed, to allow one, with his life in danger, an opportunity, by the assistance of confederates, to procure unprincipled witnesses to contradict the evidence on the part of the state, and thereby defeat the ends of justice.”</w:t>
      </w:r>
      <w:r>
        <w:t xml:space="preserve"> </w:t>
      </w:r>
      <w:r>
        <w:rPr>
          <w:i/>
          <w:iCs/>
        </w:rPr>
        <w:t xml:space="preserve">Id.</w:t>
      </w:r>
      <w:r>
        <w:t xml:space="preserve"> </w:t>
      </w:r>
      <w:r>
        <w:t xml:space="preserve">(quoting</w:t>
      </w:r>
      <w:r>
        <w:t xml:space="preserve"> </w:t>
      </w:r>
      <w:r>
        <w:rPr>
          <w:i/>
          <w:iCs/>
        </w:rPr>
        <w:t xml:space="preserve">State v. Harding</w:t>
      </w:r>
      <w:r>
        <w:t xml:space="preserve">, 2 S.C.L. (1 Bay) 267 (1800)).</w:t>
      </w:r>
    </w:p>
    <w:p>
      <w:pPr>
        <w:pStyle w:val="BodyText"/>
      </w:pPr>
      <w:r>
        <w:t xml:space="preserve">To prevail on his request to suspend the appeal and have the matter remanded to the circuit court to proceed on a motion for a new trial based on after-discovered evidence, Appellant must show (1) the evidence in question is such as will probably change the results if a new trial is granted; (2) the evidence has been discovered since the trial; (3) the evidence could not have been discovered prior to trial by the exercise of due diligence; (4) the evidence is material to the issue of guilt or innocence; and (5) the evidence is not merely cumulative or impeaching.</w:t>
      </w:r>
      <w:r>
        <w:t xml:space="preserve"> </w:t>
      </w:r>
      <w:r>
        <w:rPr>
          <w:i/>
          <w:iCs/>
        </w:rPr>
        <w:t xml:space="preserve">Hayden v. State</w:t>
      </w:r>
      <w:r>
        <w:t xml:space="preserve">, 278 S.C. 610, 611</w:t>
      </w:r>
      <w:r>
        <w:noBreakHyphen/>
      </w:r>
      <w:r>
        <w:t xml:space="preserve">12, 299 S.E.2d 854, 855 (1983);</w:t>
      </w:r>
      <w:r>
        <w:t xml:space="preserve"> </w:t>
      </w:r>
      <w:r>
        <w:rPr>
          <w:i/>
          <w:iCs/>
        </w:rPr>
        <w:t xml:space="preserve">see also State v. DeAngelis</w:t>
      </w:r>
      <w:r>
        <w:t xml:space="preserve">, 256 S.C. 364, 371, 182 S.E.2d 732, 735 (1971) (Movant “must show that he did not know of the existence of such evidence at the time of the trial and that he used due diligence to discovery such evidence, or that he could not have discovered it by the exercise of due diligence.”). A prima facie showing of these factors is necessary before a remand to the circuit court can be granted.</w:t>
      </w:r>
      <w:r>
        <w:t xml:space="preserve"> </w:t>
      </w:r>
      <w:r>
        <w:rPr>
          <w:i/>
          <w:iCs/>
        </w:rPr>
        <w:t xml:space="preserve">State v. Butler</w:t>
      </w:r>
      <w:r>
        <w:t xml:space="preserve">, 261 S.C. 355, 358, 200 S.E.2d 70, 71 (1973);</w:t>
      </w:r>
      <w:r>
        <w:t xml:space="preserve"> </w:t>
      </w:r>
      <w:r>
        <w:rPr>
          <w:i/>
          <w:iCs/>
        </w:rPr>
        <w:t xml:space="preserve">State v. Farris</w:t>
      </w:r>
      <w:r>
        <w:t xml:space="preserve">, 51 S.C. 176, 28 S.E. 370 (1897);</w:t>
      </w:r>
      <w:r>
        <w:t xml:space="preserve"> </w:t>
      </w:r>
      <w:r>
        <w:rPr>
          <w:i/>
          <w:iCs/>
        </w:rPr>
        <w:t xml:space="preserve">State v. Green</w:t>
      </w:r>
      <w:r>
        <w:t xml:space="preserve">, 46 S.C. 566, 27 S.E.2d 663 (1896). Additionally, “[i]t is essential to the consideration of a motion for a new trial based on after-discovered evidence that such motion shall be supported by an affidavit of the accused himself.”</w:t>
      </w:r>
      <w:r>
        <w:t xml:space="preserve"> </w:t>
      </w:r>
      <w:r>
        <w:rPr>
          <w:i/>
          <w:iCs/>
        </w:rPr>
        <w:t xml:space="preserve">DeAngelis</w:t>
      </w:r>
      <w:r>
        <w:t xml:space="preserve">, 256 S.C. at 371, 182 S.E.2d at 735 (emphasis added). “Unless a valid and sufficient reason for the omission to file such an affidavit is shown, the affidavit of the accused must show that he did not know of the existence of such evidence at the time of the trial and that he used due diligence to discover such evidence, or that he could not have discovered it by the exercise of due diligence.”</w:t>
      </w:r>
      <w:r>
        <w:t xml:space="preserve"> </w:t>
      </w:r>
      <w:r>
        <w:rPr>
          <w:i/>
          <w:iCs/>
        </w:rPr>
        <w:t xml:space="preserve">Id.</w:t>
      </w:r>
      <w:r>
        <w:t xml:space="preserve"> </w:t>
      </w:r>
      <w:r>
        <w:t xml:space="preserve">“An affidavit of the appellant’s counsel showing these matters is not sufficient.”</w:t>
      </w:r>
      <w:r>
        <w:t xml:space="preserve"> </w:t>
      </w:r>
      <w:r>
        <w:rPr>
          <w:i/>
          <w:iCs/>
        </w:rPr>
        <w:t xml:space="preserve">Id.</w:t>
      </w:r>
    </w:p>
    <w:p>
      <w:pPr>
        <w:pStyle w:val="BodyTextNote"/>
      </w:pPr>
      <w:r>
        <w:t xml:space="preserve">It may well be that suspension of the appeal and a remand for an evidentiary hearing will be necessary to properly resolve some of the serious claims raised by Appellant in the motion he intends to file. Objective investigation by SLED</w:t>
      </w:r>
      <w:r>
        <w:rPr>
          <w:rStyle w:val="FootnoteReference"/>
        </w:rPr>
        <w:footnoteReference w:id="9"/>
      </w:r>
      <w:r>
        <w:t xml:space="preserve"> </w:t>
      </w:r>
      <w:r>
        <w:t xml:space="preserve">remains ongoing, but the inquiry has already revealed significant factual disputes as to claims in Appellant’s motion. If no credible evidence can be found to support the claims brought by Appellant, the State will be prepared to argue against the motion before the Honorable Clifton B. Newman on remand.</w:t>
      </w:r>
    </w:p>
    <w:p>
      <w:pPr>
        <w:pStyle w:val="BodyTextNote"/>
      </w:pPr>
      <w:r>
        <w:t xml:space="preserve">However, at present, Appellant’s request for a remand is procedurally defective. A review of the motion does not reveal precisely when or how it is he learned of the claims he now raises, nor has Appellant provided the affidavit required by</w:t>
      </w:r>
      <w:r>
        <w:t xml:space="preserve"> </w:t>
      </w:r>
      <w:r>
        <w:rPr>
          <w:i/>
          <w:iCs/>
        </w:rPr>
        <w:t xml:space="preserve">DeAngelis</w:t>
      </w:r>
      <w:r>
        <w:t xml:space="preserve">. Appellant’s counsels have, however, made multiple statements to various media outlets indicating they were potentially aware of an issue with the jury at and about the time of trial. In a press conference on the steps of this this Court on September 5, 2023, counsel Harpootlian, responding to a question as to whether they saw the alleged conduct during the jury view or found out about it after the fact, replies “I think. ⁠. ⁠. we observed it. ⁠. ⁠. I was there, I watched it.”</w:t>
      </w:r>
      <w:r>
        <w:rPr>
          <w:rStyle w:val="FootnoteReference"/>
        </w:rPr>
        <w:footnoteReference w:id="10"/>
      </w:r>
      <w:r>
        <w:t xml:space="preserve"> </w:t>
      </w:r>
      <w:r>
        <w:t xml:space="preserve">Later at that same press conference, when a reporter asked if they approached the jurors or vice-versa, Griffin replied that “[i]mmediately in the aftermath of the verdict, we had received information that we needed to look into what happened in the jury room.”</w:t>
      </w:r>
      <w:r>
        <w:rPr>
          <w:rStyle w:val="FootnoteReference"/>
        </w:rPr>
        <w:footnoteReference w:id="11"/>
      </w:r>
      <w:r>
        <w:t xml:space="preserve"> </w:t>
      </w:r>
      <w:r>
        <w:t xml:space="preserve">In one interview with Good Morning America on September 6, 2023, counsel Griffin states that “soon after the trial. ⁠. ⁠. actually, as soon as the verdict was rendered, we had gotten some indication from folks in the courtroom that there was something untoward that had happened in the jury room. We didn’t know exactly what, um, and we went on a campaign to find out what.”</w:t>
      </w:r>
      <w:r>
        <w:rPr>
          <w:rStyle w:val="FootnoteReference"/>
        </w:rPr>
        <w:footnoteReference w:id="12"/>
      </w:r>
    </w:p>
    <w:p>
      <w:pPr>
        <w:pStyle w:val="BodyText"/>
      </w:pPr>
      <w:r>
        <w:t xml:space="preserve">Accordingly, the State is compelled to move to dismiss due to the procedural defect. The State would request the Court grant Appellant leave of 10 days to correct the procedural defect and establish precisely when and how it is he first learned of these allegations. In the event Appellant properly files, remand may be necessary for the trial judge, the Honorable Clifton B. Newman, to consider the credibility of the claims in light of the significant factual disputes which undermine the credibility of the claims.</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720"/>
              <w:jc w:val="left"/>
            </w:pPr>
            <w:r>
              <w:t xml:space="preserve">Respectfully</w:t>
            </w:r>
            <w:r>
              <w:t xml:space="preserve"> </w:t>
            </w:r>
            <w:r>
              <w:t xml:space="preserve">submitted,</w:t>
            </w:r>
          </w:p>
          <w:p>
            <w:pPr>
              <w:spacing w:before="192" w:after="0" w:line="276" w:lineRule="exact"/>
              <w:ind w:left="4608" w:firstLine="0"/>
              <w:jc w:val="left"/>
            </w:pPr>
            <w:r>
              <w:rPr>
                <w:b/>
                <w:bCs/>
              </w:rPr>
              <w:t xml:space="preserve">ALAN</w:t>
            </w:r>
            <w:r>
              <w:rPr>
                <w:b/>
                <w:bCs/>
              </w:rPr>
              <w:t xml:space="preserve"> </w:t>
            </w:r>
            <w:r>
              <w:rPr>
                <w:b/>
                <w:bCs/>
              </w:rPr>
              <w:t xml:space="preserve">WILSON</w:t>
            </w:r>
          </w:p>
          <w:p>
            <w:pPr>
              <w:spacing w:before="216" w:after="0" w:line="276" w:lineRule="exact"/>
              <w:ind w:left="4608" w:firstLine="0"/>
              <w:jc w:val="left"/>
            </w:pPr>
            <w:r>
              <w:rPr>
                <w:u w:val="single"/>
              </w:rPr>
              <w:t xml:space="preserve">/s/</w:t>
            </w:r>
            <w:r>
              <w:rPr>
                <w:u w:val="single"/>
              </w:rPr>
              <w:t xml:space="preserve"> </w:t>
            </w:r>
            <w:r>
              <w:rPr>
                <w:i/>
                <w:iCs/>
                <w:u w:val="single"/>
              </w:rPr>
              <w:t xml:space="preserve">Donald</w:t>
            </w:r>
            <w:r>
              <w:rPr>
                <w:i/>
                <w:iCs/>
                <w:u w:val="single"/>
              </w:rPr>
              <w:t xml:space="preserve"> </w:t>
            </w:r>
            <w:r>
              <w:rPr>
                <w:i/>
                <w:iCs/>
                <w:u w:val="single"/>
              </w:rPr>
              <w:t xml:space="preserve">J.</w:t>
            </w:r>
            <w:r>
              <w:rPr>
                <w:i/>
                <w:iCs/>
                <w:u w:val="single"/>
              </w:rPr>
              <w:t xml:space="preserve"> </w:t>
            </w:r>
            <w:r>
              <w:rPr>
                <w:i/>
                <w:iCs/>
                <w:u w:val="single"/>
              </w:rPr>
              <w:t xml:space="preserve">Zelenka</w:t>
            </w:r>
          </w:p>
          <w:p>
            <w:pPr>
              <w:spacing w:before="0" w:after="0" w:line="276" w:lineRule="exact"/>
              <w:ind w:left="4608" w:firstLine="0"/>
              <w:jc w:val="left"/>
            </w:pPr>
            <w:r>
              <w:t xml:space="preserve">Donald</w:t>
            </w:r>
            <w:r>
              <w:t xml:space="preserve"> </w:t>
            </w:r>
            <w:r>
              <w:t xml:space="preserve">J.</w:t>
            </w:r>
            <w:r>
              <w:t xml:space="preserve"> </w:t>
            </w:r>
            <w:r>
              <w:t xml:space="preserve">Zelenka</w:t>
            </w:r>
          </w:p>
          <w:p>
            <w:pPr>
              <w:spacing w:before="0" w:after="0" w:line="276" w:lineRule="exact"/>
              <w:ind w:left="4608" w:firstLine="0"/>
              <w:jc w:val="left"/>
            </w:pPr>
            <w:r>
              <w:t xml:space="preserve">S.C.</w:t>
            </w:r>
            <w:r>
              <w:t xml:space="preserve"> </w:t>
            </w:r>
            <w:r>
              <w:t xml:space="preserve">Bar</w:t>
            </w:r>
            <w:r>
              <w:t xml:space="preserve"> </w:t>
            </w:r>
            <w:r>
              <w:t xml:space="preserve">No.</w:t>
            </w:r>
            <w:r>
              <w:t xml:space="preserve"> </w:t>
            </w:r>
            <w:r>
              <w:t xml:space="preserve">5758</w:t>
            </w:r>
          </w:p>
          <w:p>
            <w:pPr>
              <w:spacing w:before="0" w:after="0" w:line="276" w:lineRule="exact"/>
              <w:ind w:left="4608" w:firstLine="0"/>
              <w:jc w:val="left"/>
            </w:pPr>
            <w:r>
              <w:t xml:space="preserve">Deputy</w:t>
            </w:r>
            <w:r>
              <w:t xml:space="preserve"> </w:t>
            </w:r>
            <w:r>
              <w:t xml:space="preserve">Attorney</w:t>
            </w:r>
            <w:r>
              <w:t xml:space="preserve"> </w:t>
            </w:r>
            <w:r>
              <w:t xml:space="preserve">General</w:t>
            </w:r>
          </w:p>
          <w:p>
            <w:pPr>
              <w:spacing w:before="216" w:after="0" w:line="276" w:lineRule="exact"/>
              <w:ind w:left="4608" w:firstLine="0"/>
              <w:jc w:val="left"/>
            </w:pPr>
            <w:r>
              <w:rPr>
                <w:u w:val="single"/>
              </w:rPr>
              <w:t xml:space="preserve">/s/</w:t>
            </w:r>
            <w:r>
              <w:rPr>
                <w:u w:val="single"/>
              </w:rPr>
              <w:t xml:space="preserve"> </w:t>
            </w:r>
            <w:r>
              <w:rPr>
                <w:i/>
                <w:iCs/>
                <w:u w:val="single"/>
              </w:rPr>
              <w:t xml:space="preserve">S.</w:t>
            </w:r>
            <w:r>
              <w:rPr>
                <w:i/>
                <w:iCs/>
                <w:u w:val="single"/>
              </w:rPr>
              <w:t xml:space="preserve"> </w:t>
            </w:r>
            <w:r>
              <w:rPr>
                <w:i/>
                <w:iCs/>
                <w:u w:val="single"/>
              </w:rPr>
              <w:t xml:space="preserve">Creighton</w:t>
            </w:r>
            <w:r>
              <w:rPr>
                <w:i/>
                <w:iCs/>
                <w:u w:val="single"/>
              </w:rPr>
              <w:t xml:space="preserve"> </w:t>
            </w:r>
            <w:r>
              <w:rPr>
                <w:i/>
                <w:iCs/>
                <w:u w:val="single"/>
              </w:rPr>
              <w:t xml:space="preserve">Waters</w:t>
            </w:r>
          </w:p>
          <w:p>
            <w:pPr>
              <w:spacing w:before="0" w:after="0" w:line="276" w:lineRule="exact"/>
              <w:ind w:left="4608" w:firstLine="0"/>
              <w:jc w:val="left"/>
            </w:pPr>
            <w:r>
              <w:t xml:space="preserve">S.</w:t>
            </w:r>
            <w:r>
              <w:t xml:space="preserve"> </w:t>
            </w:r>
            <w:r>
              <w:t xml:space="preserve">Creighton</w:t>
            </w:r>
            <w:r>
              <w:t xml:space="preserve"> </w:t>
            </w:r>
            <w:r>
              <w:t xml:space="preserve">Waters</w:t>
            </w:r>
          </w:p>
          <w:p>
            <w:pPr>
              <w:spacing w:before="0" w:after="0" w:line="276" w:lineRule="exact"/>
              <w:ind w:left="4608" w:firstLine="0"/>
              <w:jc w:val="left"/>
            </w:pPr>
            <w:r>
              <w:t xml:space="preserve">S.C.</w:t>
            </w:r>
            <w:r>
              <w:t xml:space="preserve"> </w:t>
            </w:r>
            <w:r>
              <w:t xml:space="preserve">Bar</w:t>
            </w:r>
            <w:r>
              <w:t xml:space="preserve"> </w:t>
            </w:r>
            <w:r>
              <w:t xml:space="preserve">No.</w:t>
            </w:r>
            <w:r>
              <w:t xml:space="preserve"> </w:t>
            </w:r>
            <w:r>
              <w:t xml:space="preserve">12155</w:t>
            </w:r>
          </w:p>
          <w:p>
            <w:pPr>
              <w:spacing w:before="0" w:after="0" w:line="276" w:lineRule="exact"/>
              <w:ind w:left="4608" w:firstLine="0"/>
              <w:jc w:val="left"/>
            </w:pPr>
            <w:r>
              <w:t xml:space="preserve">Senior</w:t>
            </w:r>
            <w:r>
              <w:t xml:space="preserve"> </w:t>
            </w:r>
            <w:r>
              <w:t xml:space="preserve">Assistant</w:t>
            </w:r>
            <w:r>
              <w:t xml:space="preserve"> </w:t>
            </w:r>
            <w:r>
              <w:t xml:space="preserve">Deputy</w:t>
            </w:r>
            <w:r>
              <w:t xml:space="preserve"> </w:t>
            </w:r>
            <w:r>
              <w:t xml:space="preserve">Attorney</w:t>
            </w:r>
            <w:r>
              <w:t xml:space="preserve"> </w:t>
            </w:r>
            <w:r>
              <w:t xml:space="preserve">General</w:t>
            </w:r>
          </w:p>
          <w:p>
            <w:pPr>
              <w:spacing w:before="216" w:after="0" w:line="276" w:lineRule="exact"/>
              <w:ind w:left="4608" w:firstLine="0"/>
              <w:jc w:val="left"/>
            </w:pPr>
            <w:r>
              <w:rPr>
                <w:u w:val="single"/>
              </w:rPr>
              <w:t xml:space="preserve">/s/</w:t>
            </w:r>
            <w:r>
              <w:rPr>
                <w:u w:val="single"/>
              </w:rPr>
              <w:t xml:space="preserve"> </w:t>
            </w:r>
            <w:r>
              <w:rPr>
                <w:i/>
                <w:iCs/>
                <w:u w:val="single"/>
              </w:rPr>
              <w:t xml:space="preserve">Johnny</w:t>
            </w:r>
            <w:r>
              <w:rPr>
                <w:i/>
                <w:iCs/>
                <w:u w:val="single"/>
              </w:rPr>
              <w:t xml:space="preserve"> </w:t>
            </w:r>
            <w:r>
              <w:rPr>
                <w:i/>
                <w:iCs/>
                <w:u w:val="single"/>
              </w:rPr>
              <w:t xml:space="preserve">Ellis</w:t>
            </w:r>
            <w:r>
              <w:rPr>
                <w:i/>
                <w:iCs/>
                <w:u w:val="single"/>
              </w:rPr>
              <w:t xml:space="preserve"> </w:t>
            </w:r>
            <w:r>
              <w:rPr>
                <w:i/>
                <w:iCs/>
                <w:u w:val="single"/>
              </w:rPr>
              <w:t xml:space="preserve">James</w:t>
            </w:r>
            <w:r>
              <w:rPr>
                <w:i/>
                <w:iCs/>
                <w:u w:val="single"/>
              </w:rPr>
              <w:t xml:space="preserve"> </w:t>
            </w:r>
            <w:r>
              <w:rPr>
                <w:i/>
                <w:iCs/>
                <w:u w:val="single"/>
              </w:rPr>
              <w:t xml:space="preserve">Jr.</w:t>
            </w:r>
          </w:p>
          <w:p>
            <w:pPr>
              <w:spacing w:before="0" w:after="0" w:line="276" w:lineRule="exact"/>
              <w:ind w:left="4608" w:firstLine="0"/>
              <w:jc w:val="left"/>
            </w:pPr>
            <w:r>
              <w:t xml:space="preserve">Johnny</w:t>
            </w:r>
            <w:r>
              <w:t xml:space="preserve"> </w:t>
            </w:r>
            <w:r>
              <w:t xml:space="preserve">Ellis</w:t>
            </w:r>
            <w:r>
              <w:t xml:space="preserve"> </w:t>
            </w:r>
            <w:r>
              <w:t xml:space="preserve">James</w:t>
            </w:r>
            <w:r>
              <w:t xml:space="preserve"> </w:t>
            </w:r>
            <w:r>
              <w:t xml:space="preserve">Jr.</w:t>
            </w:r>
          </w:p>
          <w:p>
            <w:pPr>
              <w:spacing w:before="0" w:after="0" w:line="276" w:lineRule="exact"/>
              <w:ind w:left="4608" w:firstLine="0"/>
              <w:jc w:val="left"/>
            </w:pPr>
            <w:r>
              <w:t xml:space="preserve">S.C.</w:t>
            </w:r>
            <w:r>
              <w:t xml:space="preserve"> </w:t>
            </w:r>
            <w:r>
              <w:t xml:space="preserve">Bar</w:t>
            </w:r>
            <w:r>
              <w:t xml:space="preserve"> </w:t>
            </w:r>
            <w:r>
              <w:t xml:space="preserve">No.</w:t>
            </w:r>
            <w:r>
              <w:t xml:space="preserve"> </w:t>
            </w:r>
            <w:r>
              <w:t xml:space="preserve">101260</w:t>
            </w:r>
          </w:p>
          <w:p>
            <w:pPr>
              <w:spacing w:before="0" w:after="0" w:line="276" w:lineRule="exact"/>
              <w:ind w:left="4608" w:firstLine="0"/>
              <w:jc w:val="left"/>
            </w:pPr>
            <w:r>
              <w:t xml:space="preserve">Assistant</w:t>
            </w:r>
            <w:r>
              <w:t xml:space="preserve"> </w:t>
            </w:r>
            <w:r>
              <w:t xml:space="preserve">Attorney</w:t>
            </w:r>
            <w:r>
              <w:t xml:space="preserve"> </w:t>
            </w:r>
            <w:r>
              <w:t xml:space="preserve">General</w:t>
            </w:r>
          </w:p>
          <w:p>
            <w:pPr>
              <w:spacing w:before="144" w:after="0" w:line="276" w:lineRule="exact"/>
              <w:ind w:left="4608"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76" w:lineRule="exact"/>
              <w:ind w:left="4608" w:firstLine="0"/>
              <w:jc w:val="left"/>
            </w:pPr>
            <w:r>
              <w:t xml:space="preserve">Post</w:t>
            </w:r>
            <w:r>
              <w:t xml:space="preserve"> </w:t>
            </w:r>
            <w:r>
              <w:t xml:space="preserve">Office</w:t>
            </w:r>
            <w:r>
              <w:t xml:space="preserve"> </w:t>
            </w:r>
            <w:r>
              <w:t xml:space="preserve">Box</w:t>
            </w:r>
            <w:r>
              <w:t xml:space="preserve"> </w:t>
            </w:r>
            <w:r>
              <w:t xml:space="preserve">11549</w:t>
            </w:r>
          </w:p>
          <w:p>
            <w:pPr>
              <w:spacing w:before="0" w:after="0" w:line="276" w:lineRule="exact"/>
              <w:ind w:left="4608" w:firstLine="0"/>
              <w:jc w:val="left"/>
            </w:pPr>
            <w:r>
              <w:t xml:space="preserve">Columbia,</w:t>
            </w:r>
            <w:r>
              <w:t xml:space="preserve"> </w:t>
            </w:r>
            <w:r>
              <w:t xml:space="preserve">South</w:t>
            </w:r>
            <w:r>
              <w:t xml:space="preserve"> </w:t>
            </w:r>
            <w:r>
              <w:t xml:space="preserve">Carolina</w:t>
            </w:r>
            <w:r>
              <w:t xml:space="preserve"> </w:t>
            </w:r>
            <w:r>
              <w:t xml:space="preserve">29211</w:t>
            </w:r>
          </w:p>
          <w:p>
            <w:pPr>
              <w:spacing w:before="0" w:after="0" w:line="276" w:lineRule="exact"/>
              <w:ind w:left="4608" w:firstLine="0"/>
              <w:jc w:val="left"/>
            </w:pPr>
            <w:r>
              <w:t xml:space="preserve">803.734.3970</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120" w:after="0" w:line="552" w:lineRule="exact"/>
        <w:ind w:left="0" w:firstLine="720"/>
        <w:jc w:val="left"/>
      </w:pPr>
      <w:r>
        <w:t xml:space="preserve">I,</w:t>
      </w:r>
      <w:r>
        <w:t xml:space="preserve"> </w:t>
      </w:r>
      <w:r>
        <w:t xml:space="preserve">Angela</w:t>
      </w:r>
      <w:r>
        <w:t xml:space="preserve"> </w:t>
      </w:r>
      <w:r>
        <w:t xml:space="preserve">Brown,</w:t>
      </w:r>
      <w:r>
        <w:t xml:space="preserve"> </w:t>
      </w:r>
      <w:r>
        <w:t xml:space="preserve">am</w:t>
      </w:r>
      <w:r>
        <w:t xml:space="preserve"> </w:t>
      </w:r>
      <w:r>
        <w:t xml:space="preserve">an</w:t>
      </w:r>
      <w:r>
        <w:t xml:space="preserve"> </w:t>
      </w:r>
      <w:r>
        <w:t xml:space="preserve">employee</w:t>
      </w:r>
      <w:r>
        <w:t xml:space="preserve"> </w:t>
      </w:r>
      <w:r>
        <w:t xml:space="preserve">of</w:t>
      </w:r>
      <w:r>
        <w:t xml:space="preserve"> </w:t>
      </w:r>
      <w:r>
        <w:t xml:space="preserve">the</w:t>
      </w:r>
      <w:r>
        <w:t xml:space="preserve"> </w:t>
      </w:r>
      <w:r>
        <w:t xml:space="preserve">Respondent,</w:t>
      </w:r>
      <w:r>
        <w:t xml:space="preserve"> </w:t>
      </w:r>
      <w:r>
        <w:t xml:space="preserve">hereby</w:t>
      </w:r>
      <w:r>
        <w:t xml:space="preserve"> </w:t>
      </w:r>
      <w:r>
        <w:t xml:space="preserve">certify</w:t>
      </w:r>
      <w:r>
        <w:t xml:space="preserve"> </w:t>
      </w:r>
      <w:r>
        <w:t xml:space="preserve">that</w:t>
      </w:r>
      <w:r>
        <w:t xml:space="preserve"> </w:t>
      </w:r>
      <w:r>
        <w:t xml:space="preserve">as</w:t>
      </w:r>
      <w:r>
        <w:t xml:space="preserve"> </w:t>
      </w:r>
      <w:r>
        <w:t xml:space="preserve">per</w:t>
      </w:r>
      <w:r>
        <w:t xml:space="preserve"> </w:t>
      </w:r>
      <w:r>
        <w:t xml:space="preserve">the</w:t>
      </w:r>
      <w:r>
        <w:t xml:space="preserve"> </w:t>
      </w:r>
      <w:r>
        <w:t xml:space="preserve">March</w:t>
      </w:r>
      <w:r>
        <w:t xml:space="preserve"> </w:t>
      </w:r>
      <w:r>
        <w:t xml:space="preserve">20,</w:t>
      </w:r>
      <w:r>
        <w:t xml:space="preserve"> </w:t>
      </w:r>
      <w:r>
        <w:t xml:space="preserve">2020</w:t>
      </w:r>
      <w:r>
        <w:t xml:space="preserve"> </w:t>
      </w:r>
      <w:r>
        <w:t xml:space="preserve">Order</w:t>
      </w:r>
      <w:r>
        <w:t xml:space="preserve"> </w:t>
      </w:r>
      <w:r>
        <w:t xml:space="preserve">of</w:t>
      </w:r>
      <w:r>
        <w:t xml:space="preserve"> </w:t>
      </w:r>
      <w:r>
        <w:t xml:space="preserve">the</w:t>
      </w:r>
      <w:r>
        <w:t xml:space="preserve"> </w:t>
      </w:r>
      <w:r>
        <w:t xml:space="preserve">Chief</w:t>
      </w:r>
      <w:r>
        <w:t xml:space="preserve"> </w:t>
      </w:r>
      <w:r>
        <w:t xml:space="preserve">Justice,</w:t>
      </w:r>
      <w:r>
        <w:t xml:space="preserve"> </w:t>
      </w:r>
      <w:r>
        <w:t xml:space="preserve">the</w:t>
      </w:r>
      <w:r>
        <w:t xml:space="preserve"> </w:t>
      </w:r>
      <w:r>
        <w:t xml:space="preserve">Return</w:t>
      </w:r>
      <w:r>
        <w:t xml:space="preserve"> </w:t>
      </w:r>
      <w:r>
        <w:t xml:space="preserve">to</w:t>
      </w:r>
      <w:r>
        <w:t xml:space="preserve"> </w:t>
      </w:r>
      <w:r>
        <w:t xml:space="preserve">Motion</w:t>
      </w:r>
      <w:r>
        <w:t xml:space="preserve"> </w:t>
      </w:r>
      <w:r>
        <w:t xml:space="preserve">to</w:t>
      </w:r>
      <w:r>
        <w:t xml:space="preserve"> </w:t>
      </w:r>
      <w:r>
        <w:t xml:space="preserve">Suspend</w:t>
      </w:r>
      <w:r>
        <w:t xml:space="preserve"> </w:t>
      </w:r>
      <w:r>
        <w:t xml:space="preserve">Appeal</w:t>
      </w:r>
      <w:r>
        <w:t xml:space="preserve"> </w:t>
      </w:r>
      <w:r>
        <w:t xml:space="preserve">and</w:t>
      </w:r>
      <w:r>
        <w:t xml:space="preserve"> </w:t>
      </w:r>
      <w:r>
        <w:t xml:space="preserve">for</w:t>
      </w:r>
      <w:r>
        <w:t xml:space="preserve"> </w:t>
      </w:r>
      <w:r>
        <w:t xml:space="preserve">Leave</w:t>
      </w:r>
      <w:r>
        <w:t xml:space="preserve"> </w:t>
      </w:r>
      <w:r>
        <w:t xml:space="preserve">to</w:t>
      </w:r>
      <w:r>
        <w:t xml:space="preserve"> </w:t>
      </w:r>
      <w:r>
        <w:t xml:space="preserve">File</w:t>
      </w:r>
      <w:r>
        <w:t xml:space="preserve"> </w:t>
      </w:r>
      <w:r>
        <w:t xml:space="preserve">Motion</w:t>
      </w:r>
      <w:r>
        <w:t xml:space="preserve"> </w:t>
      </w:r>
      <w:r>
        <w:t xml:space="preserve">for</w:t>
      </w:r>
      <w:r>
        <w:t xml:space="preserve"> </w:t>
      </w:r>
      <w:r>
        <w:t xml:space="preserve">New</w:t>
      </w:r>
      <w:r>
        <w:t xml:space="preserve"> </w:t>
      </w:r>
      <w:r>
        <w:t xml:space="preserve">Trial,</w:t>
      </w:r>
      <w:r>
        <w:t xml:space="preserve"> </w:t>
      </w:r>
      <w:r>
        <w:t xml:space="preserve">and</w:t>
      </w:r>
      <w:r>
        <w:t xml:space="preserve"> </w:t>
      </w:r>
      <w:r>
        <w:t xml:space="preserve">Certificate</w:t>
      </w:r>
      <w:r>
        <w:t xml:space="preserve"> </w:t>
      </w:r>
      <w:r>
        <w:t xml:space="preserve">of</w:t>
      </w:r>
      <w:r>
        <w:t xml:space="preserve"> </w:t>
      </w:r>
      <w:r>
        <w:t xml:space="preserve">Service</w:t>
      </w:r>
      <w:r>
        <w:t xml:space="preserve"> </w:t>
      </w:r>
      <w:r>
        <w:t xml:space="preserve">has</w:t>
      </w:r>
      <w:r>
        <w:t xml:space="preserve"> </w:t>
      </w:r>
      <w:r>
        <w:t xml:space="preserve">been</w:t>
      </w:r>
      <w:r>
        <w:t xml:space="preserve"> </w:t>
      </w:r>
      <w:r>
        <w:t xml:space="preserve">forwarded</w:t>
      </w:r>
      <w:r>
        <w:t xml:space="preserve"> </w:t>
      </w:r>
      <w:r>
        <w:t xml:space="preserve">to</w:t>
      </w:r>
      <w:r>
        <w:t xml:space="preserve"> </w:t>
      </w:r>
      <w:r>
        <w:t xml:space="preserve">Appellant’s</w:t>
      </w:r>
      <w:r>
        <w:t xml:space="preserve"> </w:t>
      </w:r>
      <w:r>
        <w:t xml:space="preserve">counsel,</w:t>
      </w:r>
      <w:r>
        <w:t xml:space="preserve"> </w:t>
      </w:r>
      <w:r>
        <w:t xml:space="preserve">Richard</w:t>
      </w:r>
      <w:r>
        <w:t xml:space="preserve"> </w:t>
      </w:r>
      <w:r>
        <w:t xml:space="preserve">A.</w:t>
      </w:r>
      <w:r>
        <w:t xml:space="preserve"> </w:t>
      </w:r>
      <w:r>
        <w:t xml:space="preserve">Harpootlian,</w:t>
      </w:r>
      <w:r>
        <w:t xml:space="preserve"> </w:t>
      </w:r>
      <w:r>
        <w:t xml:space="preserve">Esquire,</w:t>
      </w:r>
      <w:r>
        <w:t xml:space="preserve"> </w:t>
      </w:r>
      <w:r>
        <w:t xml:space="preserve">Phillip</w:t>
      </w:r>
      <w:r>
        <w:t xml:space="preserve"> </w:t>
      </w:r>
      <w:r>
        <w:t xml:space="preserve">D.</w:t>
      </w:r>
      <w:r>
        <w:t xml:space="preserve"> </w:t>
      </w:r>
      <w:r>
        <w:t xml:space="preserve">Barber,</w:t>
      </w:r>
      <w:r>
        <w:t xml:space="preserve"> </w:t>
      </w:r>
      <w:r>
        <w:t xml:space="preserve">Esquire,</w:t>
      </w:r>
      <w:r>
        <w:t xml:space="preserve"> </w:t>
      </w:r>
      <w:r>
        <w:t xml:space="preserve">James</w:t>
      </w:r>
      <w:r>
        <w:t xml:space="preserve"> </w:t>
      </w:r>
      <w:r>
        <w:t xml:space="preserve">M.</w:t>
      </w:r>
      <w:r>
        <w:t xml:space="preserve"> </w:t>
      </w:r>
      <w:r>
        <w:t xml:space="preserve">Griffin,</w:t>
      </w:r>
      <w:r>
        <w:t xml:space="preserve"> </w:t>
      </w:r>
      <w:r>
        <w:t xml:space="preserve">Esquire</w:t>
      </w:r>
      <w:r>
        <w:t xml:space="preserve"> </w:t>
      </w:r>
      <w:r>
        <w:t xml:space="preserve">and</w:t>
      </w:r>
      <w:r>
        <w:t xml:space="preserve"> </w:t>
      </w:r>
      <w:r>
        <w:t xml:space="preserve">Margaret</w:t>
      </w:r>
      <w:r>
        <w:t xml:space="preserve"> </w:t>
      </w:r>
      <w:r>
        <w:t xml:space="preserve">N.</w:t>
      </w:r>
      <w:r>
        <w:t xml:space="preserve"> </w:t>
      </w:r>
      <w:r>
        <w:t xml:space="preserve">Fox,</w:t>
      </w:r>
      <w:r>
        <w:t xml:space="preserve"> </w:t>
      </w:r>
      <w:r>
        <w:t xml:space="preserve">Esquire</w:t>
      </w:r>
      <w:r>
        <w:t xml:space="preserve"> </w:t>
      </w:r>
      <w:r>
        <w:t xml:space="preserve">via</w:t>
      </w:r>
      <w:r>
        <w:t xml:space="preserve"> </w:t>
      </w:r>
      <w:r>
        <w:t xml:space="preserve">email</w:t>
      </w:r>
      <w:r>
        <w:t xml:space="preserve"> </w:t>
      </w:r>
      <w:r>
        <w:t xml:space="preserve">today,</w:t>
      </w:r>
      <w:r>
        <w:t xml:space="preserve"> </w:t>
      </w:r>
      <w:r>
        <w:t xml:space="preserve">September</w:t>
      </w:r>
      <w:r>
        <w:t xml:space="preserve"> </w:t>
      </w:r>
      <w:r>
        <w:t xml:space="preserve">15,</w:t>
      </w:r>
      <w:r>
        <w:t xml:space="preserve"> </w:t>
      </w:r>
      <w:r>
        <w:t xml:space="preserve">2023</w:t>
      </w:r>
      <w:r>
        <w:t xml:space="preserve"> </w:t>
      </w:r>
      <w:r>
        <w:t xml:space="preserve">to</w:t>
      </w:r>
      <w:r>
        <w:t xml:space="preserve"> </w:t>
      </w:r>
      <w:r>
        <w:t xml:space="preserve">rah@harpootlianlaw.com,</w:t>
      </w:r>
      <w:r>
        <w:t xml:space="preserve"> </w:t>
      </w:r>
      <w:r>
        <w:t xml:space="preserve">pdb@harpootlianlaw.com,</w:t>
      </w:r>
      <w:r>
        <w:t xml:space="preserve"> </w:t>
      </w:r>
      <w:r>
        <w:t xml:space="preserve">jgriffin@griffinhumphries.com,</w:t>
      </w:r>
      <w:r>
        <w:t xml:space="preserve"> </w:t>
      </w:r>
      <w:r>
        <w:t xml:space="preserve">and</w:t>
      </w:r>
      <w:r>
        <w:t xml:space="preserve"> </w:t>
      </w:r>
      <w:r>
        <w:t xml:space="preserve">mfox@griffinhumphries.com.</w:t>
      </w:r>
    </w:p>
    <w:p>
      <w:pPr>
        <w:spacing w:before="0" w:after="0" w:line="552" w:lineRule="exact"/>
        <w:ind w:left="0" w:firstLine="720"/>
        <w:jc w:val="left"/>
      </w:pPr>
      <w:r>
        <w:t xml:space="preserve">I</w:t>
      </w:r>
      <w:r>
        <w:t xml:space="preserve"> </w:t>
      </w:r>
      <w:r>
        <w:t xml:space="preserve">further</w:t>
      </w:r>
      <w:r>
        <w:t xml:space="preserve"> </w:t>
      </w:r>
      <w:r>
        <w:t xml:space="preserve">certify</w:t>
      </w:r>
      <w:r>
        <w:t xml:space="preserve"> </w:t>
      </w:r>
      <w:r>
        <w:t xml:space="preserve">that</w:t>
      </w:r>
      <w:r>
        <w:t xml:space="preserve"> </w:t>
      </w:r>
      <w:r>
        <w:t xml:space="preserve">all</w:t>
      </w:r>
      <w:r>
        <w:t xml:space="preserve"> </w:t>
      </w:r>
      <w:r>
        <w:t xml:space="preserve">parties</w:t>
      </w:r>
      <w:r>
        <w:t xml:space="preserve"> </w:t>
      </w:r>
      <w:r>
        <w:t xml:space="preserve">required</w:t>
      </w:r>
      <w:r>
        <w:t xml:space="preserve"> </w:t>
      </w:r>
      <w:r>
        <w:t xml:space="preserve">by</w:t>
      </w:r>
      <w:r>
        <w:t xml:space="preserve"> </w:t>
      </w:r>
      <w:r>
        <w:t xml:space="preserve">Rule</w:t>
      </w:r>
      <w:r>
        <w:t xml:space="preserve"> </w:t>
      </w:r>
      <w:r>
        <w:t xml:space="preserve">to</w:t>
      </w:r>
      <w:r>
        <w:t xml:space="preserve"> </w:t>
      </w:r>
      <w:r>
        <w:t xml:space="preserve">be</w:t>
      </w:r>
      <w:r>
        <w:t xml:space="preserve"> </w:t>
      </w:r>
      <w:r>
        <w:t xml:space="preserve">served</w:t>
      </w:r>
      <w:r>
        <w:t xml:space="preserve"> </w:t>
      </w:r>
      <w:r>
        <w:t xml:space="preserve">have</w:t>
      </w:r>
      <w:r>
        <w:t xml:space="preserve"> </w:t>
      </w:r>
      <w:r>
        <w:t xml:space="preserve">been</w:t>
      </w:r>
      <w:r>
        <w:t xml:space="preserve"> </w:t>
      </w:r>
      <w:r>
        <w:t xml:space="preserve">served.</w:t>
      </w:r>
    </w:p>
    <w:p>
      <w:pPr>
        <w:spacing w:before="0" w:after="0" w:line="552" w:lineRule="exact"/>
        <w:ind w:left="0" w:firstLine="720"/>
        <w:jc w:val="left"/>
      </w:pPr>
      <w:r>
        <w:t xml:space="preserve">This</w:t>
      </w:r>
      <w:r>
        <w:t xml:space="preserve"> </w:t>
      </w:r>
      <w:r>
        <w:t xml:space="preserve">15th</w:t>
      </w:r>
      <w:r>
        <w:t xml:space="preserve"> </w:t>
      </w:r>
      <w:r>
        <w:t xml:space="preserve">day</w:t>
      </w:r>
      <w:r>
        <w:t xml:space="preserve"> </w:t>
      </w:r>
      <w:r>
        <w:t xml:space="preserve">of</w:t>
      </w:r>
      <w:r>
        <w:t xml:space="preserve"> </w:t>
      </w:r>
      <w:r>
        <w:t xml:space="preserve">September,</w:t>
      </w:r>
      <w:r>
        <w:t xml:space="preserve"> </w:t>
      </w:r>
      <w:r>
        <w:t xml:space="preserve">2023.</w:t>
      </w:r>
    </w:p>
    <w:p>
      <w:pPr>
        <w:spacing w:before="240" w:after="0" w:line="276" w:lineRule="exact"/>
        <w:ind w:left="1440" w:firstLine="0"/>
        <w:jc w:val="left"/>
      </w:pPr>
      <w:r>
        <w:t xml:space="preserve">s/</w:t>
      </w:r>
      <w:r>
        <w:t xml:space="preserve"> </w:t>
      </w:r>
      <w:r>
        <w:t xml:space="preserve">Angela</w:t>
      </w:r>
      <w:r>
        <w:t xml:space="preserve"> </w:t>
      </w:r>
      <w:r>
        <w:t xml:space="preserve">Brown</w:t>
      </w:r>
    </w:p>
    <w:p>
      <w:pPr>
        <w:spacing w:before="0" w:after="0" w:line="276" w:lineRule="exact"/>
        <w:ind w:left="1440" w:firstLine="0"/>
        <w:jc w:val="left"/>
      </w:pPr>
      <w:r>
        <w:t xml:space="preserve">Angela</w:t>
      </w:r>
      <w:r>
        <w:t xml:space="preserve"> </w:t>
      </w:r>
      <w:r>
        <w:t xml:space="preserve">Brown</w:t>
      </w:r>
    </w:p>
    <w:p>
      <w:pPr>
        <w:spacing w:before="0" w:after="0" w:line="276" w:lineRule="exact"/>
        <w:ind w:left="1440" w:firstLine="0"/>
        <w:jc w:val="left"/>
      </w:pPr>
      <w:r>
        <w:t xml:space="preserve">Legal</w:t>
      </w:r>
      <w:r>
        <w:t xml:space="preserve"> </w:t>
      </w:r>
      <w:r>
        <w:t xml:space="preserve">Assistant</w:t>
      </w:r>
      <w:r>
        <w:t xml:space="preserve"> </w:t>
      </w:r>
      <w:r>
        <w:t xml:space="preserve">to</w:t>
      </w:r>
      <w:r>
        <w:t xml:space="preserve"> </w:t>
      </w:r>
      <w:r>
        <w:t xml:space="preserve">Donald</w:t>
      </w:r>
      <w:r>
        <w:t xml:space="preserve"> </w:t>
      </w:r>
      <w:r>
        <w:t xml:space="preserve">J.</w:t>
      </w:r>
      <w:r>
        <w:t xml:space="preserve"> </w:t>
      </w:r>
      <w:r>
        <w:t xml:space="preserve">Zelenka</w:t>
      </w:r>
    </w:p>
    <w:p>
      <w:pPr>
        <w:spacing w:before="0" w:after="0" w:line="276" w:lineRule="exact"/>
        <w:ind w:left="1440" w:firstLine="0"/>
        <w:jc w:val="left"/>
      </w:pPr>
      <w:r>
        <w:t xml:space="preserve">Deputy</w:t>
      </w:r>
      <w:r>
        <w:t xml:space="preserve"> </w:t>
      </w:r>
      <w:r>
        <w:t xml:space="preserve">Attorney</w:t>
      </w:r>
      <w:r>
        <w:t xml:space="preserve"> </w:t>
      </w:r>
      <w:r>
        <w:t xml:space="preserve">General</w:t>
      </w:r>
    </w:p>
    <w:sectPr>
      <w:footerReference w:type="default" r:id="rIdFooter1"/>
      <w:footerReference w:type="first" r:id="rIdFooterFirst"/>
      <w:pgSz w:w="12240" w:h="15840"/>
      <w:pgMar w:top="1440" w:right="1440" w:bottom="1440" w:left="1440" w:header="720" w:footer="73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Agents utilized by SLED for this purpose are separate and distinct from those who have otherwise investigated Appellant’s numerous alleged crimes.</w:t>
      </w:r>
    </w:p>
  </w:footnote>
  <w:footnote w:id="10">
    <w:p>
      <w:pPr>
        <w:pStyle w:val="FootnoteText"/>
      </w:pPr>
      <w:r>
        <w:rPr>
          <w:rStyle w:val="FootnoteReference"/>
        </w:rPr>
        <w:footnoteRef/>
      </w:r>
      <w:r>
        <w:t xml:space="preserve"> </w:t>
      </w:r>
      <w:r>
        <w:t xml:space="preserve">Accessible at https://​www.​youtube.​com/​live/​myuNfAeviAw?​si=VshuNMu2-​JLFxPf&amp;​t=200 at 3:19 as of September 12, 2023.</w:t>
      </w:r>
    </w:p>
  </w:footnote>
  <w:footnote w:id="11">
    <w:p>
      <w:pPr>
        <w:pStyle w:val="FootnoteText"/>
      </w:pPr>
      <w:r>
        <w:rPr>
          <w:rStyle w:val="FootnoteReference"/>
        </w:rPr>
        <w:footnoteRef/>
      </w:r>
      <w:r>
        <w:t xml:space="preserve"> </w:t>
      </w:r>
      <w:r>
        <w:t xml:space="preserve">Accessible at https://​www.​youtube.​com/​live/​myuNfAeviAw?​si=lVDeYxODfv9LkwHT&amp;​t=311 at 5:10 as of September 12, 2023.</w:t>
      </w:r>
    </w:p>
  </w:footnote>
  <w:footnote w:id="12">
    <w:p>
      <w:pPr>
        <w:pStyle w:val="FootnoteText"/>
      </w:pPr>
      <w:r>
        <w:rPr>
          <w:rStyle w:val="FootnoteReference"/>
        </w:rPr>
        <w:footnoteRef/>
      </w:r>
      <w:r>
        <w:t xml:space="preserve"> </w:t>
      </w:r>
      <w:r>
        <w:t xml:space="preserve">Accessible at https://​www.​goodmorningamerica.​com/​news/​video/​alex-​murdaugh-​attorneys-​call-​new-​trial-⁠102955711 at 0:12 as of September 12, 2023.</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