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DA</w:t>
      </w:r>
      <w:r>
        <w:rPr>
          <w:b/>
          <w:bCs/>
        </w:rPr>
        <w:t xml:space="preserve"> </w:t>
      </w:r>
      <w:r>
        <w:rPr>
          <w:b/>
          <w:bCs/>
        </w:rPr>
        <w:t xml:space="preserve">23</w:t>
        <w:noBreakHyphen/>
        <w:t xml:space="preserve">0575</w:t>
      </w:r>
    </w:p>
    <w:p>
      <w:pPr>
        <w:spacing w:before="432" w:after="0" w:line="322" w:lineRule="exact"/>
        <w:ind w:left="0" w:firstLine="0"/>
        <w:jc w:val="center"/>
      </w:pPr>
      <w:r>
        <w:t xml:space="preserve">RIKKI</w:t>
      </w:r>
      <w:r>
        <w:t xml:space="preserve"> </w:t>
      </w:r>
      <w:r>
        <w:t xml:space="preserve">HELD,</w:t>
      </w:r>
      <w:r>
        <w:t xml:space="preserve"> </w:t>
      </w:r>
      <w:r>
        <w:t xml:space="preserve">ET</w:t>
      </w:r>
      <w:r>
        <w:t xml:space="preserve"> </w:t>
      </w:r>
      <w:r>
        <w:t xml:space="preserve">AL.,</w:t>
      </w:r>
    </w:p>
    <w:p>
      <w:pPr>
        <w:spacing w:before="0" w:after="0" w:line="322" w:lineRule="exact"/>
        <w:ind w:left="0" w:firstLine="0"/>
        <w:jc w:val="center"/>
      </w:pPr>
      <w:r>
        <w:rPr>
          <w:i/>
          <w:iCs/>
        </w:rPr>
        <w:t xml:space="preserve">Plaintiffs</w:t>
      </w:r>
      <w:r>
        <w:rPr>
          <w:i/>
          <w:iCs/>
        </w:rPr>
        <w:t xml:space="preserve"> </w:t>
      </w:r>
      <w:r>
        <w:rPr>
          <w:i/>
          <w:iCs/>
        </w:rPr>
        <w:t xml:space="preserve">and</w:t>
      </w:r>
      <w:r>
        <w:rPr>
          <w:i/>
          <w:iCs/>
        </w:rPr>
        <w:t xml:space="preserve"> </w:t>
      </w:r>
      <w:r>
        <w:rPr>
          <w:i/>
          <w:iCs/>
        </w:rPr>
        <w:t xml:space="preserve">Appellees,</w:t>
      </w:r>
    </w:p>
    <w:p>
      <w:pPr>
        <w:spacing w:before="288" w:after="288" w:line="322" w:lineRule="exact"/>
        <w:ind w:left="0" w:firstLine="0"/>
        <w:jc w:val="center"/>
      </w:pPr>
      <w:r>
        <w:t xml:space="preserve">v.</w:t>
      </w:r>
    </w:p>
    <w:p>
      <w:pPr>
        <w:spacing w:before="0" w:after="0" w:line="322" w:lineRule="exact"/>
        <w:ind w:left="0" w:firstLine="0"/>
        <w:jc w:val="center"/>
      </w:pPr>
      <w:r>
        <w:t xml:space="preserve">STATE</w:t>
      </w:r>
      <w:r>
        <w:t xml:space="preserve"> </w:t>
      </w:r>
      <w:r>
        <w:t xml:space="preserve">OF</w:t>
      </w:r>
      <w:r>
        <w:t xml:space="preserve"> </w:t>
      </w:r>
      <w:r>
        <w:t xml:space="preserve">MONTANA,</w:t>
      </w:r>
      <w:r>
        <w:t xml:space="preserve"> </w:t>
      </w:r>
      <w:r>
        <w:t xml:space="preserve">ET</w:t>
      </w:r>
      <w:r>
        <w:t xml:space="preserve"> </w:t>
      </w:r>
      <w:r>
        <w:t xml:space="preserve">AL.</w:t>
      </w:r>
    </w:p>
    <w:p>
      <w:pPr>
        <w:spacing w:before="0" w:after="0" w:line="322" w:lineRule="exact"/>
        <w:ind w:left="0" w:firstLine="0"/>
        <w:jc w:val="center"/>
      </w:pPr>
      <w:r>
        <w:rPr>
          <w:i/>
          <w:iCs/>
        </w:rPr>
        <w:t xml:space="preserve">Defendants</w:t>
      </w:r>
      <w:r>
        <w:rPr>
          <w:i/>
          <w:iCs/>
        </w:rPr>
        <w:t xml:space="preserve"> </w:t>
      </w:r>
      <w:r>
        <w:rPr>
          <w:i/>
          <w:iCs/>
        </w:rPr>
        <w:t xml:space="preserve">and</w:t>
      </w:r>
      <w:r>
        <w:rPr>
          <w:i/>
          <w:iCs/>
        </w:rPr>
        <w:t xml:space="preserve"> </w:t>
      </w:r>
      <w:r>
        <w:rPr>
          <w:i/>
          <w:iCs/>
        </w:rPr>
        <w:t xml:space="preserve">Appellants.</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Montana</w:t>
      </w:r>
      <w:r>
        <w:t xml:space="preserve"> </w:t>
      </w:r>
      <w:r>
        <w:t xml:space="preserve">First</w:t>
      </w:r>
      <w:r>
        <w:t xml:space="preserve"> </w:t>
      </w:r>
      <w:r>
        <w:t xml:space="preserve">Judicial</w:t>
      </w:r>
      <w:r>
        <w:t xml:space="preserve"> </w:t>
      </w:r>
      <w:r>
        <w:t xml:space="preserve">District</w:t>
      </w:r>
      <w:r>
        <w:t xml:space="preserve"> </w:t>
      </w:r>
      <w:r>
        <w:t xml:space="preserve">Court,</w:t>
      </w:r>
      <w:r>
        <w:t xml:space="preserve"> </w:t>
      </w:r>
      <w:r>
        <w:t xml:space="preserve">Lewis</w:t>
      </w:r>
      <w:r>
        <w:t xml:space="preserve"> </w:t>
      </w:r>
      <w:r>
        <w:t xml:space="preserve">and</w:t>
      </w:r>
      <w:r>
        <w:t xml:space="preserve"> </w:t>
      </w:r>
      <w:r>
        <w:t xml:space="preserve">Clark</w:t>
      </w:r>
      <w:r>
        <w:t xml:space="preserve"> </w:t>
      </w:r>
      <w:r>
        <w:t xml:space="preserve">County,</w:t>
      </w:r>
      <w:r>
        <w:t xml:space="preserve"> </w:t>
      </w:r>
      <w:r>
        <w:t xml:space="preserve">Cause</w:t>
      </w:r>
      <w:r>
        <w:t xml:space="preserve"> </w:t>
      </w:r>
      <w:r>
        <w:t xml:space="preserve">No.</w:t>
      </w:r>
      <w:r>
        <w:t xml:space="preserve"> </w:t>
      </w:r>
      <w:r>
        <w:t xml:space="preserve">CDV</w:t>
      </w:r>
      <w:r>
        <w:t xml:space="preserve"> </w:t>
      </w:r>
      <w:r>
        <w:t xml:space="preserve">2020</w:t>
        <w:noBreakHyphen/>
        <w:t xml:space="preserve">307</w:t>
      </w:r>
    </w:p>
    <w:p>
      <w:pPr>
        <w:spacing w:before="0" w:after="0" w:line="322" w:lineRule="exact"/>
        <w:ind w:left="0" w:firstLine="0"/>
        <w:jc w:val="center"/>
      </w:pPr>
      <w:r>
        <w:t xml:space="preserve">Honorable</w:t>
      </w:r>
      <w:r>
        <w:t xml:space="preserve"> </w:t>
      </w:r>
      <w:r>
        <w:t xml:space="preserve">Kathy</w:t>
      </w:r>
      <w:r>
        <w:t xml:space="preserve"> </w:t>
      </w:r>
      <w:r>
        <w:t xml:space="preserve">Seeley,</w:t>
      </w:r>
      <w:r>
        <w:t xml:space="preserve"> </w:t>
      </w:r>
      <w:r>
        <w:t xml:space="preserve">Presiding</w:t>
      </w:r>
    </w:p>
    <w:p>
      <w:pPr>
        <w:spacing w:before="720" w:after="0" w:line="368" w:lineRule="exact"/>
        <w:ind w:left="0" w:firstLine="0"/>
        <w:jc w:val="center"/>
      </w:pPr>
      <w:r>
        <w:rPr>
          <w:b/>
          <w:bCs/>
          <w:sz w:val="32"/>
          <w:szCs w:val="32"/>
        </w:rPr>
        <w:t xml:space="preserve">APPELLANT</w:t>
      </w:r>
      <w:r>
        <w:rPr>
          <w:b/>
          <w:bCs/>
          <w:sz w:val="32"/>
          <w:szCs w:val="32"/>
        </w:rPr>
        <w:t xml:space="preserve"> </w:t>
      </w:r>
      <w:r>
        <w:rPr>
          <w:b/>
          <w:bCs/>
          <w:sz w:val="32"/>
          <w:szCs w:val="32"/>
        </w:rPr>
        <w:t xml:space="preserve">STATE</w:t>
      </w:r>
      <w:r>
        <w:rPr>
          <w:b/>
          <w:bCs/>
          <w:sz w:val="32"/>
          <w:szCs w:val="32"/>
        </w:rPr>
        <w:t xml:space="preserve"> </w:t>
      </w:r>
      <w:r>
        <w:rPr>
          <w:b/>
          <w:bCs/>
          <w:sz w:val="32"/>
          <w:szCs w:val="32"/>
        </w:rPr>
        <w:t xml:space="preserve">AGENCIES’</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GOVERNOR’S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Dale</w:t>
            </w:r>
            <w:r>
              <w:rPr>
                <w:b/>
                <w:bCs/>
                <w:sz w:val="24"/>
                <w:szCs w:val="24"/>
              </w:rPr>
              <w:t xml:space="preserve"> </w:t>
            </w:r>
            <w:r>
              <w:rPr>
                <w:b/>
                <w:bCs/>
                <w:sz w:val="24"/>
                <w:szCs w:val="24"/>
              </w:rPr>
              <w:t xml:space="preserve">Schowengerdt</w:t>
            </w:r>
          </w:p>
          <w:p>
            <w:pPr>
              <w:spacing w:before="0" w:after="0" w:line="276" w:lineRule="exact"/>
              <w:ind w:left="0" w:firstLine="0"/>
              <w:jc w:val="left"/>
            </w:pPr>
            <w:r>
              <w:rPr>
                <w:sz w:val="24"/>
                <w:szCs w:val="24"/>
              </w:rPr>
              <w:t xml:space="preserve">Landmark</w:t>
            </w:r>
            <w:r>
              <w:rPr>
                <w:sz w:val="24"/>
                <w:szCs w:val="24"/>
              </w:rPr>
              <w:t xml:space="preserve"> </w:t>
            </w:r>
            <w:r>
              <w:rPr>
                <w:sz w:val="24"/>
                <w:szCs w:val="24"/>
              </w:rPr>
              <w:t xml:space="preserve">Law</w:t>
            </w:r>
            <w:r>
              <w:rPr>
                <w:sz w:val="24"/>
                <w:szCs w:val="24"/>
              </w:rPr>
              <w:t xml:space="preserve"> </w:t>
            </w:r>
            <w:r>
              <w:rPr>
                <w:sz w:val="24"/>
                <w:szCs w:val="24"/>
              </w:rPr>
              <w:t xml:space="preserve">PLLC</w:t>
            </w:r>
          </w:p>
          <w:p>
            <w:pPr>
              <w:spacing w:before="0" w:after="0" w:line="276" w:lineRule="exact"/>
              <w:ind w:left="0" w:firstLine="0"/>
              <w:jc w:val="left"/>
            </w:pPr>
            <w:r>
              <w:rPr>
                <w:sz w:val="24"/>
                <w:szCs w:val="24"/>
              </w:rPr>
              <w:t xml:space="preserve">7</w:t>
            </w:r>
            <w:r>
              <w:rPr>
                <w:sz w:val="24"/>
                <w:szCs w:val="24"/>
              </w:rPr>
              <w:t xml:space="preserve"> </w:t>
            </w:r>
            <w:r>
              <w:rPr>
                <w:sz w:val="24"/>
                <w:szCs w:val="24"/>
              </w:rPr>
              <w:t xml:space="preserve">West</w:t>
            </w:r>
            <w:r>
              <w:rPr>
                <w:sz w:val="24"/>
                <w:szCs w:val="24"/>
              </w:rPr>
              <w:t xml:space="preserve"> </w:t>
            </w:r>
            <w:r>
              <w:rPr>
                <w:sz w:val="24"/>
                <w:szCs w:val="24"/>
              </w:rPr>
              <w:t xml:space="preserve">6th</w:t>
            </w:r>
            <w:r>
              <w:rPr>
                <w:sz w:val="24"/>
                <w:szCs w:val="24"/>
              </w:rPr>
              <w:t xml:space="preserve"> </w:t>
            </w:r>
            <w:r>
              <w:rPr>
                <w:sz w:val="24"/>
                <w:szCs w:val="24"/>
              </w:rPr>
              <w:t xml:space="preserve">Ave.,</w:t>
            </w:r>
            <w:r>
              <w:rPr>
                <w:sz w:val="24"/>
                <w:szCs w:val="24"/>
              </w:rPr>
              <w:t xml:space="preserve"> </w:t>
            </w:r>
            <w:r>
              <w:rPr>
                <w:sz w:val="24"/>
                <w:szCs w:val="24"/>
              </w:rPr>
              <w:t xml:space="preserve">Suite</w:t>
            </w:r>
            <w:r>
              <w:rPr>
                <w:sz w:val="24"/>
                <w:szCs w:val="24"/>
              </w:rPr>
              <w:t xml:space="preserve"> </w:t>
            </w:r>
            <w:r>
              <w:rPr>
                <w:sz w:val="24"/>
                <w:szCs w:val="24"/>
              </w:rPr>
              <w:t xml:space="preserve">518</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406</w:t>
              <w:noBreakHyphen/>
              <w:t xml:space="preserve">457</w:t>
              <w:noBreakHyphen/>
              <w:t xml:space="preserve">5496</w:t>
            </w:r>
          </w:p>
          <w:p>
            <w:pPr>
              <w:spacing w:before="0" w:after="0" w:line="276" w:lineRule="exact"/>
              <w:ind w:left="0" w:firstLine="0"/>
              <w:jc w:val="left"/>
            </w:pPr>
            <w:r>
              <w:rPr>
                <w:sz w:val="24"/>
                <w:szCs w:val="24"/>
              </w:rPr>
              <w:t xml:space="preserve">dale@landmarklawpllc.com</w:t>
            </w:r>
          </w:p>
          <w:p>
            <w:pPr>
              <w:spacing w:before="0" w:after="0" w:line="276" w:lineRule="exact"/>
              <w:ind w:left="0" w:firstLine="0"/>
              <w:jc w:val="left"/>
            </w:pPr>
            <w:r>
              <w:rPr>
                <w:i/>
                <w:iCs/>
                <w:sz w:val="24"/>
                <w:szCs w:val="24"/>
              </w:rPr>
              <w:t xml:space="preserve">Attorney</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Appellants-Defendants</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Environmental</w:t>
            </w:r>
            <w:r>
              <w:rPr>
                <w:i/>
                <w:iCs/>
                <w:sz w:val="24"/>
                <w:szCs w:val="24"/>
              </w:rPr>
              <w:t xml:space="preserve"> </w:t>
            </w:r>
            <w:r>
              <w:rPr>
                <w:i/>
                <w:iCs/>
                <w:sz w:val="24"/>
                <w:szCs w:val="24"/>
              </w:rPr>
              <w:t xml:space="preserve">Quality,</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Natural</w:t>
            </w:r>
            <w:r>
              <w:rPr>
                <w:i/>
                <w:iCs/>
                <w:sz w:val="24"/>
                <w:szCs w:val="24"/>
              </w:rPr>
              <w:t xml:space="preserve"> </w:t>
            </w:r>
            <w:r>
              <w:rPr>
                <w:i/>
                <w:iCs/>
                <w:sz w:val="24"/>
                <w:szCs w:val="24"/>
              </w:rPr>
              <w:t xml:space="preserve">Resources</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Conservation,</w:t>
            </w:r>
            <w:r>
              <w:rPr>
                <w:i/>
                <w:iCs/>
                <w:sz w:val="24"/>
                <w:szCs w:val="24"/>
              </w:rPr>
              <w:t xml:space="preserve"> </w:t>
            </w:r>
            <w:r>
              <w:rPr>
                <w:i/>
                <w:iCs/>
                <w:sz w:val="24"/>
                <w:szCs w:val="24"/>
              </w:rPr>
              <w:t xml:space="preserve">Department</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Transportation</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Gianforte</w:t>
            </w:r>
          </w:p>
        </w:tc>
        <w:tc>
          <w:tcPr>
            <w:tcW w:w="4968" w:type="dxa"/>
            <w:tcMar>
              <w:left w:w="576" w:type="dxa"/>
            </w:tcMar>
          </w:tcPr>
          <w:p>
            <w:pPr>
              <w:spacing w:before="0" w:after="0" w:line="276" w:lineRule="exact"/>
              <w:ind w:left="0" w:firstLine="0"/>
              <w:jc w:val="left"/>
            </w:pPr>
            <w:r>
              <w:rPr>
                <w:b/>
                <w:bCs/>
                <w:sz w:val="24"/>
                <w:szCs w:val="24"/>
              </w:rPr>
              <w:t xml:space="preserve">Lee</w:t>
            </w:r>
            <w:r>
              <w:rPr>
                <w:b/>
                <w:bCs/>
                <w:sz w:val="24"/>
                <w:szCs w:val="24"/>
              </w:rPr>
              <w:t xml:space="preserve"> </w:t>
            </w:r>
            <w:r>
              <w:rPr>
                <w:b/>
                <w:bCs/>
                <w:sz w:val="24"/>
                <w:szCs w:val="24"/>
              </w:rPr>
              <w:t xml:space="preserve">M.</w:t>
            </w:r>
            <w:r>
              <w:rPr>
                <w:b/>
                <w:bCs/>
                <w:sz w:val="24"/>
                <w:szCs w:val="24"/>
              </w:rPr>
              <w:t xml:space="preserve"> </w:t>
            </w:r>
            <w:r>
              <w:rPr>
                <w:b/>
                <w:bCs/>
                <w:sz w:val="24"/>
                <w:szCs w:val="24"/>
              </w:rPr>
              <w:t xml:space="preserve">McKenna</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DEQ</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200901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0901</w:t>
            </w:r>
          </w:p>
          <w:p>
            <w:pPr>
              <w:spacing w:before="0" w:after="0" w:line="276" w:lineRule="exact"/>
              <w:ind w:left="0" w:firstLine="0"/>
              <w:jc w:val="left"/>
            </w:pPr>
            <w:r>
              <w:rPr>
                <w:sz w:val="24"/>
                <w:szCs w:val="24"/>
              </w:rPr>
              <w:t xml:space="preserve">406</w:t>
              <w:noBreakHyphen/>
              <w:t xml:space="preserve">444</w:t>
              <w:noBreakHyphen/>
              <w:t xml:space="preserve">6559</w:t>
            </w:r>
          </w:p>
          <w:p>
            <w:pPr>
              <w:spacing w:before="0" w:after="0" w:line="276" w:lineRule="exact"/>
              <w:ind w:left="0" w:firstLine="0"/>
              <w:jc w:val="left"/>
            </w:pPr>
            <w:r>
              <w:rPr>
                <w:sz w:val="24"/>
                <w:szCs w:val="24"/>
              </w:rPr>
              <w:t xml:space="preserve">Lee.mckenna@mt.gov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Austin</w:t>
            </w:r>
            <w:r>
              <w:rPr>
                <w:b/>
                <w:bCs/>
                <w:sz w:val="24"/>
                <w:szCs w:val="24"/>
              </w:rPr>
              <w:t xml:space="preserve"> </w:t>
            </w:r>
            <w:r>
              <w:rPr>
                <w:b/>
                <w:bCs/>
                <w:sz w:val="24"/>
                <w:szCs w:val="24"/>
              </w:rPr>
              <w:t xml:space="preserve">Knudsen</w:t>
            </w:r>
          </w:p>
          <w:p>
            <w:pPr>
              <w:spacing w:before="0" w:after="0" w:line="276" w:lineRule="exact"/>
              <w:ind w:left="0" w:firstLine="0"/>
              <w:jc w:val="left"/>
            </w:pPr>
            <w:r>
              <w:rPr>
                <w:b/>
                <w:bCs/>
                <w:sz w:val="24"/>
                <w:szCs w:val="24"/>
              </w:rPr>
              <w:t xml:space="preserve">Michael</w:t>
            </w:r>
            <w:r>
              <w:rPr>
                <w:b/>
                <w:bCs/>
                <w:sz w:val="24"/>
                <w:szCs w:val="24"/>
              </w:rPr>
              <w:t xml:space="preserve"> </w:t>
            </w:r>
            <w:r>
              <w:rPr>
                <w:b/>
                <w:bCs/>
                <w:sz w:val="24"/>
                <w:szCs w:val="24"/>
              </w:rPr>
              <w:t xml:space="preserve">D.</w:t>
            </w:r>
            <w:r>
              <w:rPr>
                <w:b/>
                <w:bCs/>
                <w:sz w:val="24"/>
                <w:szCs w:val="24"/>
              </w:rPr>
              <w:t xml:space="preserve"> </w:t>
            </w:r>
            <w:r>
              <w:rPr>
                <w:b/>
                <w:bCs/>
                <w:sz w:val="24"/>
                <w:szCs w:val="24"/>
              </w:rPr>
              <w:t xml:space="preserve">Russell</w:t>
            </w:r>
          </w:p>
          <w:p>
            <w:pPr>
              <w:spacing w:before="0" w:after="0" w:line="276" w:lineRule="exact"/>
              <w:ind w:left="0" w:firstLine="0"/>
              <w:jc w:val="left"/>
            </w:pPr>
            <w:r>
              <w:rPr>
                <w:b/>
                <w:bCs/>
                <w:sz w:val="24"/>
                <w:szCs w:val="24"/>
              </w:rPr>
              <w:t xml:space="preserve">Thane</w:t>
            </w:r>
            <w:r>
              <w:rPr>
                <w:b/>
                <w:bCs/>
                <w:sz w:val="24"/>
                <w:szCs w:val="24"/>
              </w:rPr>
              <w:t xml:space="preserve"> </w:t>
            </w:r>
            <w:r>
              <w:rPr>
                <w:b/>
                <w:bCs/>
                <w:sz w:val="24"/>
                <w:szCs w:val="24"/>
              </w:rPr>
              <w:t xml:space="preserve">Johnson</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Attorney</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Montana</w:t>
            </w:r>
            <w:r>
              <w:rPr>
                <w:sz w:val="24"/>
                <w:szCs w:val="24"/>
              </w:rPr>
              <w:t xml:space="preserve"> </w:t>
            </w: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Justice</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201401</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59620</w:t>
              <w:noBreakHyphen/>
              <w:t xml:space="preserve">1401</w:t>
            </w:r>
          </w:p>
          <w:p>
            <w:pPr>
              <w:spacing w:before="0" w:after="0" w:line="276" w:lineRule="exact"/>
              <w:ind w:left="0" w:firstLine="0"/>
              <w:jc w:val="left"/>
            </w:pPr>
            <w:r>
              <w:rPr>
                <w:sz w:val="24"/>
                <w:szCs w:val="24"/>
              </w:rPr>
              <w:t xml:space="preserve">406</w:t>
              <w:noBreakHyphen/>
              <w:t xml:space="preserve">444</w:t>
              <w:noBreakHyphen/>
              <w:t xml:space="preserve">2026</w:t>
            </w:r>
          </w:p>
          <w:p>
            <w:pPr>
              <w:spacing w:before="0" w:after="0" w:line="276" w:lineRule="exact"/>
              <w:ind w:left="0" w:firstLine="0"/>
              <w:jc w:val="left"/>
            </w:pPr>
            <w:r>
              <w:rPr>
                <w:sz w:val="24"/>
                <w:szCs w:val="24"/>
              </w:rPr>
              <w:t xml:space="preserve">michael.russell@mt.gov</w:t>
            </w:r>
          </w:p>
          <w:p>
            <w:pPr>
              <w:spacing w:before="0" w:after="0" w:line="276" w:lineRule="exact"/>
              <w:ind w:left="0" w:firstLine="0"/>
              <w:jc w:val="left"/>
            </w:pPr>
            <w:r>
              <w:rPr>
                <w:sz w:val="24"/>
                <w:szCs w:val="24"/>
              </w:rPr>
              <w:t xml:space="preserve">thane.johnson@mt.gov</w:t>
            </w:r>
          </w:p>
        </w:tc>
        <w:tc>
          <w:tcPr>
            <w:tcW w:w="4968" w:type="dxa"/>
            <w:tcMar>
              <w:left w:w="576" w:type="dxa"/>
            </w:tcMar>
          </w:tcPr>
          <w:p>
            <w:pPr>
              <w:spacing w:before="0" w:after="0" w:line="276" w:lineRule="exact"/>
              <w:ind w:left="0" w:firstLine="0"/>
              <w:jc w:val="left"/>
            </w:pPr>
            <w:r>
              <w:rPr>
                <w:b/>
                <w:bCs/>
                <w:sz w:val="24"/>
                <w:szCs w:val="24"/>
              </w:rPr>
              <w:t xml:space="preserve">Emily</w:t>
            </w:r>
            <w:r>
              <w:rPr>
                <w:b/>
                <w:bCs/>
                <w:sz w:val="24"/>
                <w:szCs w:val="24"/>
              </w:rPr>
              <w:t xml:space="preserve"> </w:t>
            </w:r>
            <w:r>
              <w:rPr>
                <w:b/>
                <w:bCs/>
                <w:sz w:val="24"/>
                <w:szCs w:val="24"/>
              </w:rPr>
              <w:t xml:space="preserve">Jones</w:t>
            </w:r>
          </w:p>
          <w:p>
            <w:pPr>
              <w:spacing w:before="0" w:after="0" w:line="276" w:lineRule="exact"/>
              <w:ind w:left="0" w:firstLine="0"/>
              <w:jc w:val="left"/>
            </w:pPr>
            <w:r>
              <w:rPr>
                <w:sz w:val="24"/>
                <w:szCs w:val="24"/>
              </w:rPr>
              <w:t xml:space="preserve">Special</w:t>
            </w:r>
            <w:r>
              <w:rPr>
                <w:sz w:val="24"/>
                <w:szCs w:val="24"/>
              </w:rPr>
              <w:t xml:space="preserve"> </w:t>
            </w:r>
            <w:r>
              <w:rPr>
                <w:sz w:val="24"/>
                <w:szCs w:val="24"/>
              </w:rPr>
              <w:t xml:space="preserve">Assistant</w:t>
            </w:r>
            <w:r>
              <w:rPr>
                <w:sz w:val="24"/>
                <w:szCs w:val="24"/>
              </w:rPr>
              <w:t xml:space="preserve"> </w:t>
            </w:r>
            <w:r>
              <w:rPr>
                <w:sz w:val="24"/>
                <w:szCs w:val="24"/>
              </w:rPr>
              <w:t xml:space="preserve">Attorney</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Jones</w:t>
            </w:r>
            <w:r>
              <w:rPr>
                <w:sz w:val="24"/>
                <w:szCs w:val="24"/>
              </w:rPr>
              <w:t xml:space="preserve"> </w:t>
            </w:r>
            <w:r>
              <w:rPr>
                <w:sz w:val="24"/>
                <w:szCs w:val="24"/>
              </w:rPr>
              <w:t xml:space="preserve">Law</w:t>
            </w:r>
            <w:r>
              <w:rPr>
                <w:sz w:val="24"/>
                <w:szCs w:val="24"/>
              </w:rPr>
              <w:t xml:space="preserve"> </w:t>
            </w:r>
            <w:r>
              <w:rPr>
                <w:sz w:val="24"/>
                <w:szCs w:val="24"/>
              </w:rPr>
              <w:t xml:space="preserve">Firm,</w:t>
            </w:r>
            <w:r>
              <w:rPr>
                <w:sz w:val="24"/>
                <w:szCs w:val="24"/>
              </w:rPr>
              <w:t xml:space="preserve"> </w:t>
            </w:r>
            <w:r>
              <w:rPr>
                <w:sz w:val="24"/>
                <w:szCs w:val="24"/>
              </w:rPr>
              <w:t xml:space="preserve">PLLC</w:t>
            </w:r>
          </w:p>
          <w:p>
            <w:pPr>
              <w:spacing w:before="0" w:after="0" w:line="276" w:lineRule="exact"/>
              <w:ind w:left="0" w:firstLine="0"/>
              <w:jc w:val="left"/>
            </w:pPr>
            <w:r>
              <w:rPr>
                <w:sz w:val="24"/>
                <w:szCs w:val="24"/>
              </w:rPr>
              <w:t xml:space="preserve">115</w:t>
            </w:r>
            <w:r>
              <w:rPr>
                <w:sz w:val="24"/>
                <w:szCs w:val="24"/>
              </w:rPr>
              <w:t xml:space="preserve"> </w:t>
            </w:r>
            <w:r>
              <w:rPr>
                <w:sz w:val="24"/>
                <w:szCs w:val="24"/>
              </w:rPr>
              <w:t xml:space="preserve">N.</w:t>
            </w:r>
            <w:r>
              <w:rPr>
                <w:sz w:val="24"/>
                <w:szCs w:val="24"/>
              </w:rPr>
              <w:t xml:space="preserve"> </w:t>
            </w:r>
            <w:r>
              <w:rPr>
                <w:sz w:val="24"/>
                <w:szCs w:val="24"/>
              </w:rPr>
              <w:t xml:space="preserve">Broadway,</w:t>
            </w:r>
            <w:r>
              <w:rPr>
                <w:sz w:val="24"/>
                <w:szCs w:val="24"/>
              </w:rPr>
              <w:t xml:space="preserve"> </w:t>
            </w:r>
            <w:r>
              <w:rPr>
                <w:sz w:val="24"/>
                <w:szCs w:val="24"/>
              </w:rPr>
              <w:t xml:space="preserve">Suite</w:t>
            </w:r>
            <w:r>
              <w:rPr>
                <w:sz w:val="24"/>
                <w:szCs w:val="24"/>
              </w:rPr>
              <w:t xml:space="preserve"> </w:t>
            </w:r>
            <w:r>
              <w:rPr>
                <w:sz w:val="24"/>
                <w:szCs w:val="24"/>
              </w:rPr>
              <w:t xml:space="preserve">410</w:t>
            </w:r>
          </w:p>
          <w:p>
            <w:pPr>
              <w:spacing w:before="0" w:after="0" w:line="276" w:lineRule="exact"/>
              <w:ind w:left="0" w:firstLine="0"/>
              <w:jc w:val="left"/>
            </w:pPr>
            <w:r>
              <w:rPr>
                <w:sz w:val="24"/>
                <w:szCs w:val="24"/>
              </w:rPr>
              <w:t xml:space="preserve">Billings,</w:t>
            </w:r>
            <w:r>
              <w:rPr>
                <w:sz w:val="24"/>
                <w:szCs w:val="24"/>
              </w:rPr>
              <w:t xml:space="preserve"> </w:t>
            </w:r>
            <w:r>
              <w:rPr>
                <w:sz w:val="24"/>
                <w:szCs w:val="24"/>
              </w:rPr>
              <w:t xml:space="preserve">MT</w:t>
            </w:r>
            <w:r>
              <w:rPr>
                <w:sz w:val="24"/>
                <w:szCs w:val="24"/>
              </w:rPr>
              <w:t xml:space="preserve"> </w:t>
            </w:r>
            <w:r>
              <w:rPr>
                <w:sz w:val="24"/>
                <w:szCs w:val="24"/>
              </w:rPr>
              <w:t xml:space="preserve">59101</w:t>
            </w:r>
          </w:p>
          <w:p>
            <w:pPr>
              <w:spacing w:before="0" w:after="0" w:line="276" w:lineRule="exact"/>
              <w:ind w:left="0" w:firstLine="0"/>
              <w:jc w:val="left"/>
            </w:pPr>
            <w:r>
              <w:rPr>
                <w:sz w:val="24"/>
                <w:szCs w:val="24"/>
              </w:rPr>
              <w:t xml:space="preserve">406</w:t>
              <w:noBreakHyphen/>
              <w:t xml:space="preserve">384</w:t>
              <w:noBreakHyphen/>
              <w:t xml:space="preserve">7990</w:t>
            </w:r>
          </w:p>
          <w:p>
            <w:pPr>
              <w:spacing w:before="0" w:after="0" w:line="276" w:lineRule="exact"/>
              <w:ind w:left="0" w:firstLine="0"/>
              <w:jc w:val="left"/>
            </w:pPr>
            <w:r>
              <w:rPr>
                <w:sz w:val="24"/>
                <w:szCs w:val="24"/>
              </w:rPr>
              <w:t xml:space="preserve">emily@joneslawmt.com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Appellant-Defendant</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Montana</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Mark</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Stermitz</w:t>
            </w:r>
          </w:p>
          <w:p>
            <w:pPr>
              <w:spacing w:before="0" w:after="0" w:line="276" w:lineRule="exact"/>
              <w:ind w:left="0" w:firstLine="0"/>
              <w:jc w:val="left"/>
            </w:pPr>
            <w:r>
              <w:rPr>
                <w:b/>
                <w:bCs/>
                <w:sz w:val="24"/>
                <w:szCs w:val="24"/>
              </w:rPr>
              <w:t xml:space="preserve">Selena</w:t>
            </w:r>
            <w:r>
              <w:rPr>
                <w:b/>
                <w:bCs/>
                <w:sz w:val="24"/>
                <w:szCs w:val="24"/>
              </w:rPr>
              <w:t xml:space="preserve"> </w:t>
            </w:r>
            <w:r>
              <w:rPr>
                <w:b/>
                <w:bCs/>
                <w:sz w:val="24"/>
                <w:szCs w:val="24"/>
              </w:rPr>
              <w:t xml:space="preserve">Z.</w:t>
            </w:r>
            <w:r>
              <w:rPr>
                <w:b/>
                <w:bCs/>
                <w:sz w:val="24"/>
                <w:szCs w:val="24"/>
              </w:rPr>
              <w:t xml:space="preserve"> </w:t>
            </w:r>
            <w:r>
              <w:rPr>
                <w:b/>
                <w:bCs/>
                <w:sz w:val="24"/>
                <w:szCs w:val="24"/>
              </w:rPr>
              <w:t xml:space="preserve">Sauer</w:t>
            </w:r>
          </w:p>
          <w:p>
            <w:pPr>
              <w:spacing w:before="0" w:after="0" w:line="276" w:lineRule="exact"/>
              <w:ind w:left="0" w:firstLine="0"/>
              <w:jc w:val="left"/>
            </w:pPr>
            <w:r>
              <w:rPr>
                <w:sz w:val="24"/>
                <w:szCs w:val="24"/>
              </w:rPr>
              <w:t xml:space="preserve">Crowley</w:t>
            </w:r>
            <w:r>
              <w:rPr>
                <w:sz w:val="24"/>
                <w:szCs w:val="24"/>
              </w:rPr>
              <w:t xml:space="preserve"> </w:t>
            </w:r>
            <w:r>
              <w:rPr>
                <w:sz w:val="24"/>
                <w:szCs w:val="24"/>
              </w:rPr>
              <w:t xml:space="preserve">Fleck,</w:t>
            </w:r>
            <w:r>
              <w:rPr>
                <w:sz w:val="24"/>
                <w:szCs w:val="24"/>
              </w:rPr>
              <w:t xml:space="preserve"> </w:t>
            </w:r>
            <w:r>
              <w:rPr>
                <w:sz w:val="24"/>
                <w:szCs w:val="24"/>
              </w:rPr>
              <w:t xml:space="preserve">PLLP</w:t>
            </w:r>
          </w:p>
          <w:p>
            <w:pPr>
              <w:spacing w:before="0" w:after="0" w:line="276" w:lineRule="exact"/>
              <w:ind w:left="0" w:firstLine="0"/>
              <w:jc w:val="left"/>
            </w:pPr>
            <w:r>
              <w:rPr>
                <w:sz w:val="24"/>
                <w:szCs w:val="24"/>
              </w:rPr>
              <w:t xml:space="preserve">305</w:t>
            </w:r>
            <w:r>
              <w:rPr>
                <w:sz w:val="24"/>
                <w:szCs w:val="24"/>
              </w:rPr>
              <w:t xml:space="preserve"> </w:t>
            </w:r>
            <w:r>
              <w:rPr>
                <w:sz w:val="24"/>
                <w:szCs w:val="24"/>
              </w:rPr>
              <w:t xml:space="preserve">S.</w:t>
            </w:r>
            <w:r>
              <w:rPr>
                <w:sz w:val="24"/>
                <w:szCs w:val="24"/>
              </w:rPr>
              <w:t xml:space="preserve"> </w:t>
            </w:r>
            <w:r>
              <w:rPr>
                <w:sz w:val="24"/>
                <w:szCs w:val="24"/>
              </w:rPr>
              <w:t xml:space="preserve">4th</w:t>
            </w:r>
            <w:r>
              <w:rPr>
                <w:sz w:val="24"/>
                <w:szCs w:val="24"/>
              </w:rPr>
              <w:t xml:space="preserve"> </w:t>
            </w:r>
            <w:r>
              <w:rPr>
                <w:sz w:val="24"/>
                <w:szCs w:val="24"/>
              </w:rPr>
              <w:t xml:space="preserve">Street</w:t>
            </w:r>
            <w:r>
              <w:rPr>
                <w:sz w:val="24"/>
                <w:szCs w:val="24"/>
              </w:rPr>
              <w:t xml:space="preserve"> </w:t>
            </w:r>
            <w:r>
              <w:rPr>
                <w:sz w:val="24"/>
                <w:szCs w:val="24"/>
              </w:rPr>
              <w:t xml:space="preserve">E.,</w:t>
            </w:r>
            <w:r>
              <w:rPr>
                <w:sz w:val="24"/>
                <w:szCs w:val="24"/>
              </w:rPr>
              <w:t xml:space="preserve"> </w:t>
            </w:r>
            <w:r>
              <w:rPr>
                <w:sz w:val="24"/>
                <w:szCs w:val="24"/>
              </w:rPr>
              <w:t xml:space="preserve">Suite</w:t>
            </w:r>
            <w:r>
              <w:rPr>
                <w:sz w:val="24"/>
                <w:szCs w:val="24"/>
              </w:rPr>
              <w:t xml:space="preserve"> </w:t>
            </w:r>
            <w:r>
              <w:rPr>
                <w:sz w:val="24"/>
                <w:szCs w:val="24"/>
              </w:rPr>
              <w:t xml:space="preserve">100</w:t>
            </w:r>
          </w:p>
          <w:p>
            <w:pPr>
              <w:spacing w:before="0" w:after="0" w:line="276" w:lineRule="exact"/>
              <w:ind w:left="0" w:firstLine="0"/>
              <w:jc w:val="left"/>
            </w:pPr>
            <w:r>
              <w:rPr>
                <w:sz w:val="24"/>
                <w:szCs w:val="24"/>
              </w:rPr>
              <w:t xml:space="preserve">Missoula,</w:t>
            </w:r>
            <w:r>
              <w:rPr>
                <w:sz w:val="24"/>
                <w:szCs w:val="24"/>
              </w:rPr>
              <w:t xml:space="preserve"> </w:t>
            </w:r>
            <w:r>
              <w:rPr>
                <w:sz w:val="24"/>
                <w:szCs w:val="24"/>
              </w:rPr>
              <w:t xml:space="preserve">MT</w:t>
            </w:r>
            <w:r>
              <w:rPr>
                <w:sz w:val="24"/>
                <w:szCs w:val="24"/>
              </w:rPr>
              <w:t xml:space="preserve"> </w:t>
            </w:r>
            <w:r>
              <w:rPr>
                <w:sz w:val="24"/>
                <w:szCs w:val="24"/>
              </w:rPr>
              <w:t xml:space="preserve">59801</w:t>
              <w:noBreakHyphen/>
              <w:t xml:space="preserve">2701</w:t>
            </w:r>
          </w:p>
          <w:p>
            <w:pPr>
              <w:spacing w:before="0" w:after="0" w:line="276" w:lineRule="exact"/>
              <w:ind w:left="0" w:firstLine="0"/>
              <w:jc w:val="left"/>
            </w:pPr>
            <w:r>
              <w:rPr>
                <w:sz w:val="24"/>
                <w:szCs w:val="24"/>
              </w:rPr>
              <w:t xml:space="preserve">406</w:t>
              <w:noBreakHyphen/>
              <w:t xml:space="preserve">523</w:t>
              <w:noBreakHyphen/>
              <w:t xml:space="preserve">3600</w:t>
            </w:r>
          </w:p>
          <w:p>
            <w:pPr>
              <w:spacing w:before="0" w:after="0" w:line="276" w:lineRule="exact"/>
              <w:ind w:left="0" w:firstLine="0"/>
              <w:jc w:val="left"/>
            </w:pPr>
            <w:r>
              <w:rPr>
                <w:sz w:val="24"/>
                <w:szCs w:val="24"/>
              </w:rPr>
              <w:t xml:space="preserve">mstermitz@crowleyfleck.com</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759</w:t>
            </w:r>
          </w:p>
          <w:p>
            <w:pPr>
              <w:spacing w:before="0" w:after="0" w:line="276" w:lineRule="exact"/>
              <w:ind w:left="0" w:firstLine="0"/>
              <w:jc w:val="left"/>
            </w:pPr>
            <w:r>
              <w:rPr>
                <w:sz w:val="24"/>
                <w:szCs w:val="24"/>
              </w:rPr>
              <w:t xml:space="preserve">Kalispell,</w:t>
            </w:r>
            <w:r>
              <w:rPr>
                <w:sz w:val="24"/>
                <w:szCs w:val="24"/>
              </w:rPr>
              <w:t xml:space="preserve"> </w:t>
            </w:r>
            <w:r>
              <w:rPr>
                <w:sz w:val="24"/>
                <w:szCs w:val="24"/>
              </w:rPr>
              <w:t xml:space="preserve">MT</w:t>
            </w:r>
            <w:r>
              <w:rPr>
                <w:sz w:val="24"/>
                <w:szCs w:val="24"/>
              </w:rPr>
              <w:t xml:space="preserve"> </w:t>
            </w:r>
            <w:r>
              <w:rPr>
                <w:sz w:val="24"/>
                <w:szCs w:val="24"/>
              </w:rPr>
              <w:t xml:space="preserve">59903</w:t>
              <w:noBreakHyphen/>
              <w:t xml:space="preserve">0759</w:t>
            </w:r>
          </w:p>
          <w:p>
            <w:pPr>
              <w:spacing w:before="0" w:after="0" w:line="276" w:lineRule="exact"/>
              <w:ind w:left="0" w:firstLine="0"/>
              <w:jc w:val="left"/>
            </w:pPr>
            <w:r>
              <w:rPr>
                <w:sz w:val="24"/>
                <w:szCs w:val="24"/>
              </w:rPr>
              <w:t xml:space="preserve">406</w:t>
              <w:noBreakHyphen/>
              <w:t xml:space="preserve">752</w:t>
              <w:noBreakHyphen/>
              <w:t xml:space="preserve">6644</w:t>
            </w:r>
          </w:p>
          <w:p>
            <w:pPr>
              <w:spacing w:before="0" w:after="0" w:line="276" w:lineRule="exact"/>
              <w:ind w:left="0" w:firstLine="0"/>
              <w:jc w:val="left"/>
            </w:pPr>
            <w:r>
              <w:rPr>
                <w:sz w:val="24"/>
                <w:szCs w:val="24"/>
              </w:rPr>
              <w:t xml:space="preserve">ssauer@crowleyfleck.com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Appellant-Defendant</w:t>
            </w:r>
            <w:r>
              <w:rPr>
                <w:i/>
                <w:iCs/>
                <w:sz w:val="24"/>
                <w:szCs w:val="24"/>
              </w:rPr>
              <w:t xml:space="preserve"> </w:t>
            </w:r>
            <w:r>
              <w:rPr>
                <w:i/>
                <w:iCs/>
                <w:sz w:val="24"/>
                <w:szCs w:val="24"/>
              </w:rPr>
              <w:t xml:space="preserve">State</w:t>
            </w:r>
            <w:r>
              <w:rPr>
                <w:i/>
                <w:iCs/>
                <w:sz w:val="24"/>
                <w:szCs w:val="24"/>
              </w:rPr>
              <w:t xml:space="preserve"> </w:t>
            </w:r>
            <w:r>
              <w:rPr>
                <w:i/>
                <w:iCs/>
                <w:sz w:val="24"/>
                <w:szCs w:val="24"/>
              </w:rPr>
              <w:t xml:space="preserve">of</w:t>
            </w:r>
            <w:r>
              <w:rPr>
                <w:i/>
                <w:iCs/>
                <w:sz w:val="24"/>
                <w:szCs w:val="24"/>
              </w:rPr>
              <w:t xml:space="preserve"> </w:t>
            </w:r>
            <w:r>
              <w:rPr>
                <w:i/>
                <w:iCs/>
                <w:sz w:val="24"/>
                <w:szCs w:val="24"/>
              </w:rPr>
              <w:t xml:space="preserve">Montana</w:t>
            </w:r>
          </w:p>
        </w:tc>
        <w:tc>
          <w:tcPr>
            <w:tcW w:w="4968" w:type="dxa"/>
            <w:tcMar>
              <w:left w:w="576" w:type="dxa"/>
            </w:tcMar>
          </w:tcPr>
          <w:p>
            <w:pPr>
              <w:spacing w:before="0" w:after="0" w:line="276" w:lineRule="exact"/>
              <w:ind w:left="0" w:firstLine="0"/>
              <w:jc w:val="left"/>
            </w:pPr>
            <w:r>
              <w:rPr>
                <w:b/>
                <w:bCs/>
                <w:sz w:val="24"/>
                <w:szCs w:val="24"/>
              </w:rPr>
              <w:t xml:space="preserve">Roger</w:t>
            </w:r>
            <w:r>
              <w:rPr>
                <w:b/>
                <w:bCs/>
                <w:sz w:val="24"/>
                <w:szCs w:val="24"/>
              </w:rPr>
              <w:t xml:space="preserve"> </w:t>
            </w:r>
            <w:r>
              <w:rPr>
                <w:b/>
                <w:bCs/>
                <w:sz w:val="24"/>
                <w:szCs w:val="24"/>
              </w:rPr>
              <w:t xml:space="preserve">Sullivan</w:t>
            </w:r>
          </w:p>
          <w:p>
            <w:pPr>
              <w:spacing w:before="0" w:after="0" w:line="276" w:lineRule="exact"/>
              <w:ind w:left="0" w:firstLine="0"/>
              <w:jc w:val="left"/>
            </w:pPr>
            <w:r>
              <w:rPr>
                <w:b/>
                <w:bCs/>
                <w:sz w:val="24"/>
                <w:szCs w:val="24"/>
              </w:rPr>
              <w:t xml:space="preserve">Dustin</w:t>
            </w:r>
            <w:r>
              <w:rPr>
                <w:b/>
                <w:bCs/>
                <w:sz w:val="24"/>
                <w:szCs w:val="24"/>
              </w:rPr>
              <w:t xml:space="preserve"> </w:t>
            </w:r>
            <w:r>
              <w:rPr>
                <w:b/>
                <w:bCs/>
                <w:sz w:val="24"/>
                <w:szCs w:val="24"/>
              </w:rPr>
              <w:t xml:space="preserve">Leftridge</w:t>
            </w:r>
          </w:p>
          <w:p>
            <w:pPr>
              <w:spacing w:before="0" w:after="0" w:line="276" w:lineRule="exact"/>
              <w:ind w:left="0" w:firstLine="0"/>
              <w:jc w:val="left"/>
            </w:pPr>
            <w:r>
              <w:rPr>
                <w:sz w:val="24"/>
                <w:szCs w:val="24"/>
              </w:rPr>
              <w:t xml:space="preserve">McGarvey</w:t>
            </w:r>
            <w:r>
              <w:rPr>
                <w:sz w:val="24"/>
                <w:szCs w:val="24"/>
              </w:rPr>
              <w:t xml:space="preserve"> </w:t>
            </w:r>
            <w:r>
              <w:rPr>
                <w:sz w:val="24"/>
                <w:szCs w:val="24"/>
              </w:rPr>
              <w:t xml:space="preserve">Law</w:t>
            </w:r>
          </w:p>
          <w:p>
            <w:pPr>
              <w:spacing w:before="0" w:after="0" w:line="276" w:lineRule="exact"/>
              <w:ind w:left="0" w:firstLine="0"/>
              <w:jc w:val="left"/>
            </w:pPr>
            <w:r>
              <w:rPr>
                <w:sz w:val="24"/>
                <w:szCs w:val="24"/>
              </w:rPr>
              <w:t xml:space="preserve">345</w:t>
            </w:r>
            <w:r>
              <w:rPr>
                <w:sz w:val="24"/>
                <w:szCs w:val="24"/>
              </w:rPr>
              <w:t xml:space="preserve"> </w:t>
            </w:r>
            <w:r>
              <w:rPr>
                <w:sz w:val="24"/>
                <w:szCs w:val="24"/>
              </w:rPr>
              <w:t xml:space="preserve">1st</w:t>
            </w:r>
            <w:r>
              <w:rPr>
                <w:sz w:val="24"/>
                <w:szCs w:val="24"/>
              </w:rPr>
              <w:t xml:space="preserve"> </w:t>
            </w:r>
            <w:r>
              <w:rPr>
                <w:sz w:val="24"/>
                <w:szCs w:val="24"/>
              </w:rPr>
              <w:t xml:space="preserve">Avenue</w:t>
            </w:r>
            <w:r>
              <w:rPr>
                <w:sz w:val="24"/>
                <w:szCs w:val="24"/>
              </w:rPr>
              <w:t xml:space="preserve"> </w:t>
            </w:r>
            <w:r>
              <w:rPr>
                <w:sz w:val="24"/>
                <w:szCs w:val="24"/>
              </w:rPr>
              <w:t xml:space="preserve">East</w:t>
            </w:r>
          </w:p>
          <w:p>
            <w:pPr>
              <w:spacing w:before="0" w:after="0" w:line="276" w:lineRule="exact"/>
              <w:ind w:left="0" w:firstLine="0"/>
              <w:jc w:val="left"/>
            </w:pPr>
            <w:r>
              <w:rPr>
                <w:sz w:val="24"/>
                <w:szCs w:val="24"/>
              </w:rPr>
              <w:t xml:space="preserve">Kalispell,</w:t>
            </w:r>
            <w:r>
              <w:rPr>
                <w:sz w:val="24"/>
                <w:szCs w:val="24"/>
              </w:rPr>
              <w:t xml:space="preserve"> </w:t>
            </w:r>
            <w:r>
              <w:rPr>
                <w:sz w:val="24"/>
                <w:szCs w:val="24"/>
              </w:rPr>
              <w:t xml:space="preserve">MT</w:t>
            </w:r>
            <w:r>
              <w:rPr>
                <w:sz w:val="24"/>
                <w:szCs w:val="24"/>
              </w:rPr>
              <w:t xml:space="preserve"> </w:t>
            </w:r>
            <w:r>
              <w:rPr>
                <w:sz w:val="24"/>
                <w:szCs w:val="24"/>
              </w:rPr>
              <w:t xml:space="preserve">59901</w:t>
            </w:r>
          </w:p>
          <w:p>
            <w:pPr>
              <w:spacing w:before="0" w:after="0" w:line="276" w:lineRule="exact"/>
              <w:ind w:left="0" w:firstLine="0"/>
              <w:jc w:val="left"/>
            </w:pPr>
            <w:r>
              <w:rPr>
                <w:sz w:val="24"/>
                <w:szCs w:val="24"/>
              </w:rPr>
              <w:t xml:space="preserve">406</w:t>
              <w:noBreakHyphen/>
              <w:t xml:space="preserve">752</w:t>
              <w:noBreakHyphen/>
              <w:t xml:space="preserve">5566</w:t>
            </w:r>
          </w:p>
          <w:p>
            <w:pPr>
              <w:spacing w:before="0" w:after="0" w:line="276" w:lineRule="exact"/>
              <w:ind w:left="0" w:firstLine="0"/>
              <w:jc w:val="left"/>
            </w:pPr>
            <w:r>
              <w:rPr>
                <w:sz w:val="24"/>
                <w:szCs w:val="24"/>
              </w:rPr>
              <w:t xml:space="preserve">rsullivan@mcgarveylaw.com</w:t>
            </w:r>
          </w:p>
          <w:p>
            <w:pPr>
              <w:spacing w:before="0" w:after="0" w:line="276" w:lineRule="exact"/>
              <w:ind w:left="0" w:firstLine="0"/>
              <w:jc w:val="left"/>
            </w:pPr>
            <w:r>
              <w:rPr>
                <w:sz w:val="24"/>
                <w:szCs w:val="24"/>
              </w:rPr>
              <w:t xml:space="preserve">dleftridge@mcgarveylaw.com</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Appellees-Plaintiffs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Melissa</w:t>
            </w:r>
            <w:r>
              <w:rPr>
                <w:b/>
                <w:bCs/>
                <w:sz w:val="24"/>
                <w:szCs w:val="24"/>
              </w:rPr>
              <w:t xml:space="preserve"> </w:t>
            </w:r>
            <w:r>
              <w:rPr>
                <w:b/>
                <w:bCs/>
                <w:sz w:val="24"/>
                <w:szCs w:val="24"/>
              </w:rPr>
              <w:t xml:space="preserve">Hornbein</w:t>
            </w:r>
          </w:p>
          <w:p>
            <w:pPr>
              <w:spacing w:before="0" w:after="0" w:line="276" w:lineRule="exact"/>
              <w:ind w:left="0" w:firstLine="0"/>
              <w:jc w:val="left"/>
            </w:pPr>
            <w:r>
              <w:rPr>
                <w:b/>
                <w:bCs/>
                <w:sz w:val="24"/>
                <w:szCs w:val="24"/>
              </w:rPr>
              <w:t xml:space="preserve">Barbara</w:t>
            </w:r>
            <w:r>
              <w:rPr>
                <w:b/>
                <w:bCs/>
                <w:sz w:val="24"/>
                <w:szCs w:val="24"/>
              </w:rPr>
              <w:t xml:space="preserve"> </w:t>
            </w:r>
            <w:r>
              <w:rPr>
                <w:b/>
                <w:bCs/>
                <w:sz w:val="24"/>
                <w:szCs w:val="24"/>
              </w:rPr>
              <w:t xml:space="preserve">Chillcott</w:t>
            </w:r>
          </w:p>
          <w:p>
            <w:pPr>
              <w:spacing w:before="0" w:after="0" w:line="276" w:lineRule="exact"/>
              <w:ind w:left="0" w:firstLine="0"/>
              <w:jc w:val="left"/>
            </w:pPr>
            <w:r>
              <w:rPr>
                <w:sz w:val="24"/>
                <w:szCs w:val="24"/>
              </w:rPr>
              <w:t xml:space="preserve">Western</w:t>
            </w:r>
            <w:r>
              <w:rPr>
                <w:sz w:val="24"/>
                <w:szCs w:val="24"/>
              </w:rPr>
              <w:t xml:space="preserve"> </w:t>
            </w:r>
            <w:r>
              <w:rPr>
                <w:sz w:val="24"/>
                <w:szCs w:val="24"/>
              </w:rPr>
              <w:t xml:space="preserve">Environmental</w:t>
            </w:r>
            <w:r>
              <w:rPr>
                <w:sz w:val="24"/>
                <w:szCs w:val="24"/>
              </w:rPr>
              <w:t xml:space="preserve"> </w:t>
            </w:r>
            <w:r>
              <w:rPr>
                <w:sz w:val="24"/>
                <w:szCs w:val="24"/>
              </w:rPr>
              <w:t xml:space="preserve">Law</w:t>
            </w:r>
            <w:r>
              <w:rPr>
                <w:sz w:val="24"/>
                <w:szCs w:val="24"/>
              </w:rPr>
              <w:t xml:space="preserve"> </w:t>
            </w:r>
            <w:r>
              <w:rPr>
                <w:sz w:val="24"/>
                <w:szCs w:val="24"/>
              </w:rPr>
              <w:t xml:space="preserve">Center</w:t>
            </w:r>
          </w:p>
          <w:p>
            <w:pPr>
              <w:spacing w:before="0" w:after="0" w:line="276" w:lineRule="exact"/>
              <w:ind w:left="0" w:firstLine="0"/>
              <w:jc w:val="left"/>
            </w:pPr>
            <w:r>
              <w:rPr>
                <w:sz w:val="24"/>
                <w:szCs w:val="24"/>
              </w:rPr>
              <w:t xml:space="preserve">103</w:t>
            </w:r>
            <w:r>
              <w:rPr>
                <w:sz w:val="24"/>
                <w:szCs w:val="24"/>
              </w:rPr>
              <w:t xml:space="preserve"> </w:t>
            </w:r>
            <w:r>
              <w:rPr>
                <w:sz w:val="24"/>
                <w:szCs w:val="24"/>
              </w:rPr>
              <w:t xml:space="preserve">Reeder’s</w:t>
            </w:r>
            <w:r>
              <w:rPr>
                <w:sz w:val="24"/>
                <w:szCs w:val="24"/>
              </w:rPr>
              <w:t xml:space="preserve"> </w:t>
            </w:r>
            <w:r>
              <w:rPr>
                <w:sz w:val="24"/>
                <w:szCs w:val="24"/>
              </w:rPr>
              <w:t xml:space="preserve">Alley</w:t>
            </w:r>
          </w:p>
          <w:p>
            <w:pPr>
              <w:spacing w:before="0" w:after="0" w:line="276" w:lineRule="exact"/>
              <w:ind w:left="0" w:firstLine="0"/>
              <w:jc w:val="left"/>
            </w:pPr>
            <w:r>
              <w:rPr>
                <w:sz w:val="24"/>
                <w:szCs w:val="24"/>
              </w:rPr>
              <w:t xml:space="preserve">Helena,</w:t>
            </w:r>
            <w:r>
              <w:rPr>
                <w:sz w:val="24"/>
                <w:szCs w:val="24"/>
              </w:rPr>
              <w:t xml:space="preserve"> </w:t>
            </w:r>
            <w:r>
              <w:rPr>
                <w:sz w:val="24"/>
                <w:szCs w:val="24"/>
              </w:rPr>
              <w:t xml:space="preserve">MT</w:t>
            </w:r>
            <w:r>
              <w:rPr>
                <w:sz w:val="24"/>
                <w:szCs w:val="24"/>
              </w:rPr>
              <w:t xml:space="preserve"> </w:t>
            </w:r>
            <w:r>
              <w:rPr>
                <w:sz w:val="24"/>
                <w:szCs w:val="24"/>
              </w:rPr>
              <w:t xml:space="preserve">59601</w:t>
            </w:r>
          </w:p>
          <w:p>
            <w:pPr>
              <w:spacing w:before="0" w:after="0" w:line="276" w:lineRule="exact"/>
              <w:ind w:left="0" w:firstLine="0"/>
              <w:jc w:val="left"/>
            </w:pPr>
            <w:r>
              <w:rPr>
                <w:sz w:val="24"/>
                <w:szCs w:val="24"/>
              </w:rPr>
              <w:t xml:space="preserve">406</w:t>
              <w:noBreakHyphen/>
              <w:t xml:space="preserve">708</w:t>
              <w:noBreakHyphen/>
              <w:t xml:space="preserve">3058</w:t>
            </w:r>
          </w:p>
          <w:p>
            <w:pPr>
              <w:spacing w:before="0" w:after="0" w:line="276" w:lineRule="exact"/>
              <w:ind w:left="0" w:firstLine="0"/>
              <w:jc w:val="left"/>
            </w:pPr>
            <w:r>
              <w:rPr>
                <w:sz w:val="24"/>
                <w:szCs w:val="24"/>
              </w:rPr>
              <w:t xml:space="preserve">hornbein@westernlaw.org</w:t>
            </w:r>
          </w:p>
          <w:p>
            <w:pPr>
              <w:spacing w:before="0" w:after="0" w:line="276" w:lineRule="exact"/>
              <w:ind w:left="0" w:firstLine="0"/>
              <w:jc w:val="left"/>
            </w:pPr>
            <w:r>
              <w:rPr>
                <w:sz w:val="24"/>
                <w:szCs w:val="24"/>
              </w:rPr>
              <w:t xml:space="preserve">chillcott@westernlaw.org</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Appellees-Plaintiffs</w:t>
            </w:r>
          </w:p>
        </w:tc>
        <w:tc>
          <w:tcPr>
            <w:tcW w:w="4968" w:type="dxa"/>
            <w:tcMar>
              <w:left w:w="576" w:type="dxa"/>
            </w:tcMar>
          </w:tcPr>
          <w:p>
            <w:pPr>
              <w:spacing w:before="0" w:after="0" w:line="276" w:lineRule="exact"/>
              <w:ind w:left="0" w:firstLine="0"/>
              <w:jc w:val="left"/>
            </w:pPr>
            <w:r>
              <w:rPr>
                <w:b/>
                <w:bCs/>
                <w:sz w:val="24"/>
                <w:szCs w:val="24"/>
              </w:rPr>
              <w:t xml:space="preserve">Nathan</w:t>
            </w:r>
            <w:r>
              <w:rPr>
                <w:b/>
                <w:bCs/>
                <w:sz w:val="24"/>
                <w:szCs w:val="24"/>
              </w:rPr>
              <w:t xml:space="preserve"> </w:t>
            </w:r>
            <w:r>
              <w:rPr>
                <w:b/>
                <w:bCs/>
                <w:sz w:val="24"/>
                <w:szCs w:val="24"/>
              </w:rPr>
              <w:t xml:space="preserve">Bellinger</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Andrea</w:t>
            </w:r>
            <w:r>
              <w:rPr>
                <w:b/>
                <w:bCs/>
                <w:sz w:val="24"/>
                <w:szCs w:val="24"/>
              </w:rPr>
              <w:t xml:space="preserve"> </w:t>
            </w:r>
            <w:r>
              <w:rPr>
                <w:b/>
                <w:bCs/>
                <w:sz w:val="24"/>
                <w:szCs w:val="24"/>
              </w:rPr>
              <w:t xml:space="preserve">Rodgers</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b/>
                <w:bCs/>
                <w:sz w:val="24"/>
                <w:szCs w:val="24"/>
              </w:rPr>
              <w:t xml:space="preserve">Julia</w:t>
            </w:r>
            <w:r>
              <w:rPr>
                <w:b/>
                <w:bCs/>
                <w:sz w:val="24"/>
                <w:szCs w:val="24"/>
              </w:rPr>
              <w:t xml:space="preserve"> </w:t>
            </w:r>
            <w:r>
              <w:rPr>
                <w:b/>
                <w:bCs/>
                <w:sz w:val="24"/>
                <w:szCs w:val="24"/>
              </w:rPr>
              <w:t xml:space="preserve">Olson</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sz w:val="24"/>
                <w:szCs w:val="24"/>
              </w:rPr>
              <w:t xml:space="preserve">Our</w:t>
            </w:r>
            <w:r>
              <w:rPr>
                <w:sz w:val="24"/>
                <w:szCs w:val="24"/>
              </w:rPr>
              <w:t xml:space="preserve"> </w:t>
            </w:r>
            <w:r>
              <w:rPr>
                <w:sz w:val="24"/>
                <w:szCs w:val="24"/>
              </w:rPr>
              <w:t xml:space="preserve">Children’s</w:t>
            </w:r>
            <w:r>
              <w:rPr>
                <w:sz w:val="24"/>
                <w:szCs w:val="24"/>
              </w:rPr>
              <w:t xml:space="preserve"> </w:t>
            </w:r>
            <w:r>
              <w:rPr>
                <w:sz w:val="24"/>
                <w:szCs w:val="24"/>
              </w:rPr>
              <w:t xml:space="preserve">Trust</w:t>
            </w:r>
          </w:p>
          <w:p>
            <w:pPr>
              <w:spacing w:before="0" w:after="0" w:line="276" w:lineRule="exact"/>
              <w:ind w:left="0" w:firstLine="0"/>
              <w:jc w:val="left"/>
            </w:pPr>
            <w:r>
              <w:rPr>
                <w:sz w:val="24"/>
                <w:szCs w:val="24"/>
              </w:rPr>
              <w:t xml:space="preserve">1216</w:t>
            </w:r>
            <w:r>
              <w:rPr>
                <w:sz w:val="24"/>
                <w:szCs w:val="24"/>
              </w:rPr>
              <w:t xml:space="preserve"> </w:t>
            </w:r>
            <w:r>
              <w:rPr>
                <w:sz w:val="24"/>
                <w:szCs w:val="24"/>
              </w:rPr>
              <w:t xml:space="preserve">Lincoln</w:t>
            </w:r>
            <w:r>
              <w:rPr>
                <w:sz w:val="24"/>
                <w:szCs w:val="24"/>
              </w:rPr>
              <w:t xml:space="preserve"> </w:t>
            </w:r>
            <w:r>
              <w:rPr>
                <w:sz w:val="24"/>
                <w:szCs w:val="24"/>
              </w:rPr>
              <w:t xml:space="preserve">Street</w:t>
            </w:r>
          </w:p>
          <w:p>
            <w:pPr>
              <w:spacing w:before="0" w:after="0" w:line="276" w:lineRule="exact"/>
              <w:ind w:left="0" w:firstLine="0"/>
              <w:jc w:val="left"/>
            </w:pPr>
            <w:r>
              <w:rPr>
                <w:sz w:val="24"/>
                <w:szCs w:val="24"/>
              </w:rPr>
              <w:t xml:space="preserve">Eugene,</w:t>
            </w:r>
            <w:r>
              <w:rPr>
                <w:sz w:val="24"/>
                <w:szCs w:val="24"/>
              </w:rPr>
              <w:t xml:space="preserve"> </w:t>
            </w:r>
            <w:r>
              <w:rPr>
                <w:sz w:val="24"/>
                <w:szCs w:val="24"/>
              </w:rPr>
              <w:t xml:space="preserve">OR</w:t>
            </w:r>
            <w:r>
              <w:rPr>
                <w:sz w:val="24"/>
                <w:szCs w:val="24"/>
              </w:rPr>
              <w:t xml:space="preserve"> </w:t>
            </w:r>
            <w:r>
              <w:rPr>
                <w:sz w:val="24"/>
                <w:szCs w:val="24"/>
              </w:rPr>
              <w:t xml:space="preserve">97401</w:t>
            </w:r>
          </w:p>
          <w:p>
            <w:pPr>
              <w:spacing w:before="0" w:after="0" w:line="276" w:lineRule="exact"/>
              <w:ind w:left="0" w:firstLine="0"/>
              <w:jc w:val="left"/>
            </w:pPr>
            <w:r>
              <w:rPr>
                <w:sz w:val="24"/>
                <w:szCs w:val="24"/>
              </w:rPr>
              <w:t xml:space="preserve">413</w:t>
              <w:noBreakHyphen/>
              <w:t xml:space="preserve">687</w:t>
              <w:noBreakHyphen/>
              <w:t xml:space="preserve">1668</w:t>
            </w:r>
          </w:p>
          <w:p>
            <w:pPr>
              <w:spacing w:before="0" w:after="0" w:line="276" w:lineRule="exact"/>
              <w:ind w:left="0" w:firstLine="0"/>
              <w:jc w:val="left"/>
            </w:pPr>
            <w:r>
              <w:rPr>
                <w:sz w:val="24"/>
                <w:szCs w:val="24"/>
              </w:rPr>
              <w:t xml:space="preserve">nate@ourchildrenstrust.org</w:t>
            </w:r>
          </w:p>
          <w:p>
            <w:pPr>
              <w:spacing w:before="0" w:after="0" w:line="276" w:lineRule="exact"/>
              <w:ind w:left="0" w:firstLine="0"/>
              <w:jc w:val="left"/>
            </w:pPr>
            <w:r>
              <w:rPr>
                <w:sz w:val="24"/>
                <w:szCs w:val="24"/>
              </w:rPr>
              <w:t xml:space="preserve">andrea@ourchildrenstrust.org</w:t>
            </w:r>
          </w:p>
          <w:p>
            <w:pPr>
              <w:spacing w:before="0" w:after="0" w:line="276" w:lineRule="exact"/>
              <w:ind w:left="0" w:firstLine="0"/>
              <w:jc w:val="left"/>
            </w:pPr>
            <w:r>
              <w:rPr>
                <w:sz w:val="24"/>
                <w:szCs w:val="24"/>
              </w:rPr>
              <w:t xml:space="preserve">julia@ourchildrenstrust.org</w:t>
            </w:r>
          </w:p>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Appellees-Plaintiffs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Philip</w:t>
            </w:r>
            <w:r>
              <w:rPr>
                <w:b/>
                <w:bCs/>
                <w:sz w:val="24"/>
                <w:szCs w:val="24"/>
              </w:rPr>
              <w:t xml:space="preserve"> </w:t>
            </w:r>
            <w:r>
              <w:rPr>
                <w:b/>
                <w:bCs/>
                <w:sz w:val="24"/>
                <w:szCs w:val="24"/>
              </w:rPr>
              <w:t xml:space="preserve">L.</w:t>
            </w:r>
            <w:r>
              <w:rPr>
                <w:b/>
                <w:bCs/>
                <w:sz w:val="24"/>
                <w:szCs w:val="24"/>
              </w:rPr>
              <w:t xml:space="preserve"> </w:t>
            </w:r>
            <w:r>
              <w:rPr>
                <w:b/>
                <w:bCs/>
                <w:sz w:val="24"/>
                <w:szCs w:val="24"/>
              </w:rPr>
              <w:t xml:space="preserve">Gregory</w:t>
            </w:r>
            <w:r>
              <w:rPr>
                <w:b/>
                <w:bCs/>
                <w:sz w:val="24"/>
                <w:szCs w:val="24"/>
              </w:rPr>
              <w:t xml:space="preserve"> </w:t>
            </w:r>
            <w:r>
              <w:rPr>
                <w:b/>
                <w:bCs/>
                <w:sz w:val="24"/>
                <w:szCs w:val="24"/>
              </w:rPr>
              <w:t xml:space="preserve">(pro</w:t>
            </w:r>
            <w:r>
              <w:rPr>
                <w:b/>
                <w:bCs/>
                <w:sz w:val="24"/>
                <w:szCs w:val="24"/>
              </w:rPr>
              <w:t xml:space="preserve"> </w:t>
            </w:r>
            <w:r>
              <w:rPr>
                <w:b/>
                <w:bCs/>
                <w:sz w:val="24"/>
                <w:szCs w:val="24"/>
              </w:rPr>
              <w:t xml:space="preserve">hac</w:t>
            </w:r>
            <w:r>
              <w:rPr>
                <w:b/>
                <w:bCs/>
                <w:sz w:val="24"/>
                <w:szCs w:val="24"/>
              </w:rPr>
              <w:t xml:space="preserve"> </w:t>
            </w:r>
            <w:r>
              <w:rPr>
                <w:b/>
                <w:bCs/>
                <w:sz w:val="24"/>
                <w:szCs w:val="24"/>
              </w:rPr>
              <w:t xml:space="preserve">vice)</w:t>
            </w:r>
          </w:p>
          <w:p>
            <w:pPr>
              <w:spacing w:before="0" w:after="0" w:line="276" w:lineRule="exact"/>
              <w:ind w:left="0" w:firstLine="0"/>
              <w:jc w:val="left"/>
            </w:pPr>
            <w:r>
              <w:rPr>
                <w:sz w:val="24"/>
                <w:szCs w:val="24"/>
              </w:rPr>
              <w:t xml:space="preserve">Gregory</w:t>
            </w:r>
            <w:r>
              <w:rPr>
                <w:sz w:val="24"/>
                <w:szCs w:val="24"/>
              </w:rPr>
              <w:t xml:space="preserve"> </w:t>
            </w:r>
            <w:r>
              <w:rPr>
                <w:sz w:val="24"/>
                <w:szCs w:val="24"/>
              </w:rPr>
              <w:t xml:space="preserve">Law</w:t>
            </w:r>
            <w:r>
              <w:rPr>
                <w:sz w:val="24"/>
                <w:szCs w:val="24"/>
              </w:rPr>
              <w:t xml:space="preserve"> </w:t>
            </w:r>
            <w:r>
              <w:rPr>
                <w:sz w:val="24"/>
                <w:szCs w:val="24"/>
              </w:rPr>
              <w:t xml:space="preserve">Group</w:t>
            </w:r>
          </w:p>
          <w:p>
            <w:pPr>
              <w:spacing w:before="0" w:after="0" w:line="276" w:lineRule="exact"/>
              <w:ind w:left="0" w:firstLine="0"/>
              <w:jc w:val="left"/>
            </w:pPr>
            <w:r>
              <w:rPr>
                <w:sz w:val="24"/>
                <w:szCs w:val="24"/>
              </w:rPr>
              <w:t xml:space="preserve">1250</w:t>
            </w:r>
            <w:r>
              <w:rPr>
                <w:sz w:val="24"/>
                <w:szCs w:val="24"/>
              </w:rPr>
              <w:t xml:space="preserve"> </w:t>
            </w:r>
            <w:r>
              <w:rPr>
                <w:sz w:val="24"/>
                <w:szCs w:val="24"/>
              </w:rPr>
              <w:t xml:space="preserve">Godetia</w:t>
            </w:r>
            <w:r>
              <w:rPr>
                <w:sz w:val="24"/>
                <w:szCs w:val="24"/>
              </w:rPr>
              <w:t xml:space="preserve"> </w:t>
            </w:r>
            <w:r>
              <w:rPr>
                <w:sz w:val="24"/>
                <w:szCs w:val="24"/>
              </w:rPr>
              <w:t xml:space="preserve">Drive</w:t>
            </w:r>
          </w:p>
          <w:p>
            <w:pPr>
              <w:spacing w:before="0" w:after="0" w:line="276" w:lineRule="exact"/>
              <w:ind w:left="0" w:firstLine="0"/>
              <w:jc w:val="left"/>
            </w:pPr>
            <w:r>
              <w:rPr>
                <w:sz w:val="24"/>
                <w:szCs w:val="24"/>
              </w:rPr>
              <w:t xml:space="preserve">Redwood</w:t>
            </w:r>
            <w:r>
              <w:rPr>
                <w:sz w:val="24"/>
                <w:szCs w:val="24"/>
              </w:rPr>
              <w:t xml:space="preserve"> </w:t>
            </w:r>
            <w:r>
              <w:rPr>
                <w:sz w:val="24"/>
                <w:szCs w:val="24"/>
              </w:rPr>
              <w:t xml:space="preserve">City,</w:t>
            </w:r>
            <w:r>
              <w:rPr>
                <w:sz w:val="24"/>
                <w:szCs w:val="24"/>
              </w:rPr>
              <w:t xml:space="preserve"> </w:t>
            </w:r>
            <w:r>
              <w:rPr>
                <w:sz w:val="24"/>
                <w:szCs w:val="24"/>
              </w:rPr>
              <w:t xml:space="preserve">CA</w:t>
            </w:r>
            <w:r>
              <w:rPr>
                <w:sz w:val="24"/>
                <w:szCs w:val="24"/>
              </w:rPr>
              <w:t xml:space="preserve"> </w:t>
            </w:r>
            <w:r>
              <w:rPr>
                <w:sz w:val="24"/>
                <w:szCs w:val="24"/>
              </w:rPr>
              <w:t xml:space="preserve">94062</w:t>
            </w:r>
          </w:p>
          <w:p>
            <w:pPr>
              <w:spacing w:before="0" w:after="0" w:line="276" w:lineRule="exact"/>
              <w:ind w:left="0" w:firstLine="0"/>
              <w:jc w:val="left"/>
            </w:pPr>
            <w:r>
              <w:rPr>
                <w:sz w:val="24"/>
                <w:szCs w:val="24"/>
              </w:rPr>
              <w:t xml:space="preserve">650</w:t>
              <w:noBreakHyphen/>
              <w:t xml:space="preserve">278</w:t>
              <w:noBreakHyphen/>
              <w:t xml:space="preserve">2957</w:t>
            </w:r>
          </w:p>
          <w:p>
            <w:pPr>
              <w:spacing w:before="0" w:after="0" w:line="276" w:lineRule="exact"/>
              <w:ind w:left="0" w:firstLine="0"/>
              <w:jc w:val="left"/>
            </w:pPr>
            <w:r>
              <w:rPr>
                <w:sz w:val="24"/>
                <w:szCs w:val="24"/>
              </w:rPr>
              <w:t xml:space="preserve">pgregory@gregorylawgroup.com</w:t>
            </w:r>
          </w:p>
          <w:p>
            <w:pPr>
              <w:spacing w:before="0" w:after="0" w:line="276" w:lineRule="exact"/>
              <w:ind w:left="0" w:firstLine="0"/>
              <w:jc w:val="left"/>
            </w:pPr>
            <w:r>
              <w:rPr>
                <w:i/>
                <w:iCs/>
                <w:sz w:val="24"/>
                <w:szCs w:val="24"/>
              </w:rPr>
              <w:t xml:space="preserve">Attorney</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Appellees-Plaintiffs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Introduction</w:t>
      </w:r>
      <w:r>
        <w:t xml:space="preserve">   </w:t>
      </w:r>
      <w:r>
        <w:tab/>
      </w:r>
      <w:r>
        <w:t xml:space="preserve">6</w:t>
      </w:r>
    </w:p>
    <w:p>
      <w:pPr>
        <w:keepLines/>
        <w:tabs>
          <w:tab w:val="right" w:leader="dot" w:pos="9360"/>
        </w:tabs>
        <w:spacing w:before="144" w:after="0" w:line="322" w:lineRule="exact"/>
        <w:ind w:left="360" w:right="720" w:hanging="360"/>
      </w:pPr>
      <w:r>
        <w:t xml:space="preserve">Argument</w:t>
      </w:r>
      <w:r>
        <w:t xml:space="preserve">   </w:t>
      </w:r>
      <w:r>
        <w:tab/>
      </w:r>
      <w:r>
        <w:t xml:space="preserve">10</w:t>
      </w:r>
    </w:p>
    <w:p>
      <w:pPr>
        <w:keepLines/>
        <w:tabs>
          <w:tab w:val="right" w:leader="dot" w:pos="9360"/>
        </w:tabs>
        <w:spacing w:before="144" w:after="0" w:line="322" w:lineRule="exact"/>
        <w:ind w:left="720" w:right="720" w:hanging="360"/>
      </w:pPr>
      <w:r>
        <w:t xml:space="preserve">I.</w:t>
      </w:r>
      <w:r>
        <w:t xml:space="preserve"> </w:t>
      </w:r>
      <w:r>
        <w:t xml:space="preserve">Held’s</w:t>
      </w:r>
      <w:r>
        <w:t xml:space="preserve"> </w:t>
      </w:r>
      <w:r>
        <w:t xml:space="preserve">injuries</w:t>
      </w:r>
      <w:r>
        <w:t xml:space="preserve"> </w:t>
      </w:r>
      <w:r>
        <w:t xml:space="preserve">are</w:t>
      </w:r>
      <w:r>
        <w:t xml:space="preserve"> </w:t>
      </w:r>
      <w:r>
        <w:t xml:space="preserve">not</w:t>
      </w:r>
      <w:r>
        <w:t xml:space="preserve"> </w:t>
      </w:r>
      <w:r>
        <w:t xml:space="preserve">fairly</w:t>
      </w:r>
      <w:r>
        <w:t xml:space="preserve"> </w:t>
      </w:r>
      <w:r>
        <w:t xml:space="preserve">traceable</w:t>
      </w:r>
      <w:r>
        <w:t xml:space="preserve"> </w:t>
      </w:r>
      <w:r>
        <w:t xml:space="preserve">to</w:t>
      </w:r>
      <w:r>
        <w:t xml:space="preserve"> </w:t>
      </w:r>
      <w:r>
        <w:t xml:space="preserve">section</w:t>
      </w:r>
      <w:r>
        <w:t xml:space="preserve"> </w:t>
      </w:r>
      <w:r>
        <w:t xml:space="preserve">75</w:t>
        <w:noBreakHyphen/>
        <w:t xml:space="preserve">1</w:t>
        <w:noBreakHyphen/>
        <w:t xml:space="preserve">201(2)⁠(a).</w:t>
      </w:r>
      <w:r>
        <w:t xml:space="preserve"> </w:t>
      </w:r>
      <w:r>
        <w:t xml:space="preserve">And</w:t>
      </w:r>
      <w:r>
        <w:t xml:space="preserve"> </w:t>
      </w:r>
      <w:r>
        <w:t xml:space="preserve">enjoining</w:t>
      </w:r>
      <w:r>
        <w:t xml:space="preserve"> </w:t>
      </w:r>
      <w:r>
        <w:t xml:space="preserve">section</w:t>
      </w:r>
      <w:r>
        <w:t xml:space="preserve"> </w:t>
      </w:r>
      <w:r>
        <w:t xml:space="preserve">75</w:t>
        <w:noBreakHyphen/>
        <w:t xml:space="preserve">1</w:t>
        <w:noBreakHyphen/>
        <w:t xml:space="preserve">201(2)⁠(a)</w:t>
      </w:r>
      <w:r>
        <w:t xml:space="preserve"> </w:t>
      </w:r>
      <w:r>
        <w:t xml:space="preserve">will</w:t>
      </w:r>
      <w:r>
        <w:t xml:space="preserve"> </w:t>
      </w:r>
      <w:r>
        <w:t xml:space="preserve">not</w:t>
      </w:r>
      <w:r>
        <w:t xml:space="preserve"> </w:t>
      </w:r>
      <w:r>
        <w:t xml:space="preserve">redress</w:t>
      </w:r>
      <w:r>
        <w:t xml:space="preserve"> </w:t>
      </w:r>
      <w:r>
        <w:t xml:space="preserve">those</w:t>
      </w:r>
      <w:r>
        <w:t xml:space="preserve"> </w:t>
      </w:r>
      <w:r>
        <w:t xml:space="preserve">injuries.</w:t>
      </w:r>
      <w:r>
        <w:t xml:space="preserve">   </w:t>
      </w:r>
      <w:r>
        <w:tab/>
      </w:r>
      <w:r>
        <w:t xml:space="preserve">10</w:t>
      </w:r>
    </w:p>
    <w:p>
      <w:pPr>
        <w:keepLines/>
        <w:tabs>
          <w:tab w:val="right" w:leader="dot" w:pos="9360"/>
        </w:tabs>
        <w:spacing w:before="144" w:after="0" w:line="322" w:lineRule="exact"/>
        <w:ind w:left="1080" w:right="720" w:hanging="360"/>
      </w:pPr>
      <w:r>
        <w:t xml:space="preserve">A.</w:t>
      </w:r>
      <w:r>
        <w:t xml:space="preserve"> </w:t>
      </w:r>
      <w:r>
        <w:t xml:space="preserve">Held</w:t>
      </w:r>
      <w:r>
        <w:t xml:space="preserve"> </w:t>
      </w:r>
      <w:r>
        <w:t xml:space="preserve">failed</w:t>
      </w:r>
      <w:r>
        <w:t xml:space="preserve"> </w:t>
      </w:r>
      <w:r>
        <w:t xml:space="preserve">to</w:t>
      </w:r>
      <w:r>
        <w:t xml:space="preserve"> </w:t>
      </w:r>
      <w:r>
        <w:t xml:space="preserve">prove</w:t>
      </w:r>
      <w:r>
        <w:t xml:space="preserve"> </w:t>
      </w:r>
      <w:r>
        <w:t xml:space="preserve">causation</w:t>
      </w:r>
      <w:r>
        <w:t xml:space="preserve"> </w:t>
      </w:r>
      <w:r>
        <w:t xml:space="preserve">at</w:t>
      </w:r>
      <w:r>
        <w:t xml:space="preserve"> </w:t>
      </w:r>
      <w:r>
        <w:t xml:space="preserve">trial.</w:t>
      </w:r>
      <w:r>
        <w:t xml:space="preserve">   </w:t>
      </w:r>
      <w:r>
        <w:tab/>
      </w:r>
      <w:r>
        <w:t xml:space="preserve">12</w:t>
      </w:r>
    </w:p>
    <w:p>
      <w:pPr>
        <w:keepLines/>
        <w:tabs>
          <w:tab w:val="right" w:leader="dot" w:pos="9360"/>
        </w:tabs>
        <w:spacing w:before="144" w:after="0" w:line="322" w:lineRule="exact"/>
        <w:ind w:left="1080" w:right="720" w:hanging="360"/>
      </w:pPr>
      <w:r>
        <w:t xml:space="preserve">1.</w:t>
      </w:r>
      <w:r>
        <w:t xml:space="preserve"> </w:t>
      </w:r>
      <w:r>
        <w:t xml:space="preserve">The</w:t>
      </w:r>
      <w:r>
        <w:t xml:space="preserve"> </w:t>
      </w:r>
      <w:r>
        <w:t xml:space="preserve">District</w:t>
      </w:r>
      <w:r>
        <w:t xml:space="preserve"> </w:t>
      </w:r>
      <w:r>
        <w:t xml:space="preserve">Court’s</w:t>
      </w:r>
      <w:r>
        <w:t xml:space="preserve"> </w:t>
      </w:r>
      <w:r>
        <w:t xml:space="preserve">generalized</w:t>
      </w:r>
      <w:r>
        <w:t xml:space="preserve"> </w:t>
      </w:r>
      <w:r>
        <w:t xml:space="preserve">conclusions</w:t>
      </w:r>
      <w:r>
        <w:t xml:space="preserve"> </w:t>
      </w:r>
      <w:r>
        <w:t xml:space="preserve">about</w:t>
      </w:r>
      <w:r>
        <w:t xml:space="preserve"> </w:t>
      </w:r>
      <w:r>
        <w:t xml:space="preserve">Montana’s</w:t>
      </w:r>
      <w:r>
        <w:t xml:space="preserve"> </w:t>
      </w:r>
      <w:r>
        <w:t xml:space="preserve">contribution</w:t>
      </w:r>
      <w:r>
        <w:t xml:space="preserve"> </w:t>
      </w:r>
      <w:r>
        <w:t xml:space="preserve">to</w:t>
      </w:r>
      <w:r>
        <w:t xml:space="preserve"> </w:t>
      </w:r>
      <w:r>
        <w:t xml:space="preserve">climate</w:t>
      </w:r>
      <w:r>
        <w:t xml:space="preserve"> </w:t>
      </w:r>
      <w:r>
        <w:t xml:space="preserve">change</w:t>
      </w:r>
      <w:r>
        <w:t xml:space="preserve"> </w:t>
      </w:r>
      <w:r>
        <w:t xml:space="preserve">do</w:t>
      </w:r>
      <w:r>
        <w:t xml:space="preserve"> </w:t>
      </w:r>
      <w:r>
        <w:t xml:space="preserve">not</w:t>
      </w:r>
      <w:r>
        <w:t xml:space="preserve"> </w:t>
      </w:r>
      <w:r>
        <w:t xml:space="preserve">establish</w:t>
      </w:r>
      <w:r>
        <w:t xml:space="preserve"> </w:t>
      </w:r>
      <w:r>
        <w:t xml:space="preserve">that</w:t>
      </w:r>
      <w:r>
        <w:t xml:space="preserve"> </w:t>
      </w:r>
      <w:r>
        <w:t xml:space="preserve">section</w:t>
      </w:r>
      <w:r>
        <w:t xml:space="preserve"> </w:t>
      </w:r>
      <w:r>
        <w:t xml:space="preserve">75</w:t>
        <w:noBreakHyphen/>
        <w:t xml:space="preserve">1</w:t>
        <w:noBreakHyphen/>
        <w:t xml:space="preserve">201(2)⁠(a)</w:t>
      </w:r>
      <w:r>
        <w:t xml:space="preserve"> </w:t>
      </w:r>
      <w:r>
        <w:t xml:space="preserve">is</w:t>
      </w:r>
      <w:r>
        <w:t xml:space="preserve"> </w:t>
      </w:r>
      <w:r>
        <w:t xml:space="preserve">responsible</w:t>
      </w:r>
      <w:r>
        <w:t xml:space="preserve"> </w:t>
      </w:r>
      <w:r>
        <w:t xml:space="preserve">for</w:t>
      </w:r>
      <w:r>
        <w:t xml:space="preserve"> </w:t>
      </w:r>
      <w:r>
        <w:t xml:space="preserve">Held’s</w:t>
      </w:r>
      <w:r>
        <w:t xml:space="preserve"> </w:t>
      </w:r>
      <w:r>
        <w:t xml:space="preserve">injuries.</w:t>
      </w:r>
      <w:r>
        <w:t xml:space="preserve">   </w:t>
      </w:r>
      <w:r>
        <w:tab/>
      </w:r>
      <w:r>
        <w:t xml:space="preserve">13</w:t>
      </w:r>
    </w:p>
    <w:p>
      <w:pPr>
        <w:keepLines/>
        <w:tabs>
          <w:tab w:val="right" w:leader="dot" w:pos="9360"/>
        </w:tabs>
        <w:spacing w:before="144" w:after="0" w:line="322" w:lineRule="exact"/>
        <w:ind w:left="1080" w:right="720" w:hanging="360"/>
      </w:pPr>
      <w:r>
        <w:t xml:space="preserve">2.</w:t>
      </w:r>
      <w:r>
        <w:t xml:space="preserve"> </w:t>
      </w:r>
      <w:r>
        <w:t xml:space="preserve">MEPA</w:t>
      </w:r>
      <w:r>
        <w:t xml:space="preserve"> </w:t>
      </w:r>
      <w:r>
        <w:t xml:space="preserve">cannot</w:t>
      </w:r>
      <w:r>
        <w:t xml:space="preserve"> </w:t>
      </w:r>
      <w:r>
        <w:t xml:space="preserve">be</w:t>
      </w:r>
      <w:r>
        <w:t xml:space="preserve"> </w:t>
      </w:r>
      <w:r>
        <w:t xml:space="preserve">the</w:t>
      </w:r>
      <w:r>
        <w:t xml:space="preserve"> </w:t>
      </w:r>
      <w:r>
        <w:t xml:space="preserve">cause</w:t>
      </w:r>
      <w:r>
        <w:t xml:space="preserve"> </w:t>
      </w:r>
      <w:r>
        <w:t xml:space="preserve">of</w:t>
      </w:r>
      <w:r>
        <w:t xml:space="preserve"> </w:t>
      </w:r>
      <w:r>
        <w:t xml:space="preserve">emissions</w:t>
      </w:r>
      <w:r>
        <w:t xml:space="preserve"> </w:t>
      </w:r>
      <w:r>
        <w:t xml:space="preserve">from</w:t>
      </w:r>
      <w:r>
        <w:t xml:space="preserve"> </w:t>
      </w:r>
      <w:r>
        <w:t xml:space="preserve">energy</w:t>
      </w:r>
      <w:r>
        <w:t xml:space="preserve"> </w:t>
      </w:r>
      <w:r>
        <w:t xml:space="preserve">projects,</w:t>
      </w:r>
      <w:r>
        <w:t xml:space="preserve"> </w:t>
      </w:r>
      <w:r>
        <w:t xml:space="preserve">because</w:t>
      </w:r>
      <w:r>
        <w:t xml:space="preserve"> </w:t>
      </w:r>
      <w:r>
        <w:t xml:space="preserve">MEPA</w:t>
      </w:r>
      <w:r>
        <w:t xml:space="preserve"> </w:t>
      </w:r>
      <w:r>
        <w:t xml:space="preserve">does</w:t>
      </w:r>
      <w:r>
        <w:t xml:space="preserve"> </w:t>
      </w:r>
      <w:r>
        <w:t xml:space="preserve">not</w:t>
      </w:r>
      <w:r>
        <w:t xml:space="preserve"> </w:t>
      </w:r>
      <w:r>
        <w:t xml:space="preserve">allow</w:t>
      </w:r>
      <w:r>
        <w:t xml:space="preserve"> </w:t>
      </w:r>
      <w:r>
        <w:t xml:space="preserve">agencies</w:t>
      </w:r>
      <w:r>
        <w:t xml:space="preserve"> </w:t>
      </w:r>
      <w:r>
        <w:t xml:space="preserve">to</w:t>
      </w:r>
      <w:r>
        <w:t xml:space="preserve"> </w:t>
      </w:r>
      <w:r>
        <w:t xml:space="preserve">deny</w:t>
      </w:r>
      <w:r>
        <w:t xml:space="preserve"> </w:t>
      </w:r>
      <w:r>
        <w:t xml:space="preserve">or</w:t>
      </w:r>
      <w:r>
        <w:t xml:space="preserve"> </w:t>
      </w:r>
      <w:r>
        <w:t xml:space="preserve">modify</w:t>
      </w:r>
      <w:r>
        <w:t xml:space="preserve"> </w:t>
      </w:r>
      <w:r>
        <w:t xml:space="preserve">permits.</w:t>
      </w:r>
      <w:r>
        <w:t xml:space="preserve">   </w:t>
      </w:r>
      <w:r>
        <w:tab/>
      </w:r>
      <w:r>
        <w:t xml:space="preserve">16</w:t>
      </w:r>
    </w:p>
    <w:p>
      <w:pPr>
        <w:keepLines/>
        <w:tabs>
          <w:tab w:val="right" w:leader="dot" w:pos="9360"/>
        </w:tabs>
        <w:spacing w:before="144" w:after="0" w:line="322" w:lineRule="exact"/>
        <w:ind w:left="1080" w:right="720" w:hanging="360"/>
      </w:pPr>
      <w:r>
        <w:t xml:space="preserve">B.</w:t>
      </w:r>
      <w:r>
        <w:t xml:space="preserve"> </w:t>
      </w:r>
      <w:r>
        <w:t xml:space="preserve">Held</w:t>
      </w:r>
      <w:r>
        <w:t xml:space="preserve"> </w:t>
      </w:r>
      <w:r>
        <w:t xml:space="preserve">failed</w:t>
      </w:r>
      <w:r>
        <w:t xml:space="preserve"> </w:t>
      </w:r>
      <w:r>
        <w:t xml:space="preserve">to</w:t>
      </w:r>
      <w:r>
        <w:t xml:space="preserve"> </w:t>
      </w:r>
      <w:r>
        <w:t xml:space="preserve">establish</w:t>
      </w:r>
      <w:r>
        <w:t xml:space="preserve"> </w:t>
      </w:r>
      <w:r>
        <w:t xml:space="preserve">redressability</w:t>
      </w:r>
      <w:r>
        <w:t xml:space="preserve"> </w:t>
      </w:r>
      <w:r>
        <w:t xml:space="preserve">at</w:t>
      </w:r>
      <w:r>
        <w:t xml:space="preserve"> </w:t>
      </w:r>
      <w:r>
        <w:t xml:space="preserve">trial.</w:t>
      </w:r>
      <w:r>
        <w:t xml:space="preserve">   </w:t>
      </w:r>
      <w:r>
        <w:tab/>
      </w:r>
      <w:r>
        <w:t xml:space="preserve">18</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District</w:t>
      </w:r>
      <w:r>
        <w:t xml:space="preserve"> </w:t>
      </w:r>
      <w:r>
        <w:t xml:space="preserve">Court’s</w:t>
      </w:r>
      <w:r>
        <w:t xml:space="preserve"> </w:t>
      </w:r>
      <w:r>
        <w:t xml:space="preserve">expansive</w:t>
      </w:r>
      <w:r>
        <w:t xml:space="preserve"> </w:t>
      </w:r>
      <w:r>
        <w:t xml:space="preserve">findings</w:t>
      </w:r>
      <w:r>
        <w:t xml:space="preserve"> </w:t>
      </w:r>
      <w:r>
        <w:t xml:space="preserve">requiring</w:t>
      </w:r>
      <w:r>
        <w:t xml:space="preserve"> </w:t>
      </w:r>
      <w:r>
        <w:t xml:space="preserve">State</w:t>
      </w:r>
      <w:r>
        <w:t xml:space="preserve"> </w:t>
      </w:r>
      <w:r>
        <w:t xml:space="preserve">agencies</w:t>
      </w:r>
      <w:r>
        <w:t xml:space="preserve"> </w:t>
      </w:r>
      <w:r>
        <w:t xml:space="preserve">to</w:t>
      </w:r>
      <w:r>
        <w:t xml:space="preserve"> </w:t>
      </w:r>
      <w:r>
        <w:t xml:space="preserve">review</w:t>
      </w:r>
      <w:r>
        <w:t xml:space="preserve"> </w:t>
      </w:r>
      <w:r>
        <w:t xml:space="preserve">downstream</w:t>
      </w:r>
      <w:r>
        <w:t xml:space="preserve"> </w:t>
      </w:r>
      <w:r>
        <w:t xml:space="preserve">impacts</w:t>
      </w:r>
      <w:r>
        <w:t xml:space="preserve"> </w:t>
      </w:r>
      <w:r>
        <w:t xml:space="preserve">of</w:t>
      </w:r>
      <w:r>
        <w:t xml:space="preserve"> </w:t>
      </w:r>
      <w:r>
        <w:t xml:space="preserve">GHG</w:t>
      </w:r>
      <w:r>
        <w:t xml:space="preserve"> </w:t>
      </w:r>
      <w:r>
        <w:t xml:space="preserve">emissions</w:t>
      </w:r>
      <w:r>
        <w:t xml:space="preserve"> </w:t>
      </w:r>
      <w:r>
        <w:t xml:space="preserve">are</w:t>
      </w:r>
      <w:r>
        <w:t xml:space="preserve"> </w:t>
      </w:r>
      <w:r>
        <w:t xml:space="preserve">inconsistent</w:t>
      </w:r>
      <w:r>
        <w:t xml:space="preserve"> </w:t>
      </w:r>
      <w:r>
        <w:t xml:space="preserve">with</w:t>
      </w:r>
      <w:r>
        <w:t xml:space="preserve"> </w:t>
      </w:r>
      <w:r>
        <w:rPr>
          <w:i/>
          <w:iCs/>
        </w:rPr>
        <w:t xml:space="preserve">Bitterrooters</w:t>
      </w:r>
      <w:r>
        <w:t xml:space="preserve">.</w:t>
      </w:r>
      <w:r>
        <w:t xml:space="preserve">   </w:t>
      </w:r>
      <w:r>
        <w:tab/>
      </w:r>
      <w:r>
        <w:t xml:space="preserve">22</w:t>
      </w:r>
    </w:p>
    <w:p>
      <w:pPr>
        <w:keepLines/>
        <w:tabs>
          <w:tab w:val="right" w:leader="dot" w:pos="9360"/>
        </w:tabs>
        <w:spacing w:before="144" w:after="0" w:line="322" w:lineRule="exact"/>
        <w:ind w:left="720" w:right="720" w:hanging="360"/>
      </w:pPr>
      <w:r>
        <w:t xml:space="preserve">III.</w:t>
      </w:r>
      <w:r>
        <w:t xml:space="preserve"> </w:t>
      </w:r>
      <w:r>
        <w:t xml:space="preserve">Plaintiffs</w:t>
      </w:r>
      <w:r>
        <w:t xml:space="preserve"> </w:t>
      </w:r>
      <w:r>
        <w:t xml:space="preserve">have</w:t>
      </w:r>
      <w:r>
        <w:t xml:space="preserve"> </w:t>
      </w:r>
      <w:r>
        <w:t xml:space="preserve">not</w:t>
      </w:r>
      <w:r>
        <w:t xml:space="preserve"> </w:t>
      </w:r>
      <w:r>
        <w:t xml:space="preserve">met</w:t>
      </w:r>
      <w:r>
        <w:t xml:space="preserve"> </w:t>
      </w:r>
      <w:r>
        <w:t xml:space="preserve">the</w:t>
      </w:r>
      <w:r>
        <w:t xml:space="preserve"> </w:t>
      </w:r>
      <w:r>
        <w:t xml:space="preserve">exacting</w:t>
      </w:r>
      <w:r>
        <w:t xml:space="preserve"> </w:t>
      </w:r>
      <w:r>
        <w:t xml:space="preserve">standard</w:t>
      </w:r>
      <w:r>
        <w:t xml:space="preserve"> </w:t>
      </w:r>
      <w:r>
        <w:t xml:space="preserve">for</w:t>
      </w:r>
      <w:r>
        <w:t xml:space="preserve"> </w:t>
      </w:r>
      <w:r>
        <w:t xml:space="preserve">facially</w:t>
      </w:r>
      <w:r>
        <w:t xml:space="preserve"> </w:t>
      </w:r>
      <w:r>
        <w:t xml:space="preserve">challenging</w:t>
      </w:r>
      <w:r>
        <w:t xml:space="preserve"> </w:t>
      </w:r>
      <w:r>
        <w:t xml:space="preserve">section</w:t>
      </w:r>
      <w:r>
        <w:t xml:space="preserve"> </w:t>
      </w:r>
      <w:r>
        <w:t xml:space="preserve">75</w:t>
        <w:noBreakHyphen/>
        <w:t xml:space="preserve">1</w:t>
        <w:noBreakHyphen/>
        <w:t xml:space="preserve">201(2)⁠(a).</w:t>
      </w:r>
      <w:r>
        <w:t xml:space="preserve">   </w:t>
      </w:r>
      <w:r>
        <w:tab/>
      </w:r>
      <w:r>
        <w:t xml:space="preserve">25</w:t>
      </w:r>
    </w:p>
    <w:p>
      <w:pPr>
        <w:keepLines/>
        <w:tabs>
          <w:tab w:val="right" w:leader="dot" w:pos="9360"/>
        </w:tabs>
        <w:spacing w:before="144" w:after="0" w:line="322" w:lineRule="exact"/>
        <w:ind w:left="720" w:right="720" w:hanging="360"/>
      </w:pPr>
      <w:r>
        <w:t xml:space="preserve">IV.</w:t>
      </w:r>
      <w:r>
        <w:t xml:space="preserve"> </w:t>
      </w:r>
      <w:r>
        <w:t xml:space="preserve">At</w:t>
      </w:r>
      <w:r>
        <w:t xml:space="preserve"> </w:t>
      </w:r>
      <w:r>
        <w:t xml:space="preserve">a</w:t>
      </w:r>
      <w:r>
        <w:t xml:space="preserve"> </w:t>
      </w:r>
      <w:r>
        <w:t xml:space="preserve">minimum,</w:t>
      </w:r>
      <w:r>
        <w:t xml:space="preserve"> </w:t>
      </w:r>
      <w:r>
        <w:t xml:space="preserve">this</w:t>
      </w:r>
      <w:r>
        <w:t xml:space="preserve"> </w:t>
      </w:r>
      <w:r>
        <w:t xml:space="preserve">Court</w:t>
      </w:r>
      <w:r>
        <w:t xml:space="preserve"> </w:t>
      </w:r>
      <w:r>
        <w:t xml:space="preserve">should</w:t>
      </w:r>
      <w:r>
        <w:t xml:space="preserve"> </w:t>
      </w:r>
      <w:r>
        <w:t xml:space="preserve">hold</w:t>
      </w:r>
      <w:r>
        <w:t xml:space="preserve"> </w:t>
      </w:r>
      <w:r>
        <w:t xml:space="preserve">that</w:t>
      </w:r>
      <w:r>
        <w:t xml:space="preserve"> </w:t>
      </w:r>
      <w:r>
        <w:t xml:space="preserve">the</w:t>
      </w:r>
      <w:r>
        <w:t xml:space="preserve"> </w:t>
      </w:r>
      <w:r>
        <w:t xml:space="preserve">District</w:t>
      </w:r>
      <w:r>
        <w:t xml:space="preserve"> </w:t>
      </w:r>
      <w:r>
        <w:t xml:space="preserve">Court</w:t>
      </w:r>
      <w:r>
        <w:t xml:space="preserve"> </w:t>
      </w:r>
      <w:r>
        <w:t xml:space="preserve">lacked</w:t>
      </w:r>
      <w:r>
        <w:t xml:space="preserve"> </w:t>
      </w:r>
      <w:r>
        <w:t xml:space="preserve">power</w:t>
      </w:r>
      <w:r>
        <w:t xml:space="preserve"> </w:t>
      </w:r>
      <w:r>
        <w:t xml:space="preserve">to</w:t>
      </w:r>
      <w:r>
        <w:t xml:space="preserve"> </w:t>
      </w:r>
      <w:r>
        <w:t xml:space="preserve">affirmatively</w:t>
      </w:r>
      <w:r>
        <w:t xml:space="preserve"> </w:t>
      </w:r>
      <w:r>
        <w:t xml:space="preserve">require</w:t>
      </w:r>
      <w:r>
        <w:t xml:space="preserve"> </w:t>
      </w:r>
      <w:r>
        <w:t xml:space="preserve">agencies</w:t>
      </w:r>
      <w:r>
        <w:t xml:space="preserve"> </w:t>
      </w:r>
      <w:r>
        <w:t xml:space="preserve">to</w:t>
      </w:r>
      <w:r>
        <w:t xml:space="preserve"> </w:t>
      </w:r>
      <w:r>
        <w:t xml:space="preserve">analyze</w:t>
      </w:r>
      <w:r>
        <w:t xml:space="preserve"> </w:t>
      </w:r>
      <w:r>
        <w:t xml:space="preserve">GHG</w:t>
      </w:r>
      <w:r>
        <w:t xml:space="preserve"> </w:t>
      </w:r>
      <w:r>
        <w:t xml:space="preserve">emissions</w:t>
      </w:r>
      <w:r>
        <w:t xml:space="preserve"> </w:t>
      </w:r>
      <w:r>
        <w:t xml:space="preserve">in</w:t>
      </w:r>
      <w:r>
        <w:t xml:space="preserve"> </w:t>
      </w:r>
      <w:r>
        <w:t xml:space="preserve">every</w:t>
      </w:r>
      <w:r>
        <w:t xml:space="preserve"> </w:t>
      </w:r>
      <w:r>
        <w:t xml:space="preserve">MEPA</w:t>
      </w:r>
      <w:r>
        <w:t xml:space="preserve"> </w:t>
      </w:r>
      <w:r>
        <w:t xml:space="preserve">review.</w:t>
      </w:r>
      <w:r>
        <w:t xml:space="preserve">   </w:t>
      </w:r>
      <w:r>
        <w:tab/>
      </w:r>
      <w:r>
        <w:t xml:space="preserve">26</w:t>
      </w:r>
    </w:p>
    <w:p>
      <w:pPr>
        <w:keepLines/>
        <w:tabs>
          <w:tab w:val="right" w:leader="dot" w:pos="9360"/>
        </w:tabs>
        <w:spacing w:before="144" w:after="0" w:line="322" w:lineRule="exact"/>
        <w:ind w:left="360" w:right="720" w:hanging="360"/>
      </w:pPr>
      <w:r>
        <w:t xml:space="preserve">Conclusion</w:t>
      </w:r>
      <w:r>
        <w:t xml:space="preserve">   </w:t>
      </w:r>
      <w:r>
        <w:tab/>
      </w:r>
      <w:r>
        <w:t xml:space="preserve">28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Cases</w:t>
      </w:r>
    </w:p>
    <w:p>
      <w:pPr>
        <w:keepLines/>
        <w:tabs>
          <w:tab w:val="right" w:leader="dot" w:pos="9360"/>
        </w:tabs>
        <w:spacing w:before="144" w:after="0" w:line="322" w:lineRule="exact"/>
        <w:ind w:left="360" w:right="720" w:hanging="360"/>
      </w:pPr>
      <w:r>
        <w:rPr>
          <w:i/>
          <w:iCs/>
        </w:rPr>
        <w:t xml:space="preserve">350</w:t>
      </w:r>
      <w:r>
        <w:rPr>
          <w:i/>
          <w:iCs/>
        </w:rPr>
        <w:t xml:space="preserve"> </w:t>
      </w:r>
      <w:r>
        <w:rPr>
          <w:i/>
          <w:iCs/>
        </w:rPr>
        <w:t xml:space="preserve">Mont.</w:t>
      </w:r>
      <w:r>
        <w:rPr>
          <w:i/>
          <w:iCs/>
        </w:rPr>
        <w:t xml:space="preserve"> </w:t>
      </w:r>
      <w:r>
        <w:rPr>
          <w:i/>
          <w:iCs/>
        </w:rPr>
        <w:t xml:space="preserve">v.</w:t>
      </w:r>
      <w:r>
        <w:rPr>
          <w:i/>
          <w:iCs/>
        </w:rPr>
        <w:t xml:space="preserve"> </w:t>
      </w:r>
      <w:r>
        <w:rPr>
          <w:i/>
          <w:iCs/>
        </w:rPr>
        <w:t xml:space="preserve">Haaland</w:t>
      </w:r>
      <w:r>
        <w:t xml:space="preserve">,</w:t>
      </w:r>
      <w:r>
        <w:t xml:space="preserve"> </w:t>
      </w:r>
      <w:r>
        <w:t xml:space="preserve">50</w:t>
      </w:r>
      <w:r>
        <w:t xml:space="preserve"> </w:t>
      </w:r>
      <w:r>
        <w:t xml:space="preserve">F.4th</w:t>
      </w:r>
      <w:r>
        <w:t xml:space="preserve"> </w:t>
      </w:r>
      <w:r>
        <w:t xml:space="preserve">1254</w:t>
      </w:r>
      <w:r>
        <w:t xml:space="preserve"> </w:t>
      </w:r>
      <w:r>
        <w:t xml:space="preserve">(9th</w:t>
      </w:r>
      <w:r>
        <w:t xml:space="preserve"> </w:t>
      </w:r>
      <w:r>
        <w:t xml:space="preserve">Cir.</w:t>
      </w:r>
      <w:r>
        <w:t xml:space="preserve"> </w:t>
      </w:r>
      <w:r>
        <w:t xml:space="preserve">2022)</w:t>
      </w:r>
      <w:r>
        <w:t xml:space="preserve">   </w:t>
      </w:r>
      <w:r>
        <w:tab/>
      </w:r>
      <w:r>
        <w:t xml:space="preserve">24</w:t>
      </w:r>
    </w:p>
    <w:p>
      <w:pPr>
        <w:keepLines/>
        <w:tabs>
          <w:tab w:val="right" w:leader="dot" w:pos="9360"/>
        </w:tabs>
        <w:spacing w:before="144" w:after="0" w:line="322" w:lineRule="exact"/>
        <w:ind w:left="360" w:right="720" w:hanging="360"/>
      </w:pPr>
      <w:r>
        <w:rPr>
          <w:i/>
          <w:iCs/>
        </w:rPr>
        <w:t xml:space="preserve">American</w:t>
      </w:r>
      <w:r>
        <w:rPr>
          <w:i/>
          <w:iCs/>
        </w:rPr>
        <w:t xml:space="preserve"> </w:t>
      </w:r>
      <w:r>
        <w:rPr>
          <w:i/>
          <w:iCs/>
        </w:rPr>
        <w:t xml:space="preserve">Legion</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Humanist</w:t>
      </w:r>
      <w:r>
        <w:rPr>
          <w:i/>
          <w:iCs/>
        </w:rPr>
        <w:t xml:space="preserve"> </w:t>
      </w:r>
      <w:r>
        <w:rPr>
          <w:i/>
          <w:iCs/>
        </w:rPr>
        <w:t xml:space="preserve">Ass’n</w:t>
      </w:r>
      <w:r>
        <w:t xml:space="preserve">,</w:t>
      </w:r>
      <w:r>
        <w:t xml:space="preserve"> </w:t>
      </w:r>
      <w:r>
        <w:t xml:space="preserve">139</w:t>
      </w:r>
      <w:r>
        <w:t xml:space="preserve"> </w:t>
      </w:r>
      <w:r>
        <w:t xml:space="preserve">S.</w:t>
      </w:r>
      <w:r>
        <w:t xml:space="preserve"> </w:t>
      </w:r>
      <w:r>
        <w:t xml:space="preserve">Ct.</w:t>
      </w:r>
      <w:r>
        <w:t xml:space="preserve"> </w:t>
      </w:r>
      <w:r>
        <w:t xml:space="preserve">2067</w:t>
      </w:r>
      <w:r>
        <w:t xml:space="preserve"> </w:t>
      </w:r>
      <w:r>
        <w:t xml:space="preserve">(2019)</w:t>
      </w:r>
      <w:r>
        <w:t xml:space="preserve">   </w:t>
      </w:r>
      <w:r>
        <w:tab/>
      </w:r>
      <w:r>
        <w:t xml:space="preserve">11</w:t>
      </w:r>
    </w:p>
    <w:p>
      <w:pPr>
        <w:keepLines/>
        <w:tabs>
          <w:tab w:val="right" w:leader="dot" w:pos="9360"/>
        </w:tabs>
        <w:spacing w:before="144" w:after="0" w:line="322" w:lineRule="exact"/>
        <w:ind w:left="360" w:right="1400" w:hanging="360"/>
      </w:pPr>
      <w:r>
        <w:rPr>
          <w:i/>
          <w:iCs/>
        </w:rPr>
        <w:t xml:space="preserve">Bitterrooters</w:t>
      </w:r>
      <w:r>
        <w:rPr>
          <w:i/>
          <w:iCs/>
        </w:rPr>
        <w:t xml:space="preserve"> </w:t>
      </w:r>
      <w:r>
        <w:rPr>
          <w:i/>
          <w:iCs/>
        </w:rPr>
        <w:t xml:space="preserve">for</w:t>
      </w:r>
      <w:r>
        <w:rPr>
          <w:i/>
          <w:iCs/>
        </w:rPr>
        <w:t xml:space="preserve"> </w:t>
      </w:r>
      <w:r>
        <w:rPr>
          <w:i/>
          <w:iCs/>
        </w:rPr>
        <w:t xml:space="preserve">Planning,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DEQ</w:t>
      </w:r>
      <w:r>
        <w:t xml:space="preserve">,</w:t>
      </w:r>
      <w:r>
        <w:t xml:space="preserve"> </w:t>
      </w:r>
      <w:r>
        <w:t xml:space="preserve">2017</w:t>
      </w:r>
      <w:r>
        <w:t xml:space="preserve"> </w:t>
      </w:r>
      <w:r>
        <w:t xml:space="preserve">MT</w:t>
      </w:r>
      <w:r>
        <w:t xml:space="preserve"> </w:t>
      </w:r>
      <w:r>
        <w:t xml:space="preserve">222,</w:t>
      </w:r>
      <w:r>
        <w:t xml:space="preserve"> </w:t>
      </w:r>
      <w:r>
        <w:t xml:space="preserve">388</w:t>
      </w:r>
      <w:r>
        <w:t xml:space="preserve"> </w:t>
      </w:r>
      <w:r>
        <w:t xml:space="preserve">Mont.</w:t>
      </w:r>
      <w:r>
        <w:t xml:space="preserve"> </w:t>
      </w:r>
      <w:r>
        <w:t xml:space="preserve">453,</w:t>
      </w:r>
      <w:r>
        <w:t xml:space="preserve"> </w:t>
      </w:r>
      <w:r>
        <w:t xml:space="preserve">401</w:t>
      </w:r>
      <w:r>
        <w:t xml:space="preserve"> </w:t>
      </w:r>
      <w:r>
        <w:t xml:space="preserve">P.3d</w:t>
      </w:r>
      <w:r>
        <w:t xml:space="preserve"> </w:t>
      </w:r>
      <w:r>
        <w:t xml:space="preserve">712</w:t>
      </w:r>
      <w:r>
        <w:t xml:space="preserve">   </w:t>
      </w:r>
      <w:r>
        <w:tab/>
      </w:r>
      <w:r>
        <w:t xml:space="preserve">8, 22, 23, 24</w:t>
      </w:r>
    </w:p>
    <w:p>
      <w:pPr>
        <w:keepLines/>
        <w:tabs>
          <w:tab w:val="right" w:leader="dot" w:pos="9360"/>
        </w:tabs>
        <w:spacing w:before="144" w:after="0" w:line="322" w:lineRule="exact"/>
        <w:ind w:left="360" w:right="720" w:hanging="360"/>
      </w:pPr>
      <w:r>
        <w:rPr>
          <w:i/>
          <w:iCs/>
        </w:rPr>
        <w:t xml:space="preserve">Brown-Forman</w:t>
      </w:r>
      <w:r>
        <w:rPr>
          <w:i/>
          <w:iCs/>
        </w:rPr>
        <w:t xml:space="preserve"> </w:t>
      </w:r>
      <w:r>
        <w:rPr>
          <w:i/>
          <w:iCs/>
        </w:rPr>
        <w:t xml:space="preserve">Distillers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Liquor</w:t>
      </w:r>
      <w:r>
        <w:rPr>
          <w:i/>
          <w:iCs/>
        </w:rPr>
        <w:t xml:space="preserve"> </w:t>
      </w:r>
      <w:r>
        <w:rPr>
          <w:i/>
          <w:iCs/>
        </w:rPr>
        <w:t xml:space="preserve">Auth.</w:t>
      </w:r>
      <w:r>
        <w:t xml:space="preserve">,</w:t>
      </w:r>
      <w:r>
        <w:t xml:space="preserve"> </w:t>
      </w:r>
      <w:r>
        <w:t xml:space="preserve">476</w:t>
      </w:r>
      <w:r>
        <w:t xml:space="preserve"> </w:t>
      </w:r>
      <w:r>
        <w:t xml:space="preserve">U.S.</w:t>
      </w:r>
      <w:r>
        <w:t xml:space="preserve"> </w:t>
      </w:r>
      <w:r>
        <w:t xml:space="preserve">573</w:t>
      </w:r>
      <w:r>
        <w:t xml:space="preserve"> </w:t>
      </w:r>
      <w:r>
        <w:t xml:space="preserve">(1986)</w:t>
      </w:r>
      <w:r>
        <w:t xml:space="preserve">   </w:t>
      </w:r>
      <w:r>
        <w:tab/>
      </w:r>
      <w:r>
        <w:t xml:space="preserve">23</w:t>
      </w:r>
    </w:p>
    <w:p>
      <w:pPr>
        <w:keepLines/>
        <w:tabs>
          <w:tab w:val="right" w:leader="dot" w:pos="9360"/>
        </w:tabs>
        <w:spacing w:before="144" w:after="0" w:line="322" w:lineRule="exact"/>
        <w:ind w:left="360" w:right="720" w:hanging="360"/>
      </w:pPr>
      <w:r>
        <w:rPr>
          <w:i/>
          <w:iCs/>
        </w:rPr>
        <w:t xml:space="preserve">Bullock</w:t>
      </w:r>
      <w:r>
        <w:rPr>
          <w:i/>
          <w:iCs/>
        </w:rPr>
        <w:t xml:space="preserve"> </w:t>
      </w:r>
      <w:r>
        <w:rPr>
          <w:i/>
          <w:iCs/>
        </w:rPr>
        <w:t xml:space="preserve">v.</w:t>
      </w:r>
      <w:r>
        <w:rPr>
          <w:i/>
          <w:iCs/>
        </w:rPr>
        <w:t xml:space="preserve"> </w:t>
      </w:r>
      <w:r>
        <w:rPr>
          <w:i/>
          <w:iCs/>
        </w:rPr>
        <w:t xml:space="preserve">Fox</w:t>
      </w:r>
      <w:r>
        <w:t xml:space="preserve">,</w:t>
      </w:r>
      <w:r>
        <w:t xml:space="preserve"> </w:t>
      </w:r>
      <w:r>
        <w:t xml:space="preserve">2019</w:t>
      </w:r>
      <w:r>
        <w:t xml:space="preserve"> </w:t>
      </w:r>
      <w:r>
        <w:t xml:space="preserve">MT</w:t>
      </w:r>
      <w:r>
        <w:t xml:space="preserve"> </w:t>
      </w:r>
      <w:r>
        <w:t xml:space="preserve">50,</w:t>
      </w:r>
      <w:r>
        <w:t xml:space="preserve"> </w:t>
      </w:r>
      <w:r>
        <w:t xml:space="preserve">395</w:t>
      </w:r>
      <w:r>
        <w:t xml:space="preserve"> </w:t>
      </w:r>
      <w:r>
        <w:t xml:space="preserve">Mont.</w:t>
      </w:r>
      <w:r>
        <w:t xml:space="preserve"> </w:t>
      </w:r>
      <w:r>
        <w:t xml:space="preserve">35,</w:t>
      </w:r>
      <w:r>
        <w:t xml:space="preserve"> </w:t>
      </w:r>
      <w:r>
        <w:t xml:space="preserve">435</w:t>
      </w:r>
      <w:r>
        <w:t xml:space="preserve"> </w:t>
      </w:r>
      <w:r>
        <w:t xml:space="preserve">P.3d</w:t>
      </w:r>
      <w:r>
        <w:t xml:space="preserve"> </w:t>
      </w:r>
      <w:r>
        <w:t xml:space="preserve">1187</w:t>
      </w:r>
      <w:r>
        <w:t xml:space="preserve">   </w:t>
      </w:r>
      <w:r>
        <w:tab/>
      </w:r>
      <w:r>
        <w:t xml:space="preserve">10</w:t>
      </w:r>
    </w:p>
    <w:p>
      <w:pPr>
        <w:keepLines/>
        <w:tabs>
          <w:tab w:val="right" w:leader="dot" w:pos="9360"/>
        </w:tabs>
        <w:spacing w:before="144" w:after="0" w:line="322" w:lineRule="exact"/>
        <w:ind w:left="360" w:right="720" w:hanging="360"/>
      </w:pPr>
      <w:r>
        <w:rPr>
          <w:i/>
          <w:iCs/>
        </w:rPr>
        <w:t xml:space="preserve">City</w:t>
      </w:r>
      <w:r>
        <w:rPr>
          <w:i/>
          <w:iCs/>
        </w:rPr>
        <w:t xml:space="preserve"> </w:t>
      </w:r>
      <w:r>
        <w:rPr>
          <w:i/>
          <w:iCs/>
        </w:rPr>
        <w:t xml:space="preserve">of</w:t>
      </w:r>
      <w:r>
        <w:rPr>
          <w:i/>
          <w:iCs/>
        </w:rPr>
        <w:t xml:space="preserve"> </w:t>
      </w:r>
      <w:r>
        <w:rPr>
          <w:i/>
          <w:iCs/>
        </w:rPr>
        <w:t xml:space="preserve">Missoula</w:t>
      </w:r>
      <w:r>
        <w:rPr>
          <w:i/>
          <w:iCs/>
        </w:rPr>
        <w:t xml:space="preserve"> </w:t>
      </w:r>
      <w:r>
        <w:rPr>
          <w:i/>
          <w:iCs/>
        </w:rPr>
        <w:t xml:space="preserve">v.</w:t>
      </w:r>
      <w:r>
        <w:rPr>
          <w:i/>
          <w:iCs/>
        </w:rPr>
        <w:t xml:space="preserve"> </w:t>
      </w:r>
      <w:r>
        <w:rPr>
          <w:i/>
          <w:iCs/>
        </w:rPr>
        <w:t xml:space="preserve">Mountain</w:t>
      </w:r>
      <w:r>
        <w:rPr>
          <w:i/>
          <w:iCs/>
        </w:rPr>
        <w:t xml:space="preserve"> </w:t>
      </w:r>
      <w:r>
        <w:rPr>
          <w:i/>
          <w:iCs/>
        </w:rPr>
        <w:t xml:space="preserve">Water</w:t>
      </w:r>
      <w:r>
        <w:rPr>
          <w:i/>
          <w:iCs/>
        </w:rPr>
        <w:t xml:space="preserve"> </w:t>
      </w:r>
      <w:r>
        <w:rPr>
          <w:i/>
          <w:iCs/>
        </w:rPr>
        <w:t xml:space="preserve">Co.</w:t>
      </w:r>
      <w:r>
        <w:t xml:space="preserve">,</w:t>
      </w:r>
      <w:r>
        <w:t xml:space="preserve"> </w:t>
      </w:r>
      <w:r>
        <w:t xml:space="preserve">2018</w:t>
      </w:r>
      <w:r>
        <w:t xml:space="preserve"> </w:t>
      </w:r>
      <w:r>
        <w:t xml:space="preserve">MT</w:t>
      </w:r>
      <w:r>
        <w:t xml:space="preserve"> </w:t>
      </w:r>
      <w:r>
        <w:t xml:space="preserve">139,</w:t>
      </w:r>
      <w:r>
        <w:t xml:space="preserve"> </w:t>
      </w:r>
      <w:r>
        <w:t xml:space="preserve">391</w:t>
      </w:r>
      <w:r>
        <w:t xml:space="preserve"> </w:t>
      </w:r>
      <w:r>
        <w:t xml:space="preserve">Mont.</w:t>
      </w:r>
      <w:r>
        <w:t xml:space="preserve"> </w:t>
      </w:r>
      <w:r>
        <w:t xml:space="preserve">422,</w:t>
      </w:r>
      <w:r>
        <w:t xml:space="preserve"> </w:t>
      </w:r>
      <w:r>
        <w:t xml:space="preserve">419</w:t>
      </w:r>
      <w:r>
        <w:t xml:space="preserve"> </w:t>
      </w:r>
      <w:r>
        <w:t xml:space="preserve">P.3d</w:t>
      </w:r>
      <w:r>
        <w:t xml:space="preserve"> </w:t>
      </w:r>
      <w:r>
        <w:t xml:space="preserve">685</w:t>
      </w:r>
      <w:r>
        <w:t xml:space="preserve">   </w:t>
      </w:r>
      <w:r>
        <w:tab/>
      </w:r>
      <w:r>
        <w:t xml:space="preserve">25, 26</w:t>
      </w:r>
    </w:p>
    <w:p>
      <w:pPr>
        <w:keepLines/>
        <w:tabs>
          <w:tab w:val="right" w:leader="dot" w:pos="9360"/>
        </w:tabs>
        <w:spacing w:before="144" w:after="0" w:line="322" w:lineRule="exact"/>
        <w:ind w:left="360" w:right="720" w:hanging="360"/>
      </w:pPr>
      <w:r>
        <w:rPr>
          <w:i/>
          <w:iCs/>
        </w:rPr>
        <w:t xml:space="preserve">Ctr.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NHTSA</w:t>
      </w:r>
      <w:r>
        <w:t xml:space="preserve">,</w:t>
      </w:r>
      <w:r>
        <w:t xml:space="preserve"> </w:t>
      </w:r>
      <w:r>
        <w:t xml:space="preserve">538</w:t>
      </w:r>
      <w:r>
        <w:t xml:space="preserve"> </w:t>
      </w:r>
      <w:r>
        <w:t xml:space="preserve">F.3d</w:t>
      </w:r>
      <w:r>
        <w:t xml:space="preserve"> </w:t>
      </w:r>
      <w:r>
        <w:t xml:space="preserve">1172</w:t>
      </w:r>
      <w:r>
        <w:t xml:space="preserve"> </w:t>
      </w:r>
      <w:r>
        <w:t xml:space="preserve">(9th</w:t>
      </w:r>
      <w:r>
        <w:t xml:space="preserve"> </w:t>
      </w:r>
      <w:r>
        <w:t xml:space="preserve">Cir.</w:t>
      </w:r>
      <w:r>
        <w:t xml:space="preserve"> </w:t>
      </w:r>
      <w:r>
        <w:t xml:space="preserve">2008)</w:t>
      </w:r>
      <w:r>
        <w:t xml:space="preserve">   </w:t>
      </w:r>
      <w:r>
        <w:tab/>
      </w:r>
      <w:r>
        <w:t xml:space="preserve">24</w:t>
      </w:r>
    </w:p>
    <w:p>
      <w:pPr>
        <w:keepLines/>
        <w:tabs>
          <w:tab w:val="right" w:leader="dot" w:pos="9360"/>
        </w:tabs>
        <w:spacing w:before="144" w:after="0" w:line="322" w:lineRule="exact"/>
        <w:ind w:left="360" w:right="720" w:hanging="360"/>
      </w:pPr>
      <w:r>
        <w:rPr>
          <w:i/>
          <w:iCs/>
        </w:rPr>
        <w:t xml:space="preserve">Healy</w:t>
      </w:r>
      <w:r>
        <w:rPr>
          <w:i/>
          <w:iCs/>
        </w:rPr>
        <w:t xml:space="preserve"> </w:t>
      </w:r>
      <w:r>
        <w:rPr>
          <w:i/>
          <w:iCs/>
        </w:rPr>
        <w:t xml:space="preserve">v.</w:t>
      </w:r>
      <w:r>
        <w:rPr>
          <w:i/>
          <w:iCs/>
        </w:rPr>
        <w:t xml:space="preserve"> </w:t>
      </w:r>
      <w:r>
        <w:rPr>
          <w:i/>
          <w:iCs/>
        </w:rPr>
        <w:t xml:space="preserve">Beer</w:t>
      </w:r>
      <w:r>
        <w:rPr>
          <w:i/>
          <w:iCs/>
        </w:rPr>
        <w:t xml:space="preserve"> </w:t>
      </w:r>
      <w:r>
        <w:rPr>
          <w:i/>
          <w:iCs/>
        </w:rPr>
        <w:t xml:space="preserve">Inst.</w:t>
      </w:r>
      <w:r>
        <w:t xml:space="preserve">,</w:t>
      </w:r>
      <w:r>
        <w:t xml:space="preserve"> </w:t>
      </w:r>
      <w:r>
        <w:t xml:space="preserve">491</w:t>
      </w:r>
      <w:r>
        <w:t xml:space="preserve"> </w:t>
      </w:r>
      <w:r>
        <w:t xml:space="preserve">U.S.</w:t>
      </w:r>
      <w:r>
        <w:t xml:space="preserve"> </w:t>
      </w:r>
      <w:r>
        <w:t xml:space="preserve">324</w:t>
      </w:r>
      <w:r>
        <w:t xml:space="preserve"> </w:t>
      </w:r>
      <w:r>
        <w:t xml:space="preserve">(1989)</w:t>
      </w:r>
      <w:r>
        <w:t xml:space="preserve">   </w:t>
      </w:r>
      <w:r>
        <w:tab/>
      </w:r>
      <w:r>
        <w:t xml:space="preserve">23, 24</w:t>
      </w:r>
    </w:p>
    <w:p>
      <w:pPr>
        <w:keepLines/>
        <w:tabs>
          <w:tab w:val="right" w:leader="dot" w:pos="9360"/>
        </w:tabs>
        <w:spacing w:before="144" w:after="0" w:line="322" w:lineRule="exact"/>
        <w:ind w:left="360" w:right="720" w:hanging="360"/>
      </w:pPr>
      <w:r>
        <w:rPr>
          <w:i/>
          <w:iCs/>
        </w:rPr>
        <w:t xml:space="preserve">Heffernan</w:t>
      </w:r>
      <w:r>
        <w:rPr>
          <w:i/>
          <w:iCs/>
        </w:rPr>
        <w:t xml:space="preserve"> </w:t>
      </w:r>
      <w:r>
        <w:rPr>
          <w:i/>
          <w:iCs/>
        </w:rPr>
        <w:t xml:space="preserve">v.</w:t>
      </w:r>
      <w:r>
        <w:rPr>
          <w:i/>
          <w:iCs/>
        </w:rPr>
        <w:t xml:space="preserve"> </w:t>
      </w:r>
      <w:r>
        <w:rPr>
          <w:i/>
          <w:iCs/>
        </w:rPr>
        <w:t xml:space="preserve">Missoula</w:t>
      </w:r>
      <w:r>
        <w:rPr>
          <w:i/>
          <w:iCs/>
        </w:rPr>
        <w:t xml:space="preserve"> </w:t>
      </w:r>
      <w:r>
        <w:rPr>
          <w:i/>
          <w:iCs/>
        </w:rPr>
        <w:t xml:space="preserve">City</w:t>
      </w:r>
      <w:r>
        <w:rPr>
          <w:i/>
          <w:iCs/>
        </w:rPr>
        <w:t xml:space="preserve"> </w:t>
      </w:r>
      <w:r>
        <w:rPr>
          <w:i/>
          <w:iCs/>
        </w:rPr>
        <w:t xml:space="preserve">Council</w:t>
      </w:r>
      <w:r>
        <w:t xml:space="preserve">,</w:t>
      </w:r>
      <w:r>
        <w:t xml:space="preserve"> </w:t>
      </w:r>
      <w:r>
        <w:t xml:space="preserve">2011</w:t>
      </w:r>
      <w:r>
        <w:t xml:space="preserve"> </w:t>
      </w:r>
      <w:r>
        <w:t xml:space="preserve">MT</w:t>
      </w:r>
      <w:r>
        <w:t xml:space="preserve"> </w:t>
      </w:r>
      <w:r>
        <w:t xml:space="preserve">91,</w:t>
      </w:r>
      <w:r>
        <w:t xml:space="preserve"> </w:t>
      </w:r>
      <w:r>
        <w:t xml:space="preserve">360</w:t>
      </w:r>
      <w:r>
        <w:t xml:space="preserve"> </w:t>
      </w:r>
      <w:r>
        <w:t xml:space="preserve">Mont.</w:t>
      </w:r>
      <w:r>
        <w:t xml:space="preserve"> </w:t>
      </w:r>
      <w:r>
        <w:t xml:space="preserve">207,</w:t>
      </w:r>
      <w:r>
        <w:t xml:space="preserve"> </w:t>
      </w:r>
      <w:r>
        <w:t xml:space="preserve">255</w:t>
      </w:r>
      <w:r>
        <w:t xml:space="preserve"> </w:t>
      </w:r>
      <w:r>
        <w:t xml:space="preserve">P.3d</w:t>
      </w:r>
      <w:r>
        <w:t xml:space="preserve"> </w:t>
      </w:r>
      <w:r>
        <w:t xml:space="preserve">80</w:t>
      </w:r>
      <w:r>
        <w:t xml:space="preserve">   </w:t>
      </w:r>
      <w:r>
        <w:tab/>
      </w:r>
      <w:r>
        <w:t xml:space="preserve">11</w:t>
      </w:r>
    </w:p>
    <w:p>
      <w:pPr>
        <w:keepLines/>
        <w:tabs>
          <w:tab w:val="right" w:leader="dot" w:pos="9360"/>
        </w:tabs>
        <w:spacing w:before="144" w:after="0" w:line="322" w:lineRule="exact"/>
        <w:ind w:left="360" w:right="1400" w:hanging="360"/>
      </w:pPr>
      <w:r>
        <w:rPr>
          <w:i/>
          <w:iCs/>
        </w:rPr>
        <w:t xml:space="preserve">Juliana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734</w:t>
      </w:r>
      <w:r>
        <w:t xml:space="preserve"> </w:t>
      </w:r>
      <w:r>
        <w:t xml:space="preserve">F.3d</w:t>
      </w:r>
      <w:r>
        <w:t xml:space="preserve"> </w:t>
      </w:r>
      <w:r>
        <w:t xml:space="preserve">1159</w:t>
      </w:r>
      <w:r>
        <w:t xml:space="preserve"> </w:t>
      </w:r>
      <w:r>
        <w:t xml:space="preserve">(9th</w:t>
      </w:r>
      <w:r>
        <w:t xml:space="preserve"> </w:t>
      </w:r>
      <w:r>
        <w:t xml:space="preserve">Cir.</w:t>
      </w:r>
      <w:r>
        <w:t xml:space="preserve"> </w:t>
      </w:r>
      <w:r>
        <w:t xml:space="preserve">2020)</w:t>
      </w:r>
      <w:r>
        <w:t xml:space="preserve">   </w:t>
      </w:r>
      <w:r>
        <w:tab/>
      </w:r>
      <w:r>
        <w:t xml:space="preserve">6, 10, 18, 19</w:t>
      </w:r>
    </w:p>
    <w:p>
      <w:pPr>
        <w:keepLines/>
        <w:tabs>
          <w:tab w:val="right" w:leader="dot" w:pos="9360"/>
        </w:tabs>
        <w:spacing w:before="144" w:after="0" w:line="322" w:lineRule="exact"/>
        <w:ind w:left="360" w:right="1540" w:hanging="360"/>
      </w:pPr>
      <w:r>
        <w:rPr>
          <w:i/>
          <w:iCs/>
        </w:rPr>
        <w:t xml:space="preserve">Larson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2019</w:t>
      </w:r>
      <w:r>
        <w:t xml:space="preserve"> </w:t>
      </w:r>
      <w:r>
        <w:t xml:space="preserve">MT</w:t>
      </w:r>
      <w:r>
        <w:t xml:space="preserve"> </w:t>
      </w:r>
      <w:r>
        <w:t xml:space="preserve">28,</w:t>
      </w:r>
      <w:r>
        <w:t xml:space="preserve"> </w:t>
      </w:r>
      <w:r>
        <w:t xml:space="preserve">434</w:t>
      </w:r>
      <w:r>
        <w:t xml:space="preserve"> </w:t>
      </w:r>
      <w:r>
        <w:t xml:space="preserve">P.3d</w:t>
      </w:r>
      <w:r>
        <w:t xml:space="preserve"> </w:t>
      </w:r>
      <w:r>
        <w:t xml:space="preserve">241,</w:t>
      </w:r>
      <w:r>
        <w:t xml:space="preserve"> </w:t>
      </w:r>
      <w:r>
        <w:t xml:space="preserve">394</w:t>
      </w:r>
      <w:r>
        <w:t xml:space="preserve"> </w:t>
      </w:r>
      <w:r>
        <w:t xml:space="preserve">Mont.</w:t>
      </w:r>
      <w:r>
        <w:t xml:space="preserve"> </w:t>
      </w:r>
      <w:r>
        <w:t xml:space="preserve">167</w:t>
      </w:r>
      <w:r>
        <w:t xml:space="preserve">   </w:t>
      </w:r>
      <w:r>
        <w:tab/>
      </w:r>
      <w:r>
        <w:t xml:space="preserve">12, 16, 19, 20</w:t>
      </w:r>
    </w:p>
    <w:p>
      <w:pPr>
        <w:keepLines/>
        <w:tabs>
          <w:tab w:val="right" w:leader="dot" w:pos="9360"/>
        </w:tabs>
        <w:spacing w:before="144" w:after="0" w:line="322" w:lineRule="exact"/>
        <w:ind w:left="360" w:right="720" w:hanging="360"/>
      </w:pPr>
      <w:r>
        <w:rPr>
          <w:i/>
          <w:iCs/>
        </w:rPr>
        <w:t xml:space="preserve">Larson</w:t>
      </w:r>
      <w:r>
        <w:rPr>
          <w:i/>
          <w:iCs/>
        </w:rPr>
        <w:t xml:space="preserve"> </w:t>
      </w:r>
      <w:r>
        <w:rPr>
          <w:i/>
          <w:iCs/>
        </w:rPr>
        <w:t xml:space="preserve">v.</w:t>
      </w:r>
      <w:r>
        <w:rPr>
          <w:i/>
          <w:iCs/>
        </w:rPr>
        <w:t xml:space="preserve"> </w:t>
      </w:r>
      <w:r>
        <w:rPr>
          <w:i/>
          <w:iCs/>
        </w:rPr>
        <w:t xml:space="preserve">Valente</w:t>
      </w:r>
      <w:r>
        <w:t xml:space="preserve">,</w:t>
      </w:r>
      <w:r>
        <w:t xml:space="preserve"> </w:t>
      </w:r>
      <w:r>
        <w:t xml:space="preserve">456</w:t>
      </w:r>
      <w:r>
        <w:t xml:space="preserve"> </w:t>
      </w:r>
      <w:r>
        <w:t xml:space="preserve">U.S.</w:t>
      </w:r>
      <w:r>
        <w:t xml:space="preserve"> </w:t>
      </w:r>
      <w:r>
        <w:t xml:space="preserve">228</w:t>
      </w:r>
      <w:r>
        <w:t xml:space="preserve"> </w:t>
      </w:r>
      <w:r>
        <w:t xml:space="preserve">(1982)</w:t>
      </w:r>
      <w:r>
        <w:t xml:space="preserve">   </w:t>
      </w:r>
      <w:r>
        <w:tab/>
      </w:r>
      <w:r>
        <w:t xml:space="preserve">19</w:t>
      </w:r>
    </w:p>
    <w:p>
      <w:pPr>
        <w:keepLines/>
        <w:tabs>
          <w:tab w:val="right" w:leader="dot" w:pos="9360"/>
        </w:tabs>
        <w:spacing w:before="144" w:after="0" w:line="322" w:lineRule="exact"/>
        <w:ind w:left="360" w:right="1120" w:hanging="360"/>
      </w:pPr>
      <w:r>
        <w:rPr>
          <w:i/>
          <w:iCs/>
        </w:rPr>
        <w:t xml:space="preserve">Lujan</w:t>
      </w:r>
      <w:r>
        <w:rPr>
          <w:i/>
          <w:iCs/>
        </w:rPr>
        <w:t xml:space="preserve"> </w:t>
      </w:r>
      <w:r>
        <w:rPr>
          <w:i/>
          <w:iCs/>
        </w:rPr>
        <w:t xml:space="preserve">v.</w:t>
      </w:r>
      <w:r>
        <w:rPr>
          <w:i/>
          <w:iCs/>
        </w:rPr>
        <w:t xml:space="preserve"> </w:t>
      </w:r>
      <w:r>
        <w:rPr>
          <w:i/>
          <w:iCs/>
        </w:rPr>
        <w:t xml:space="preserve">Defs.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18, 19, 20</w:t>
      </w:r>
    </w:p>
    <w:p>
      <w:pPr>
        <w:keepLines/>
        <w:tabs>
          <w:tab w:val="right" w:leader="dot" w:pos="9360"/>
        </w:tabs>
        <w:spacing w:before="144" w:after="0" w:line="322" w:lineRule="exact"/>
        <w:ind w:left="360" w:right="720" w:hanging="360"/>
      </w:pPr>
      <w:r>
        <w:rPr>
          <w:i/>
          <w:iCs/>
        </w:rPr>
        <w:t xml:space="preserve">Mitchell</w:t>
      </w:r>
      <w:r>
        <w:rPr>
          <w:i/>
          <w:iCs/>
        </w:rPr>
        <w:t xml:space="preserve"> </w:t>
      </w:r>
      <w:r>
        <w:rPr>
          <w:i/>
          <w:iCs/>
        </w:rPr>
        <w:t xml:space="preserve">v.</w:t>
      </w:r>
      <w:r>
        <w:rPr>
          <w:i/>
          <w:iCs/>
        </w:rPr>
        <w:t xml:space="preserve"> </w:t>
      </w:r>
      <w:r>
        <w:rPr>
          <w:i/>
          <w:iCs/>
        </w:rPr>
        <w:t xml:space="preserve">Glacier</w:t>
      </w:r>
      <w:r>
        <w:rPr>
          <w:i/>
          <w:iCs/>
        </w:rPr>
        <w:t xml:space="preserve"> </w:t>
      </w:r>
      <w:r>
        <w:rPr>
          <w:i/>
          <w:iCs/>
        </w:rPr>
        <w:t xml:space="preserve">Cnty.</w:t>
      </w:r>
      <w:r>
        <w:t xml:space="preserve">,</w:t>
      </w:r>
      <w:r>
        <w:t xml:space="preserve"> </w:t>
      </w:r>
      <w:r>
        <w:t xml:space="preserve">2017</w:t>
      </w:r>
      <w:r>
        <w:t xml:space="preserve"> </w:t>
      </w:r>
      <w:r>
        <w:t xml:space="preserve">MT</w:t>
      </w:r>
      <w:r>
        <w:t xml:space="preserve"> </w:t>
      </w:r>
      <w:r>
        <w:t xml:space="preserve">258,</w:t>
      </w:r>
      <w:r>
        <w:t xml:space="preserve"> </w:t>
      </w:r>
      <w:r>
        <w:t xml:space="preserve">389</w:t>
      </w:r>
      <w:r>
        <w:t xml:space="preserve"> </w:t>
      </w:r>
      <w:r>
        <w:t xml:space="preserve">Mont.</w:t>
      </w:r>
      <w:r>
        <w:t xml:space="preserve"> </w:t>
      </w:r>
      <w:r>
        <w:t xml:space="preserve">122,</w:t>
      </w:r>
      <w:r>
        <w:t xml:space="preserve"> </w:t>
      </w:r>
      <w:r>
        <w:t xml:space="preserve">406</w:t>
      </w:r>
      <w:r>
        <w:t xml:space="preserve"> </w:t>
      </w:r>
      <w:r>
        <w:t xml:space="preserve">P.3d</w:t>
      </w:r>
      <w:r>
        <w:t xml:space="preserve"> </w:t>
      </w:r>
      <w:r>
        <w:t xml:space="preserve">427</w:t>
      </w:r>
      <w:r>
        <w:t xml:space="preserve">   </w:t>
      </w:r>
      <w:r>
        <w:tab/>
      </w:r>
      <w:r>
        <w:t xml:space="preserve">10, 20</w:t>
      </w:r>
    </w:p>
    <w:p>
      <w:pPr>
        <w:keepLines/>
        <w:tabs>
          <w:tab w:val="right" w:leader="dot" w:pos="9360"/>
        </w:tabs>
        <w:spacing w:before="144" w:after="0" w:line="322" w:lineRule="exact"/>
        <w:ind w:left="360" w:right="1120" w:hanging="360"/>
      </w:pPr>
      <w:r>
        <w:rPr>
          <w:i/>
          <w:iCs/>
        </w:rPr>
        <w:t xml:space="preserve">M.S.</w:t>
      </w:r>
      <w:r>
        <w:rPr>
          <w:i/>
          <w:iCs/>
        </w:rPr>
        <w:t xml:space="preserve"> </w:t>
      </w:r>
      <w:r>
        <w:rPr>
          <w:i/>
          <w:iCs/>
        </w:rPr>
        <w:t xml:space="preserve">v.</w:t>
      </w:r>
      <w:r>
        <w:rPr>
          <w:i/>
          <w:iCs/>
        </w:rPr>
        <w:t xml:space="preserve"> </w:t>
      </w:r>
      <w:r>
        <w:rPr>
          <w:i/>
          <w:iCs/>
        </w:rPr>
        <w:t xml:space="preserve">Brown</w:t>
      </w:r>
      <w:r>
        <w:t xml:space="preserve">,</w:t>
      </w:r>
      <w:r>
        <w:t xml:space="preserve"> </w:t>
      </w:r>
      <w:r>
        <w:t xml:space="preserve">902</w:t>
      </w:r>
      <w:r>
        <w:t xml:space="preserve"> </w:t>
      </w:r>
      <w:r>
        <w:t xml:space="preserve">F.3d</w:t>
      </w:r>
      <w:r>
        <w:t xml:space="preserve"> </w:t>
      </w:r>
      <w:r>
        <w:t xml:space="preserve">1076</w:t>
      </w:r>
      <w:r>
        <w:t xml:space="preserve"> </w:t>
      </w:r>
      <w:r>
        <w:t xml:space="preserve">(9th</w:t>
      </w:r>
      <w:r>
        <w:t xml:space="preserve"> </w:t>
      </w:r>
      <w:r>
        <w:t xml:space="preserve">Cir.</w:t>
      </w:r>
      <w:r>
        <w:t xml:space="preserve"> </w:t>
      </w:r>
      <w:r>
        <w:t xml:space="preserve">2018)</w:t>
      </w:r>
      <w:r>
        <w:t xml:space="preserve">   </w:t>
      </w:r>
      <w:r>
        <w:tab/>
      </w:r>
      <w:r>
        <w:t xml:space="preserve">11, 20, 27</w:t>
      </w:r>
    </w:p>
    <w:p>
      <w:pPr>
        <w:keepLines/>
        <w:tabs>
          <w:tab w:val="right" w:leader="dot" w:pos="9360"/>
        </w:tabs>
        <w:spacing w:before="144" w:after="0" w:line="322" w:lineRule="exact"/>
        <w:ind w:left="360" w:right="720" w:hanging="360"/>
      </w:pPr>
      <w:r>
        <w:rPr>
          <w:i/>
          <w:iCs/>
        </w:rPr>
        <w:t xml:space="preserve">MEIC</w:t>
      </w:r>
      <w:r>
        <w:rPr>
          <w:i/>
          <w:iCs/>
        </w:rPr>
        <w:t xml:space="preserve"> </w:t>
      </w:r>
      <w:r>
        <w:rPr>
          <w:i/>
          <w:iCs/>
        </w:rPr>
        <w:t xml:space="preserve">v.</w:t>
      </w:r>
      <w:r>
        <w:rPr>
          <w:i/>
          <w:iCs/>
        </w:rPr>
        <w:t xml:space="preserve"> </w:t>
      </w:r>
      <w:r>
        <w:rPr>
          <w:i/>
          <w:iCs/>
        </w:rPr>
        <w:t xml:space="preserve">DEQ</w:t>
      </w:r>
      <w:r>
        <w:t xml:space="preserve">,</w:t>
      </w:r>
      <w:r>
        <w:t xml:space="preserve"> </w:t>
      </w:r>
      <w:r>
        <w:t xml:space="preserve">1999</w:t>
      </w:r>
      <w:r>
        <w:t xml:space="preserve"> </w:t>
      </w:r>
      <w:r>
        <w:t xml:space="preserve">MT</w:t>
      </w:r>
      <w:r>
        <w:t xml:space="preserve"> </w:t>
      </w:r>
      <w:r>
        <w:t xml:space="preserve">248,</w:t>
      </w:r>
      <w:r>
        <w:t xml:space="preserve"> </w:t>
      </w:r>
      <w:r>
        <w:t xml:space="preserve">296</w:t>
      </w:r>
      <w:r>
        <w:t xml:space="preserve"> </w:t>
      </w:r>
      <w:r>
        <w:t xml:space="preserve">Mont.</w:t>
      </w:r>
      <w:r>
        <w:t xml:space="preserve"> </w:t>
      </w:r>
      <w:r>
        <w:t xml:space="preserve">207,</w:t>
      </w:r>
      <w:r>
        <w:t xml:space="preserve"> </w:t>
      </w:r>
      <w:r>
        <w:t xml:space="preserve">988</w:t>
      </w:r>
      <w:r>
        <w:t xml:space="preserve"> </w:t>
      </w:r>
      <w:r>
        <w:t xml:space="preserve">P.2d</w:t>
      </w:r>
      <w:r>
        <w:t xml:space="preserve"> </w:t>
      </w:r>
      <w:r>
        <w:t xml:space="preserve">1236</w:t>
      </w:r>
      <w:r>
        <w:t xml:space="preserve">   </w:t>
      </w:r>
      <w:r>
        <w:tab/>
      </w:r>
      <w:r>
        <w:t xml:space="preserve">21</w:t>
      </w:r>
    </w:p>
    <w:p>
      <w:pPr>
        <w:keepLines/>
        <w:tabs>
          <w:tab w:val="right" w:leader="dot" w:pos="9360"/>
        </w:tabs>
        <w:spacing w:before="144" w:after="0" w:line="322" w:lineRule="exact"/>
        <w:ind w:left="360" w:right="720" w:hanging="360"/>
      </w:pPr>
      <w:r>
        <w:rPr>
          <w:i/>
          <w:iCs/>
        </w:rPr>
        <w:t xml:space="preserve">Mont.</w:t>
      </w:r>
      <w:r>
        <w:rPr>
          <w:i/>
          <w:iCs/>
        </w:rPr>
        <w:t xml:space="preserve"> </w:t>
      </w:r>
      <w:r>
        <w:rPr>
          <w:i/>
          <w:iCs/>
        </w:rPr>
        <w:t xml:space="preserve">Cannabis</w:t>
      </w:r>
      <w:r>
        <w:rPr>
          <w:i/>
          <w:iCs/>
        </w:rPr>
        <w:t xml:space="preserve"> </w:t>
      </w:r>
      <w:r>
        <w:rPr>
          <w:i/>
          <w:iCs/>
        </w:rPr>
        <w:t xml:space="preserve">Indus.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2016</w:t>
      </w:r>
      <w:r>
        <w:t xml:space="preserve"> </w:t>
      </w:r>
      <w:r>
        <w:t xml:space="preserve">MT</w:t>
      </w:r>
      <w:r>
        <w:t xml:space="preserve"> </w:t>
      </w:r>
      <w:r>
        <w:t xml:space="preserve">44,</w:t>
      </w:r>
      <w:r>
        <w:t xml:space="preserve"> </w:t>
      </w:r>
      <w:r>
        <w:t xml:space="preserve">382</w:t>
      </w:r>
      <w:r>
        <w:t xml:space="preserve"> </w:t>
      </w:r>
      <w:r>
        <w:t xml:space="preserve">Mont.</w:t>
      </w:r>
      <w:r>
        <w:t xml:space="preserve"> </w:t>
      </w:r>
      <w:r>
        <w:t xml:space="preserve">256,</w:t>
      </w:r>
      <w:r>
        <w:t xml:space="preserve"> </w:t>
      </w:r>
      <w:r>
        <w:t xml:space="preserve">368</w:t>
      </w:r>
      <w:r>
        <w:t xml:space="preserve"> </w:t>
      </w:r>
      <w:r>
        <w:t xml:space="preserve">P.3d</w:t>
      </w:r>
      <w:r>
        <w:t xml:space="preserve"> </w:t>
      </w:r>
      <w:r>
        <w:t xml:space="preserve">1311</w:t>
      </w:r>
      <w:r>
        <w:t xml:space="preserve">   </w:t>
      </w:r>
      <w:r>
        <w:tab/>
      </w:r>
      <w:r>
        <w:t xml:space="preserve">9</w:t>
      </w:r>
    </w:p>
    <w:p>
      <w:pPr>
        <w:keepLines/>
        <w:tabs>
          <w:tab w:val="right" w:leader="dot" w:pos="9360"/>
        </w:tabs>
        <w:spacing w:before="144" w:after="0" w:line="322" w:lineRule="exact"/>
        <w:ind w:left="360" w:right="720" w:hanging="360"/>
      </w:pPr>
      <w:r>
        <w:rPr>
          <w:i/>
          <w:iCs/>
        </w:rPr>
        <w:t xml:space="preserve">Mont.</w:t>
      </w:r>
      <w:r>
        <w:rPr>
          <w:i/>
          <w:iCs/>
        </w:rPr>
        <w:t xml:space="preserve"> </w:t>
      </w:r>
      <w:r>
        <w:rPr>
          <w:i/>
          <w:iCs/>
        </w:rPr>
        <w:t xml:space="preserve">Dem.</w:t>
      </w:r>
      <w:r>
        <w:rPr>
          <w:i/>
          <w:iCs/>
        </w:rPr>
        <w:t xml:space="preserve"> </w:t>
      </w:r>
      <w:r>
        <w:rPr>
          <w:i/>
          <w:iCs/>
        </w:rPr>
        <w:t xml:space="preserve">Party</w:t>
      </w:r>
      <w:r>
        <w:rPr>
          <w:i/>
          <w:iCs/>
        </w:rPr>
        <w:t xml:space="preserve"> </w:t>
      </w:r>
      <w:r>
        <w:rPr>
          <w:i/>
          <w:iCs/>
        </w:rPr>
        <w:t xml:space="preserve">v.</w:t>
      </w:r>
      <w:r>
        <w:rPr>
          <w:i/>
          <w:iCs/>
        </w:rPr>
        <w:t xml:space="preserve"> </w:t>
      </w:r>
      <w:r>
        <w:rPr>
          <w:i/>
          <w:iCs/>
        </w:rPr>
        <w:t xml:space="preserve">Jacobsen</w:t>
      </w:r>
      <w:r>
        <w:t xml:space="preserve">,</w:t>
      </w:r>
      <w:r>
        <w:t xml:space="preserve"> </w:t>
      </w:r>
      <w:r>
        <w:t xml:space="preserve">2024</w:t>
      </w:r>
      <w:r>
        <w:t xml:space="preserve"> </w:t>
      </w:r>
      <w:r>
        <w:t xml:space="preserve">MT</w:t>
      </w:r>
      <w:r>
        <w:t xml:space="preserve"> </w:t>
      </w:r>
      <w:r>
        <w:t xml:space="preserve">66,</w:t>
      </w:r>
      <w:r>
        <w:t xml:space="preserve"> </w:t>
      </w:r>
      <w:r>
        <w:t xml:space="preserve">2024</w:t>
      </w:r>
      <w:r>
        <w:t xml:space="preserve"> </w:t>
      </w:r>
      <w:r>
        <w:t xml:space="preserve">WL</w:t>
      </w:r>
      <w:r>
        <w:t xml:space="preserve"> </w:t>
      </w:r>
      <w:r>
        <w:t xml:space="preserve">1291935</w:t>
      </w:r>
      <w:r>
        <w:t xml:space="preserve">   </w:t>
      </w:r>
      <w:r>
        <w:tab/>
      </w:r>
      <w:r>
        <w:t xml:space="preserve">11</w:t>
      </w:r>
    </w:p>
    <w:p>
      <w:pPr>
        <w:keepLines/>
        <w:tabs>
          <w:tab w:val="right" w:leader="dot" w:pos="9360"/>
        </w:tabs>
        <w:spacing w:before="144" w:after="0" w:line="322" w:lineRule="exact"/>
        <w:ind w:left="360" w:right="720" w:hanging="360"/>
      </w:pPr>
      <w:r>
        <w:rPr>
          <w:i/>
          <w:iCs/>
        </w:rPr>
        <w:t xml:space="preserve">Native</w:t>
      </w:r>
      <w:r>
        <w:rPr>
          <w:i/>
          <w:iCs/>
        </w:rPr>
        <w:t xml:space="preserve"> </w:t>
      </w:r>
      <w:r>
        <w:rPr>
          <w:i/>
          <w:iCs/>
        </w:rPr>
        <w:t xml:space="preserve">Vill.</w:t>
      </w:r>
      <w:r>
        <w:rPr>
          <w:i/>
          <w:iCs/>
        </w:rPr>
        <w:t xml:space="preserve"> </w:t>
      </w:r>
      <w:r>
        <w:rPr>
          <w:i/>
          <w:iCs/>
        </w:rPr>
        <w:t xml:space="preserve">of</w:t>
      </w:r>
      <w:r>
        <w:rPr>
          <w:i/>
          <w:iCs/>
        </w:rPr>
        <w:t xml:space="preserve"> </w:t>
      </w:r>
      <w:r>
        <w:rPr>
          <w:i/>
          <w:iCs/>
        </w:rPr>
        <w:t xml:space="preserve">Kivalina</w:t>
      </w:r>
      <w:r>
        <w:rPr>
          <w:i/>
          <w:iCs/>
        </w:rPr>
        <w:t xml:space="preserve"> </w:t>
      </w:r>
      <w:r>
        <w:rPr>
          <w:i/>
          <w:iCs/>
        </w:rPr>
        <w:t xml:space="preserve">v.</w:t>
      </w:r>
      <w:r>
        <w:rPr>
          <w:i/>
          <w:iCs/>
        </w:rPr>
        <w:t xml:space="preserve"> </w:t>
      </w:r>
      <w:r>
        <w:rPr>
          <w:i/>
          <w:iCs/>
        </w:rPr>
        <w:t xml:space="preserve">ExxonMobil</w:t>
      </w:r>
      <w:r>
        <w:rPr>
          <w:i/>
          <w:iCs/>
        </w:rPr>
        <w:t xml:space="preserve"> </w:t>
      </w:r>
      <w:r>
        <w:rPr>
          <w:i/>
          <w:iCs/>
        </w:rPr>
        <w:t xml:space="preserve">Corp.</w:t>
      </w:r>
      <w:r>
        <w:t xml:space="preserve">,</w:t>
      </w:r>
      <w:r>
        <w:t xml:space="preserve"> </w:t>
      </w:r>
      <w:r>
        <w:t xml:space="preserve">696</w:t>
      </w:r>
      <w:r>
        <w:t xml:space="preserve"> </w:t>
      </w:r>
      <w:r>
        <w:t xml:space="preserve">F.3d</w:t>
      </w:r>
      <w:r>
        <w:t xml:space="preserve"> </w:t>
      </w:r>
      <w:r>
        <w:t xml:space="preserve">849</w:t>
      </w:r>
      <w:r>
        <w:t xml:space="preserve"> </w:t>
      </w:r>
      <w:r>
        <w:t xml:space="preserve">(9th</w:t>
      </w:r>
      <w:r>
        <w:t xml:space="preserve"> </w:t>
      </w:r>
      <w:r>
        <w:t xml:space="preserve">Cir.</w:t>
      </w:r>
      <w:r>
        <w:t xml:space="preserve"> </w:t>
      </w:r>
      <w:r>
        <w:t xml:space="preserve">2012)</w:t>
      </w:r>
      <w:r>
        <w:t xml:space="preserve">   </w:t>
      </w:r>
      <w:r>
        <w:tab/>
      </w:r>
      <w:r>
        <w:t xml:space="preserve">13</w:t>
      </w:r>
    </w:p>
    <w:p>
      <w:pPr>
        <w:keepLines/>
        <w:tabs>
          <w:tab w:val="right" w:leader="dot" w:pos="9360"/>
        </w:tabs>
        <w:spacing w:before="144" w:after="0" w:line="322" w:lineRule="exact"/>
        <w:ind w:left="360" w:right="720" w:hanging="360"/>
      </w:pPr>
      <w:r>
        <w:rPr>
          <w:i/>
          <w:iCs/>
        </w:rPr>
        <w:t xml:space="preserve">Park</w:t>
      </w:r>
      <w:r>
        <w:rPr>
          <w:i/>
          <w:iCs/>
        </w:rPr>
        <w:t xml:space="preserve"> </w:t>
      </w:r>
      <w:r>
        <w:rPr>
          <w:i/>
          <w:iCs/>
        </w:rPr>
        <w:t xml:space="preserve">Cnty.</w:t>
      </w:r>
      <w:r>
        <w:rPr>
          <w:i/>
          <w:iCs/>
        </w:rPr>
        <w:t xml:space="preserve"> </w:t>
      </w:r>
      <w:r>
        <w:rPr>
          <w:i/>
          <w:iCs/>
        </w:rPr>
        <w:t xml:space="preserve">Env’tl.</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DEQ</w:t>
      </w:r>
      <w:r>
        <w:t xml:space="preserve">,</w:t>
      </w:r>
      <w:r>
        <w:t xml:space="preserve"> </w:t>
      </w:r>
      <w:r>
        <w:t xml:space="preserve">2020</w:t>
      </w:r>
      <w:r>
        <w:t xml:space="preserve"> </w:t>
      </w:r>
      <w:r>
        <w:t xml:space="preserve">MT</w:t>
      </w:r>
      <w:r>
        <w:t xml:space="preserve"> </w:t>
      </w:r>
      <w:r>
        <w:t xml:space="preserve">303,</w:t>
      </w:r>
      <w:r>
        <w:t xml:space="preserve"> </w:t>
      </w:r>
      <w:r>
        <w:t xml:space="preserve">402</w:t>
      </w:r>
      <w:r>
        <w:t xml:space="preserve"> </w:t>
      </w:r>
      <w:r>
        <w:t xml:space="preserve">Mont.</w:t>
      </w:r>
      <w:r>
        <w:t xml:space="preserve"> </w:t>
      </w:r>
      <w:r>
        <w:t xml:space="preserve">168,</w:t>
      </w:r>
      <w:r>
        <w:t xml:space="preserve"> </w:t>
      </w:r>
      <w:r>
        <w:t xml:space="preserve">477</w:t>
      </w:r>
      <w:r>
        <w:t xml:space="preserve"> </w:t>
      </w:r>
      <w:r>
        <w:t xml:space="preserve">P.3d</w:t>
      </w:r>
      <w:r>
        <w:t xml:space="preserve"> </w:t>
      </w:r>
      <w:r>
        <w:t xml:space="preserve">288</w:t>
      </w:r>
      <w:r>
        <w:t xml:space="preserve">   </w:t>
      </w:r>
      <w:r>
        <w:tab/>
      </w:r>
      <w:r>
        <w:t xml:space="preserve">21, 22</w:t>
      </w:r>
    </w:p>
    <w:p>
      <w:pPr>
        <w:keepLines/>
        <w:tabs>
          <w:tab w:val="right" w:leader="dot" w:pos="9360"/>
        </w:tabs>
        <w:spacing w:before="144" w:after="0" w:line="322" w:lineRule="exact"/>
        <w:ind w:left="360" w:right="720" w:hanging="360"/>
      </w:pPr>
      <w:r>
        <w:rPr>
          <w:i/>
          <w:iCs/>
        </w:rPr>
        <w:t xml:space="preserve">Plan</w:t>
      </w:r>
      <w:r>
        <w:rPr>
          <w:i/>
          <w:iCs/>
        </w:rPr>
        <w:t xml:space="preserve"> </w:t>
      </w:r>
      <w:r>
        <w:rPr>
          <w:i/>
          <w:iCs/>
        </w:rPr>
        <w:t xml:space="preserve">Helena,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Helena</w:t>
      </w:r>
      <w:r>
        <w:rPr>
          <w:i/>
          <w:iCs/>
        </w:rPr>
        <w:t xml:space="preserve"> </w:t>
      </w:r>
      <w:r>
        <w:rPr>
          <w:i/>
          <w:iCs/>
        </w:rPr>
        <w:t xml:space="preserve">Reg’l</w:t>
      </w:r>
      <w:r>
        <w:rPr>
          <w:i/>
          <w:iCs/>
        </w:rPr>
        <w:t xml:space="preserve"> </w:t>
      </w:r>
      <w:r>
        <w:rPr>
          <w:i/>
          <w:iCs/>
        </w:rPr>
        <w:t xml:space="preserve">Airport</w:t>
      </w:r>
      <w:r>
        <w:rPr>
          <w:i/>
          <w:iCs/>
        </w:rPr>
        <w:t xml:space="preserve"> </w:t>
      </w:r>
      <w:r>
        <w:rPr>
          <w:i/>
          <w:iCs/>
        </w:rPr>
        <w:t xml:space="preserve">Auth.</w:t>
      </w:r>
      <w:r>
        <w:rPr>
          <w:i/>
          <w:iCs/>
        </w:rPr>
        <w:t xml:space="preserve"> </w:t>
      </w:r>
      <w:r>
        <w:rPr>
          <w:i/>
          <w:iCs/>
        </w:rPr>
        <w:t xml:space="preserve">Bd.</w:t>
      </w:r>
      <w:r>
        <w:t xml:space="preserve">,</w:t>
      </w:r>
      <w:r>
        <w:t xml:space="preserve"> </w:t>
      </w:r>
      <w:r>
        <w:t xml:space="preserve">2010</w:t>
      </w:r>
      <w:r>
        <w:t xml:space="preserve"> </w:t>
      </w:r>
      <w:r>
        <w:t xml:space="preserve">MT</w:t>
      </w:r>
      <w:r>
        <w:t xml:space="preserve"> </w:t>
      </w:r>
      <w:r>
        <w:t xml:space="preserve">26,</w:t>
      </w:r>
      <w:r>
        <w:t xml:space="preserve"> </w:t>
      </w:r>
      <w:r>
        <w:t xml:space="preserve">355</w:t>
      </w:r>
      <w:r>
        <w:t xml:space="preserve"> </w:t>
      </w:r>
      <w:r>
        <w:t xml:space="preserve">Mont.</w:t>
      </w:r>
      <w:r>
        <w:t xml:space="preserve"> </w:t>
      </w:r>
      <w:r>
        <w:t xml:space="preserve">142,</w:t>
      </w:r>
      <w:r>
        <w:t xml:space="preserve"> </w:t>
      </w:r>
      <w:r>
        <w:t xml:space="preserve">226</w:t>
      </w:r>
      <w:r>
        <w:t xml:space="preserve"> </w:t>
      </w:r>
      <w:r>
        <w:t xml:space="preserve">P.3d</w:t>
      </w:r>
      <w:r>
        <w:t xml:space="preserve"> </w:t>
      </w:r>
      <w:r>
        <w:t xml:space="preserve">567</w:t>
      </w:r>
      <w:r>
        <w:t xml:space="preserve">   </w:t>
      </w:r>
      <w:r>
        <w:tab/>
      </w:r>
      <w:r>
        <w:t xml:space="preserve">11</w:t>
      </w:r>
    </w:p>
    <w:p>
      <w:pPr>
        <w:keepLines/>
        <w:tabs>
          <w:tab w:val="right" w:leader="dot" w:pos="9360"/>
        </w:tabs>
        <w:spacing w:before="144" w:after="0" w:line="322" w:lineRule="exact"/>
        <w:ind w:left="360" w:right="720" w:hanging="360"/>
      </w:pPr>
      <w:r>
        <w:rPr>
          <w:i/>
          <w:iCs/>
        </w:rPr>
        <w:t xml:space="preserve">Preseault</w:t>
      </w:r>
      <w:r>
        <w:rPr>
          <w:i/>
          <w:iCs/>
        </w:rPr>
        <w:t xml:space="preserve"> </w:t>
      </w:r>
      <w:r>
        <w:rPr>
          <w:i/>
          <w:iCs/>
        </w:rPr>
        <w:t xml:space="preserve">v.</w:t>
      </w:r>
      <w:r>
        <w:rPr>
          <w:i/>
          <w:iCs/>
        </w:rPr>
        <w:t xml:space="preserve"> </w:t>
      </w:r>
      <w:r>
        <w:rPr>
          <w:i/>
          <w:iCs/>
        </w:rPr>
        <w:t xml:space="preserve">I.C.C.</w:t>
      </w:r>
      <w:r>
        <w:t xml:space="preserve">,</w:t>
      </w:r>
      <w:r>
        <w:t xml:space="preserve"> </w:t>
      </w:r>
      <w:r>
        <w:t xml:space="preserve">494</w:t>
      </w:r>
      <w:r>
        <w:t xml:space="preserve"> </w:t>
      </w:r>
      <w:r>
        <w:t xml:space="preserve">U.S.</w:t>
      </w:r>
      <w:r>
        <w:t xml:space="preserve"> </w:t>
      </w:r>
      <w:r>
        <w:t xml:space="preserve">1</w:t>
      </w:r>
      <w:r>
        <w:t xml:space="preserve"> </w:t>
      </w:r>
      <w:r>
        <w:t xml:space="preserve">(1990)</w:t>
      </w:r>
      <w:r>
        <w:t xml:space="preserve">   </w:t>
      </w:r>
      <w:r>
        <w:tab/>
      </w:r>
      <w:r>
        <w:t xml:space="preserve">24</w:t>
      </w:r>
    </w:p>
    <w:p>
      <w:pPr>
        <w:keepLines/>
        <w:tabs>
          <w:tab w:val="right" w:leader="dot" w:pos="9360"/>
        </w:tabs>
        <w:spacing w:before="144" w:after="0" w:line="322" w:lineRule="exact"/>
        <w:ind w:left="360" w:right="720" w:hanging="360"/>
      </w:pPr>
      <w:r>
        <w:rPr>
          <w:i/>
          <w:iCs/>
        </w:rPr>
        <w:t xml:space="preserve">Qwest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Regulation</w:t>
      </w:r>
      <w:r>
        <w:t xml:space="preserve">,</w:t>
      </w:r>
      <w:r>
        <w:t xml:space="preserve"> </w:t>
      </w:r>
      <w:r>
        <w:t xml:space="preserve">2007</w:t>
      </w:r>
      <w:r>
        <w:t xml:space="preserve"> </w:t>
      </w:r>
      <w:r>
        <w:t xml:space="preserve">MT</w:t>
      </w:r>
      <w:r>
        <w:t xml:space="preserve"> </w:t>
      </w:r>
      <w:r>
        <w:t xml:space="preserve">350,</w:t>
      </w:r>
      <w:r>
        <w:t xml:space="preserve"> </w:t>
      </w:r>
      <w:r>
        <w:t xml:space="preserve">340</w:t>
      </w:r>
      <w:r>
        <w:t xml:space="preserve"> </w:t>
      </w:r>
      <w:r>
        <w:t xml:space="preserve">Mont.</w:t>
      </w:r>
      <w:r>
        <w:t xml:space="preserve"> </w:t>
      </w:r>
      <w:r>
        <w:t xml:space="preserve">309,</w:t>
      </w:r>
      <w:r>
        <w:t xml:space="preserve"> </w:t>
      </w:r>
      <w:r>
        <w:t xml:space="preserve">174</w:t>
      </w:r>
      <w:r>
        <w:t xml:space="preserve"> </w:t>
      </w:r>
      <w:r>
        <w:t xml:space="preserve">P.3d</w:t>
      </w:r>
      <w:r>
        <w:t xml:space="preserve"> </w:t>
      </w:r>
      <w:r>
        <w:t xml:space="preserve">496</w:t>
      </w:r>
      <w:r>
        <w:t xml:space="preserve">   </w:t>
      </w:r>
      <w:r>
        <w:tab/>
      </w:r>
      <w:r>
        <w:t xml:space="preserve">21</w:t>
      </w:r>
    </w:p>
    <w:p>
      <w:pPr>
        <w:keepLines/>
        <w:tabs>
          <w:tab w:val="right" w:leader="dot" w:pos="9360"/>
        </w:tabs>
        <w:spacing w:before="144" w:after="0" w:line="322" w:lineRule="exact"/>
        <w:ind w:left="360" w:right="720" w:hanging="360"/>
      </w:pPr>
      <w:r>
        <w:rPr>
          <w:i/>
          <w:iCs/>
        </w:rPr>
        <w:t xml:space="preserve">Steel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a</w:t>
      </w:r>
      <w:r>
        <w:rPr>
          <w:i/>
          <w:iCs/>
        </w:rPr>
        <w:t xml:space="preserve"> </w:t>
      </w:r>
      <w:r>
        <w:rPr>
          <w:i/>
          <w:iCs/>
        </w:rPr>
        <w:t xml:space="preserve">Better</w:t>
      </w:r>
      <w:r>
        <w:rPr>
          <w:i/>
          <w:iCs/>
        </w:rPr>
        <w:t xml:space="preserve"> </w:t>
      </w:r>
      <w:r>
        <w:rPr>
          <w:i/>
          <w:iCs/>
        </w:rPr>
        <w:t xml:space="preserve">Environment</w:t>
      </w:r>
      <w:r>
        <w:t xml:space="preserve">,</w:t>
      </w:r>
      <w:r>
        <w:t xml:space="preserve"> </w:t>
      </w:r>
      <w:r>
        <w:t xml:space="preserve">523</w:t>
      </w:r>
      <w:r>
        <w:t xml:space="preserve"> </w:t>
      </w:r>
      <w:r>
        <w:t xml:space="preserve">U.S.</w:t>
      </w:r>
      <w:r>
        <w:t xml:space="preserve"> </w:t>
      </w:r>
      <w:r>
        <w:t xml:space="preserve">83</w:t>
      </w:r>
      <w:r>
        <w:t xml:space="preserve"> </w:t>
      </w:r>
      <w:r>
        <w:t xml:space="preserve">(1998)</w:t>
      </w:r>
      <w:r>
        <w:t xml:space="preserve">   </w:t>
      </w:r>
      <w:r>
        <w:tab/>
      </w:r>
      <w:r>
        <w:t xml:space="preserve">20</w:t>
      </w:r>
    </w:p>
    <w:p>
      <w:pPr>
        <w:keepLines/>
        <w:tabs>
          <w:tab w:val="right" w:leader="dot" w:pos="9360"/>
        </w:tabs>
        <w:spacing w:before="144" w:after="0" w:line="322" w:lineRule="exact"/>
        <w:ind w:left="360" w:right="720" w:hanging="360"/>
      </w:pPr>
      <w:r>
        <w:rPr>
          <w:i/>
          <w:iCs/>
        </w:rPr>
        <w:t xml:space="preserve">Tiegs</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w:t>
      </w:r>
      <w:r>
        <w:t xml:space="preserve">,</w:t>
      </w:r>
      <w:r>
        <w:t xml:space="preserve"> </w:t>
      </w:r>
      <w:r>
        <w:t xml:space="preserve">2023</w:t>
      </w:r>
      <w:r>
        <w:t xml:space="preserve"> </w:t>
      </w:r>
      <w:r>
        <w:t xml:space="preserve">MT</w:t>
      </w:r>
      <w:r>
        <w:t xml:space="preserve"> </w:t>
      </w:r>
      <w:r>
        <w:t xml:space="preserve">168,</w:t>
      </w:r>
      <w:r>
        <w:t xml:space="preserve"> </w:t>
      </w:r>
      <w:r>
        <w:t xml:space="preserve">413</w:t>
      </w:r>
      <w:r>
        <w:t xml:space="preserve"> </w:t>
      </w:r>
      <w:r>
        <w:t xml:space="preserve">Mont.</w:t>
      </w:r>
      <w:r>
        <w:t xml:space="preserve"> </w:t>
      </w:r>
      <w:r>
        <w:t xml:space="preserve">223,</w:t>
      </w:r>
      <w:r>
        <w:t xml:space="preserve"> </w:t>
      </w:r>
      <w:r>
        <w:t xml:space="preserve">535</w:t>
      </w:r>
      <w:r>
        <w:t xml:space="preserve"> </w:t>
      </w:r>
      <w:r>
        <w:t xml:space="preserve">P.3d</w:t>
      </w:r>
      <w:r>
        <w:t xml:space="preserve"> </w:t>
      </w:r>
      <w:r>
        <w:t xml:space="preserve">220</w:t>
      </w:r>
      <w:r>
        <w:t xml:space="preserve">   </w:t>
      </w:r>
      <w:r>
        <w:tab/>
      </w:r>
      <w:r>
        <w:t xml:space="preserve">24</w:t>
      </w:r>
    </w:p>
    <w:p>
      <w:pPr>
        <w:keepLines/>
        <w:tabs>
          <w:tab w:val="right" w:leader="dot" w:pos="9360"/>
        </w:tabs>
        <w:spacing w:before="144" w:after="0" w:line="322" w:lineRule="exact"/>
        <w:ind w:left="360" w:right="2380" w:hanging="360"/>
      </w:pPr>
      <w:r>
        <w:rPr>
          <w:i/>
          <w:iCs/>
        </w:rPr>
        <w:t xml:space="preserve">Washington</w:t>
      </w:r>
      <w:r>
        <w:rPr>
          <w:i/>
          <w:iCs/>
        </w:rPr>
        <w:t xml:space="preserve"> </w:t>
      </w:r>
      <w:r>
        <w:rPr>
          <w:i/>
          <w:iCs/>
        </w:rPr>
        <w:t xml:space="preserve">Env’t</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Bellon</w:t>
      </w:r>
      <w:r>
        <w:t xml:space="preserve">,</w:t>
      </w:r>
      <w:r>
        <w:t xml:space="preserve"> </w:t>
      </w:r>
      <w:r>
        <w:t xml:space="preserve">732</w:t>
      </w:r>
      <w:r>
        <w:t xml:space="preserve"> </w:t>
      </w:r>
      <w:r>
        <w:t xml:space="preserve">F.3d</w:t>
      </w:r>
      <w:r>
        <w:t xml:space="preserve"> </w:t>
      </w:r>
      <w:r>
        <w:t xml:space="preserve">1131</w:t>
      </w:r>
      <w:r>
        <w:t xml:space="preserve"> </w:t>
      </w:r>
      <w:r>
        <w:t xml:space="preserve">(9th</w:t>
      </w:r>
      <w:r>
        <w:t xml:space="preserve"> </w:t>
      </w:r>
      <w:r>
        <w:t xml:space="preserve">Cir.</w:t>
      </w:r>
      <w:r>
        <w:t xml:space="preserve"> </w:t>
      </w:r>
      <w:r>
        <w:t xml:space="preserve">2013)</w:t>
      </w:r>
      <w:r>
        <w:t xml:space="preserve">   </w:t>
      </w:r>
      <w:r>
        <w:tab/>
      </w:r>
      <w:r>
        <w:t xml:space="preserve">12, 13, 14, 15, 16, 17</w:t>
      </w:r>
    </w:p>
    <w:p>
      <w:pPr>
        <w:keepNext/>
        <w:keepLines/>
        <w:spacing w:before="336" w:after="84"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360" w:right="72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1</w:t>
        <w:noBreakHyphen/>
        <w:t xml:space="preserve">102</w:t>
      </w:r>
      <w:r>
        <w:t xml:space="preserve">   </w:t>
      </w:r>
      <w:r>
        <w:tab/>
      </w:r>
      <w:r>
        <w:t xml:space="preserve">7</w:t>
      </w:r>
    </w:p>
    <w:p>
      <w:pPr>
        <w:keepLines/>
        <w:tabs>
          <w:tab w:val="right" w:leader="dot" w:pos="9360"/>
        </w:tabs>
        <w:spacing w:before="144" w:after="0" w:line="322" w:lineRule="exact"/>
        <w:ind w:left="360" w:right="7000" w:hanging="360"/>
      </w:pPr>
      <w:r>
        <w:t xml:space="preserve">Mont.</w:t>
      </w:r>
      <w:r>
        <w:t xml:space="preserve"> </w:t>
      </w:r>
      <w:r>
        <w:t xml:space="preserve">Code</w:t>
      </w:r>
      <w:r>
        <w:t xml:space="preserve"> </w:t>
      </w:r>
      <w:r>
        <w:t xml:space="preserve">Ann.</w:t>
      </w:r>
      <w:r>
        <w:t xml:space="preserve"> </w:t>
      </w:r>
      <w:r>
        <w:t xml:space="preserve">§</w:t>
      </w:r>
      <w:r>
        <w:t xml:space="preserve"> </w:t>
      </w:r>
      <w:r>
        <w:t xml:space="preserve">75</w:t>
        <w:noBreakHyphen/>
        <w:t xml:space="preserve">1</w:t>
        <w:noBreakHyphen/>
        <w:t xml:space="preserve">201</w:t>
      </w:r>
      <w:r>
        <w:t xml:space="preserve">   </w:t>
      </w:r>
      <w:r>
        <w:tab/>
      </w:r>
      <w:r>
        <w:t xml:space="preserve">7, 8, 9, 10, 13, 14, 15, 16, 17, 18, 19, 20, 21, 24, 25, 26, 27, 28</w:t>
      </w:r>
    </w:p>
    <w:p>
      <w:pPr>
        <w:keepLines/>
        <w:tabs>
          <w:tab w:val="right" w:leader="dot" w:pos="9360"/>
        </w:tabs>
        <w:spacing w:before="144" w:after="0" w:line="322" w:lineRule="exact"/>
        <w:ind w:left="360" w:right="720" w:hanging="360"/>
      </w:pPr>
      <w:r>
        <w:t xml:space="preserve">Mont.</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w:t>
      </w:r>
      <w:r>
        <w:t xml:space="preserve">   </w:t>
      </w:r>
      <w:r>
        <w:tab/>
      </w:r>
      <w:r>
        <w:t xml:space="preserve">27</w:t>
      </w:r>
    </w:p>
    <w:p>
      <w:pPr>
        <w:keepLines/>
        <w:tabs>
          <w:tab w:val="right" w:leader="dot" w:pos="9360"/>
        </w:tabs>
        <w:spacing w:before="144" w:after="0" w:line="322" w:lineRule="exact"/>
        <w:ind w:left="360" w:right="720" w:hanging="360"/>
      </w:pPr>
      <w:r>
        <w:t xml:space="preserve">Mont.</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w:t>
      </w:r>
      <w:r>
        <w:t xml:space="preserve">   </w:t>
      </w:r>
      <w:r>
        <w:tab/>
      </w:r>
      <w:r>
        <w:t xml:space="preserve">27</w:t>
      </w:r>
    </w:p>
    <w:p>
      <w:pPr>
        <w:pageBreakBefore/>
        <w:spacing w:before="0" w:after="0" w:line="1" w:lineRule="exact"/>
      </w:pPr>
    </w:p>
    <w:p>
      <w:pPr>
        <w:keepNext/>
        <w:keepLines/>
        <w:spacing w:before="0" w:after="336" w:line="322" w:lineRule="exact"/>
        <w:ind w:left="0" w:firstLine="0"/>
        <w:jc w:val="center"/>
      </w:pPr>
      <w:r>
        <w:rPr>
          <w:b/>
          <w:bCs/>
        </w:rPr>
        <w:t xml:space="preserve">INTRODUCTION</w:t>
      </w:r>
    </w:p>
    <w:p>
      <w:pPr>
        <w:pStyle w:val="BodyText"/>
      </w:pPr>
      <w:r>
        <w:t xml:space="preserve">Held’s response brief fails to patch the holes in her flawed standing theory.</w:t>
      </w:r>
    </w:p>
    <w:p>
      <w:pPr>
        <w:pStyle w:val="BodyText"/>
      </w:pPr>
      <w:r>
        <w:t xml:space="preserve">The Ninth Circuit has recognized that slowing climate change will require “no less than a fundamental transformation of this country’s energy system, if not that of the industrialized world.”</w:t>
      </w:r>
      <w:r>
        <w:t xml:space="preserve"> </w:t>
      </w:r>
      <w:r>
        <w:rPr>
          <w:i/>
          <w:iCs/>
        </w:rPr>
        <w:t xml:space="preserve">Juliana</w:t>
      </w:r>
      <w:r>
        <w:rPr>
          <w:i/>
          <w:iCs/>
        </w:rPr>
        <w:t xml:space="preserve"> </w:t>
      </w:r>
      <w:r>
        <w:rPr>
          <w:i/>
          <w:iCs/>
        </w:rPr>
        <w:t xml:space="preserve">v. United States</w:t>
      </w:r>
      <w:r>
        <w:t xml:space="preserve">, 734 F.3d 1159, 1171 (9th Cir. 2020). Held’s complaint likewise concedes that slowing climate change will require (1) a global effort to reduce GHG emissions by 11% every year from now until the year 2100; and (2) a rapid transition to 100% renewable energy. Doc. 1 at 87–88.</w:t>
      </w:r>
    </w:p>
    <w:p>
      <w:pPr>
        <w:pStyle w:val="BodyText"/>
      </w:pPr>
      <w:r>
        <w:t xml:space="preserve">Striking one subsection of MEPA—a procedural statute that does not give agencies any authority to condition, modify, or deny permits—cannot stop, alter, or meaningfully slow global climate change. That should have led the District Court to conclude that Held lacks standing. It did not.</w:t>
      </w:r>
    </w:p>
    <w:p>
      <w:pPr>
        <w:pStyle w:val="BodyText"/>
      </w:pPr>
      <w:r>
        <w:t xml:space="preserve">The District Court’s conclusion that Held had proven causation and redressability resulted from several analytical missteps. To name a few, the District Court:</w:t>
      </w:r>
    </w:p>
    <w:p>
      <w:pPr>
        <w:pStyle w:val="XdList1"/>
      </w:pPr>
      <w:r>
        <w:t xml:space="preserve">•</w:t>
      </w:r>
      <w:r>
        <w:tab/>
      </w:r>
      <w:r>
        <w:t xml:space="preserve">relied on vague, conclusory assertions about the relationship between Montana and climate change,</w:t>
      </w:r>
      <w:r>
        <w:t xml:space="preserve"> </w:t>
      </w:r>
      <w:r>
        <w:rPr>
          <w:i/>
          <w:iCs/>
        </w:rPr>
        <w:t xml:space="preserve">see, e.g.</w:t>
      </w:r>
      <w:r>
        <w:t xml:space="preserve">, FOF 139 (“[a]ctions taken by the State to prevent further contributions to climate change will have significant health benefits to Plaintiffs”);</w:t>
      </w:r>
    </w:p>
    <w:p>
      <w:pPr>
        <w:pStyle w:val="XdList1"/>
      </w:pPr>
      <w:r>
        <w:t xml:space="preserve">•</w:t>
      </w:r>
      <w:r>
        <w:tab/>
      </w:r>
      <w:r>
        <w:t xml:space="preserve">failed to analyze to what extent section 75</w:t>
      </w:r>
      <w:r>
        <w:noBreakHyphen/>
      </w:r>
      <w:r>
        <w:t xml:space="preserve">1</w:t>
      </w:r>
      <w:r>
        <w:noBreakHyphen/>
      </w:r>
      <w:r>
        <w:t xml:space="preserve">201(2)⁠(a)</w:t>
      </w:r>
      <w:r>
        <w:t xml:space="preserve"> </w:t>
      </w:r>
      <w:r>
        <w:t xml:space="preserve">contributed to Montana’s GHG emissions;</w:t>
      </w:r>
    </w:p>
    <w:p>
      <w:pPr>
        <w:pStyle w:val="XdList1"/>
      </w:pPr>
      <w:r>
        <w:t xml:space="preserve">•</w:t>
      </w:r>
      <w:r>
        <w:tab/>
      </w:r>
      <w:r>
        <w:t xml:space="preserve">conflated State actions dating back to the 1960’s with a statute first enacted in 2011;</w:t>
      </w:r>
    </w:p>
    <w:p>
      <w:pPr>
        <w:pStyle w:val="XdList1"/>
      </w:pPr>
      <w:r>
        <w:t xml:space="preserve">•</w:t>
      </w:r>
      <w:r>
        <w:tab/>
      </w:r>
      <w:r>
        <w:t xml:space="preserve">and attributed hundreds of millions of annual out-of-state emissions to Montana simply because fuel sources leading to those emissions were extracted from or transported through Montana without considering whether a MEPA review had any connection to these emissions.</w:t>
      </w:r>
    </w:p>
    <w:p>
      <w:pPr>
        <w:pStyle w:val="BodyText"/>
      </w:pPr>
      <w:r>
        <w:t xml:space="preserve">Held’s response brief retraces the District Court’s missteps. Like the District Court, Held leans on vague assertions that “every ton of emissions matters” and state actions have, to some unspecified degree, led to GHG emissions. Resp. Br. 28, 33–39. But Held has not shown any meaningful causal link between section 75</w:t>
      </w:r>
      <w:r>
        <w:noBreakHyphen/>
      </w:r>
      <w:r>
        <w:t xml:space="preserve">1</w:t>
      </w:r>
      <w:r>
        <w:noBreakHyphen/>
      </w:r>
      <w:r>
        <w:t xml:space="preserve">201(2)⁠(a)</w:t>
      </w:r>
      <w:r>
        <w:t xml:space="preserve"> </w:t>
      </w:r>
      <w:r>
        <w:t xml:space="preserve">and the emissions resulting in plaintiffs’ alleged climate injuries. The question here is whether a subsection of a procedural statute is to blame. It is not. MEPA provides information about potential impacts, § 75-⁠1-⁠102(3)⁠(a),</w:t>
      </w:r>
      <w:r>
        <w:t xml:space="preserve"> </w:t>
      </w:r>
      <w:r>
        <w:t xml:space="preserve">but by its own express terms, does not give agencies authority to condition, modify, or deny permits. § 75-⁠1-⁠201(4)⁠(a),</w:t>
      </w:r>
      <w:r>
        <w:t xml:space="preserve"> </w:t>
      </w:r>
      <w:r>
        <w:t xml:space="preserve">MCA. While every ton of emissions may matter, Held failed to show that section 75</w:t>
      </w:r>
      <w:r>
        <w:noBreakHyphen/>
      </w:r>
      <w:r>
        <w:t xml:space="preserve">1</w:t>
      </w:r>
      <w:r>
        <w:noBreakHyphen/>
      </w:r>
      <w:r>
        <w:t xml:space="preserve">201(2)⁠(a)</w:t>
      </w:r>
      <w:r>
        <w:t xml:space="preserve"> </w:t>
      </w:r>
      <w:r>
        <w:t xml:space="preserve">is responsible for a single ton of emissions.</w:t>
      </w:r>
    </w:p>
    <w:p>
      <w:pPr>
        <w:pStyle w:val="BodyText"/>
      </w:pPr>
      <w:r>
        <w:t xml:space="preserve">And while Held speculates that striking section 75</w:t>
      </w:r>
      <w:r>
        <w:noBreakHyphen/>
      </w:r>
      <w:r>
        <w:t xml:space="preserve">1</w:t>
      </w:r>
      <w:r>
        <w:noBreakHyphen/>
      </w:r>
      <w:r>
        <w:t xml:space="preserve">201(2)⁠(a)</w:t>
      </w:r>
      <w:r>
        <w:t xml:space="preserve"> </w:t>
      </w:r>
      <w:r>
        <w:t xml:space="preserve">will encourage state agencies to deny future permits for projects that emit greenhouse gases, she points to no evidence this will occur. Nor does she make any attempt to quantify the extent to which this speculative future change will slow climate change.</w:t>
      </w:r>
    </w:p>
    <w:p>
      <w:pPr>
        <w:pStyle w:val="BodyText"/>
      </w:pPr>
      <w:r>
        <w:t xml:space="preserve">Instead, like the District Court, Held retreats behind overbroad generalizations.</w:t>
      </w:r>
      <w:r>
        <w:t xml:space="preserve"> </w:t>
      </w:r>
      <w:r>
        <w:rPr>
          <w:i/>
          <w:iCs/>
        </w:rPr>
        <w:t xml:space="preserve">See</w:t>
      </w:r>
      <w:r>
        <w:t xml:space="preserve"> </w:t>
      </w:r>
      <w:r>
        <w:t xml:space="preserve">Resp. Br. 37 (“GHG emissions that result from Defendants’ uninformed permitting of fossil fuel projects … cause and contribute to the climate crisis because every additional ton of CO2 emissions permitted by Defendants worsens an already dangerous situation and makes recovery more difficult.”) Proving standing requires more than reciting conclusory magic words.</w:t>
      </w:r>
    </w:p>
    <w:p>
      <w:pPr>
        <w:pStyle w:val="BodyText"/>
      </w:pPr>
      <w:r>
        <w:rPr>
          <w:i/>
          <w:iCs/>
        </w:rPr>
        <w:t xml:space="preserve">Bitterrooters</w:t>
      </w:r>
      <w:r>
        <w:t xml:space="preserve"> </w:t>
      </w:r>
      <w:r>
        <w:t xml:space="preserve">further shows why the District Court and Held are incorrect in thinking that MEPA requires State agencies to evaluate GHG impacts for fossil fuels transported through or extracted in Montana but combusted out of state. Under</w:t>
      </w:r>
      <w:r>
        <w:t xml:space="preserve"> </w:t>
      </w:r>
      <w:r>
        <w:rPr>
          <w:i/>
          <w:iCs/>
        </w:rPr>
        <w:t xml:space="preserve">Bitterrooters</w:t>
      </w:r>
      <w:r>
        <w:t xml:space="preserve">, an agency’s permitting decision allowing the transportation or extraction of fossil fuels is not a “cause” of combusting those fossil fuels. MEPA, therefore, does not require the evaluation of downstream impacts related to their combustion. Plus, the Federal Commerce Clause does not allow Montana state agencies to regulate GHG emissions and their impacts beyond Montana. With or without section 75</w:t>
      </w:r>
      <w:r>
        <w:noBreakHyphen/>
      </w:r>
      <w:r>
        <w:t xml:space="preserve">1</w:t>
      </w:r>
      <w:r>
        <w:noBreakHyphen/>
      </w:r>
      <w:r>
        <w:t xml:space="preserve">201(2)⁠(a),</w:t>
      </w:r>
      <w:r>
        <w:t xml:space="preserve"> </w:t>
      </w:r>
      <w:r>
        <w:t xml:space="preserve">MEPA would not require agencies to review these impacts.</w:t>
      </w:r>
    </w:p>
    <w:p>
      <w:pPr>
        <w:pStyle w:val="BodyText"/>
      </w:pPr>
      <w:r>
        <w:t xml:space="preserve">At bottom, Held blames a subsection of MEPA for a host of problems that MEPA did not cause and cannot prevent. Section 75</w:t>
      </w:r>
      <w:r>
        <w:noBreakHyphen/>
      </w:r>
      <w:r>
        <w:t xml:space="preserve">1</w:t>
      </w:r>
      <w:r>
        <w:noBreakHyphen/>
      </w:r>
      <w:r>
        <w:t xml:space="preserve">201(2)⁠(a)</w:t>
      </w:r>
      <w:r>
        <w:t xml:space="preserve"> </w:t>
      </w:r>
      <w:r>
        <w:t xml:space="preserve">is not responsible for emissions occurring beyond Montana’s borders. Nor can section 75</w:t>
      </w:r>
      <w:r>
        <w:noBreakHyphen/>
      </w:r>
      <w:r>
        <w:t xml:space="preserve">1</w:t>
      </w:r>
      <w:r>
        <w:noBreakHyphen/>
      </w:r>
      <w:r>
        <w:t xml:space="preserve">201(2)⁠(a)</w:t>
      </w:r>
      <w:r>
        <w:t xml:space="preserve"> </w:t>
      </w:r>
      <w:r>
        <w:t xml:space="preserve">impede a transition to 100% renewable energy by 2035. MEPA exists to inform the public and the legislature about environmental impacts that are within the ambit of an agency’s regulatory authority. To ask MEPA to solve—or even slow—climate change is to ask too much.</w:t>
      </w:r>
    </w:p>
    <w:p>
      <w:pPr>
        <w:pStyle w:val="BodyText"/>
      </w:pPr>
      <w:r>
        <w:t xml:space="preserve">Should this Court reach the merits, Held’s facial challenge to section 75</w:t>
      </w:r>
      <w:r>
        <w:noBreakHyphen/>
      </w:r>
      <w:r>
        <w:t xml:space="preserve">1</w:t>
      </w:r>
      <w:r>
        <w:noBreakHyphen/>
      </w:r>
      <w:r>
        <w:t xml:space="preserve">201(2)⁠(a)</w:t>
      </w:r>
      <w:r>
        <w:t xml:space="preserve"> </w:t>
      </w:r>
      <w:r>
        <w:t xml:space="preserve">fails to show that the statute is unconstitutional in every conceivable application.</w:t>
      </w:r>
      <w:r>
        <w:t xml:space="preserve"> </w:t>
      </w:r>
      <w:r>
        <w:rPr>
          <w:i/>
          <w:iCs/>
        </w:rPr>
        <w:t xml:space="preserve">Mont. Cannabis</w:t>
      </w:r>
      <w:r>
        <w:rPr>
          <w:i/>
          <w:iCs/>
        </w:rPr>
        <w:t xml:space="preserve"> </w:t>
      </w:r>
      <w:r>
        <w:rPr>
          <w:i/>
          <w:iCs/>
        </w:rPr>
        <w:t xml:space="preserve">Indus. Ass’n v. State</w:t>
      </w:r>
      <w:r>
        <w:t xml:space="preserve">, 2016 MT 44, ¶ 14, 382 Mont. 256, 368 P.3d 1311 (“</w:t>
      </w:r>
      <w:r>
        <w:rPr>
          <w:i/>
          <w:iCs/>
        </w:rPr>
        <w:t xml:space="preserve">MCIA</w:t>
      </w:r>
      <w:r>
        <w:t xml:space="preserve">”). The 2023 amendments to MEPA allow agencies to consider GHG emissions when conducting joint environmental reviews with federal partners.</w:t>
      </w:r>
      <w:r>
        <w:t xml:space="preserve"> </w:t>
      </w:r>
      <w:r>
        <w:rPr>
          <w:i/>
          <w:iCs/>
        </w:rPr>
        <w:t xml:space="preserve">See</w:t>
      </w:r>
      <w:r>
        <w:t xml:space="preserve"> </w:t>
      </w:r>
      <w:r>
        <w:t xml:space="preserve">§ 75-⁠1-⁠201(2)⁠(b)⁠(i).</w:t>
      </w:r>
      <w:r>
        <w:t xml:space="preserve"> </w:t>
      </w:r>
      <w:r>
        <w:t xml:space="preserve">State agencies often conduct environmental reviews with federal partners. And current federal guidance directs federal agencies to consider GHG emissions and climate change in NEPA reviews. Thus, in many cases, MEPA authorizes precisely the kind of environmental review Held seeks.</w:t>
      </w:r>
    </w:p>
    <w:p>
      <w:pPr>
        <w:pStyle w:val="BodyText"/>
      </w:pPr>
      <w:r>
        <w:t xml:space="preserve">Finally, even if this Court strikes section 75</w:t>
      </w:r>
      <w:r>
        <w:noBreakHyphen/>
      </w:r>
      <w:r>
        <w:t xml:space="preserve">1</w:t>
      </w:r>
      <w:r>
        <w:noBreakHyphen/>
      </w:r>
      <w:r>
        <w:t xml:space="preserve">201(2)⁠(a),</w:t>
      </w:r>
      <w:r>
        <w:t xml:space="preserve"> </w:t>
      </w:r>
      <w:r>
        <w:t xml:space="preserve">it should clarify that the District Court lacked power to affirmatively order state agencies to incorporate GHG emissions and climate impacts into MEPA. Courts may strike statutes that violate the constitution. But crafting a replacement statute is an exercise of legislative, not judicial power.</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Held’s</w:t>
      </w:r>
      <w:r>
        <w:rPr>
          <w:b/>
          <w:bCs/>
        </w:rPr>
        <w:t xml:space="preserve"> </w:t>
      </w:r>
      <w:r>
        <w:rPr>
          <w:b/>
          <w:bCs/>
        </w:rPr>
        <w:t xml:space="preserve">injuries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fairly</w:t>
      </w:r>
      <w:r>
        <w:rPr>
          <w:b/>
          <w:bCs/>
        </w:rPr>
        <w:t xml:space="preserve"> </w:t>
      </w:r>
      <w:r>
        <w:rPr>
          <w:b/>
          <w:bCs/>
        </w:rPr>
        <w:t xml:space="preserve">traceable</w:t>
      </w:r>
      <w:r>
        <w:rPr>
          <w:b/>
          <w:bCs/>
        </w:rPr>
        <w:t xml:space="preserve"> </w:t>
      </w:r>
      <w:r>
        <w:rPr>
          <w:b/>
          <w:bCs/>
        </w:rPr>
        <w:t xml:space="preserve">to</w:t>
      </w:r>
      <w:r>
        <w:rPr>
          <w:b/>
          <w:bCs/>
        </w:rPr>
        <w:t xml:space="preserve"> </w:t>
      </w:r>
      <w:r>
        <w:rPr>
          <w:b/>
          <w:bCs/>
        </w:rPr>
        <w:t xml:space="preserve">section</w:t>
      </w:r>
      <w:r>
        <w:rPr>
          <w:b/>
          <w:bCs/>
        </w:rPr>
        <w:t xml:space="preserve"> </w:t>
      </w:r>
      <w:r>
        <w:rPr>
          <w:b/>
          <w:bCs/>
        </w:rPr>
        <w:t xml:space="preserve">75</w:t>
        <w:noBreakHyphen/>
        <w:t xml:space="preserve">1</w:t>
        <w:noBreakHyphen/>
        <w:t xml:space="preserve">201(2)⁠(a).</w:t>
      </w:r>
      <w:r>
        <w:rPr>
          <w:b/>
          <w:bCs/>
        </w:rPr>
        <w:t xml:space="preserve"> </w:t>
      </w:r>
      <w:r>
        <w:rPr>
          <w:b/>
          <w:bCs/>
        </w:rPr>
        <w:t xml:space="preserve">And</w:t>
      </w:r>
      <w:r>
        <w:rPr>
          <w:b/>
          <w:bCs/>
        </w:rPr>
        <w:t xml:space="preserve"> </w:t>
      </w:r>
      <w:r>
        <w:rPr>
          <w:b/>
          <w:bCs/>
        </w:rPr>
        <w:t xml:space="preserve">enjoining</w:t>
      </w:r>
      <w:r>
        <w:rPr>
          <w:b/>
          <w:bCs/>
        </w:rPr>
        <w:t xml:space="preserve"> </w:t>
      </w:r>
      <w:r>
        <w:rPr>
          <w:b/>
          <w:bCs/>
        </w:rPr>
        <w:t xml:space="preserve">section</w:t>
      </w:r>
      <w:r>
        <w:rPr>
          <w:b/>
          <w:bCs/>
        </w:rPr>
        <w:t xml:space="preserve"> </w:t>
      </w:r>
      <w:r>
        <w:rPr>
          <w:b/>
          <w:bCs/>
        </w:rPr>
        <w:t xml:space="preserve">75</w:t>
        <w:noBreakHyphen/>
        <w:t xml:space="preserve">1</w:t>
        <w:noBreakHyphen/>
        <w:t xml:space="preserve">201(2)⁠(a)</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redress</w:t>
      </w:r>
      <w:r>
        <w:rPr>
          <w:b/>
          <w:bCs/>
        </w:rPr>
        <w:t xml:space="preserve"> </w:t>
      </w:r>
      <w:r>
        <w:rPr>
          <w:b/>
          <w:bCs/>
        </w:rPr>
        <w:t xml:space="preserve">those</w:t>
      </w:r>
      <w:r>
        <w:rPr>
          <w:b/>
          <w:bCs/>
        </w:rPr>
        <w:t xml:space="preserve"> </w:t>
      </w:r>
      <w:r>
        <w:rPr>
          <w:b/>
          <w:bCs/>
        </w:rPr>
        <w:t xml:space="preserve">injuries.</w:t>
      </w:r>
    </w:p>
    <w:p>
      <w:pPr>
        <w:pStyle w:val="BodyText"/>
      </w:pPr>
      <w:r>
        <w:t xml:space="preserve">Held implies that standing is a watered-down formality in Montana courts.</w:t>
      </w:r>
      <w:r>
        <w:t xml:space="preserve"> </w:t>
      </w:r>
      <w:r>
        <w:rPr>
          <w:i/>
          <w:iCs/>
        </w:rPr>
        <w:t xml:space="preserve">See</w:t>
      </w:r>
      <w:r>
        <w:t xml:space="preserve"> </w:t>
      </w:r>
      <w:r>
        <w:t xml:space="preserve">Resp. Br. 22–23. Not so. Under our constitution, a court lacks power to resolve a case brought by a party without standing.</w:t>
      </w:r>
      <w:r>
        <w:t xml:space="preserve"> </w:t>
      </w:r>
      <w:r>
        <w:rPr>
          <w:i/>
          <w:iCs/>
        </w:rPr>
        <w:t xml:space="preserve">Mitchell</w:t>
      </w:r>
      <w:r>
        <w:rPr>
          <w:i/>
          <w:iCs/>
        </w:rPr>
        <w:t xml:space="preserve"> </w:t>
      </w:r>
      <w:r>
        <w:rPr>
          <w:i/>
          <w:iCs/>
        </w:rPr>
        <w:t xml:space="preserve">v. Glacier Cnty.</w:t>
      </w:r>
      <w:r>
        <w:t xml:space="preserve">, 2017 MT 258, ¶ 9, 389 Mont. 122, 406 P.3d 427. Standing is a crucial constitutional guardrail that limits courts to resolving concrete disputes between litigants, rather than making policy.</w:t>
      </w:r>
      <w:r>
        <w:t xml:space="preserve"> </w:t>
      </w:r>
      <w:r>
        <w:rPr>
          <w:i/>
          <w:iCs/>
        </w:rPr>
        <w:t xml:space="preserve">See Bullock v. Fox</w:t>
      </w:r>
      <w:r>
        <w:t xml:space="preserve">, 2019 MT 50, ¶¶27–28, 395 Mont. 35, 435 P.3d 1187.</w:t>
      </w:r>
    </w:p>
    <w:p>
      <w:pPr>
        <w:pStyle w:val="BodyTextNote"/>
      </w:pPr>
      <w:r>
        <w:t xml:space="preserve">Standing doctrine “protects liberty,”</w:t>
      </w:r>
      <w:r>
        <w:t xml:space="preserve"> </w:t>
      </w:r>
      <w:r>
        <w:rPr>
          <w:i/>
          <w:iCs/>
        </w:rPr>
        <w:t xml:space="preserve">Juliana</w:t>
      </w:r>
      <w:r>
        <w:t xml:space="preserve">, 734 F.3d at 1174, by holding courts to their “proper—and properly limited—role … in a democratic society.”</w:t>
      </w:r>
      <w:r>
        <w:t xml:space="preserve"> </w:t>
      </w:r>
      <w:r>
        <w:rPr>
          <w:i/>
          <w:iCs/>
        </w:rPr>
        <w:t xml:space="preserve">M.S. v. Brown</w:t>
      </w:r>
      <w:r>
        <w:t xml:space="preserve">, 902 F.3d</w:t>
      </w:r>
      <w:r>
        <w:t xml:space="preserve"> </w:t>
      </w:r>
      <w:r>
        <w:t xml:space="preserve">1076, 1083 (9th Cir. 2018) (cleaned up). It preserves the “sacrosanct separation of powers dictated by the Montana Constitution” and prevents courts from entangling themselves “in the political firestorm of the day.”</w:t>
      </w:r>
      <w:r>
        <w:t xml:space="preserve"> </w:t>
      </w:r>
      <w:r>
        <w:rPr>
          <w:i/>
          <w:iCs/>
        </w:rPr>
        <w:t xml:space="preserve">Mont. Dem. Party</w:t>
      </w:r>
      <w:r>
        <w:rPr>
          <w:i/>
          <w:iCs/>
        </w:rPr>
        <w:t xml:space="preserve"> </w:t>
      </w:r>
      <w:r>
        <w:rPr>
          <w:i/>
          <w:iCs/>
        </w:rPr>
        <w:t xml:space="preserve">v. Jacobsen</w:t>
      </w:r>
      <w:r>
        <w:t xml:space="preserve">, 2024 MT 66, ¶¶ 171–⁠172, 2024 WL 1291935 (Sandefur, J., concurring in part and dissenting in part). Were standing a mere formality, “individuals and groups could invoke the authority of a … court to forbid what they dislike for no more reason than they dislike it.”</w:t>
      </w:r>
      <w:r>
        <w:t xml:space="preserve"> </w:t>
      </w:r>
      <w:r>
        <w:rPr>
          <w:i/>
          <w:iCs/>
        </w:rPr>
        <w:t xml:space="preserve">American Legion</w:t>
      </w:r>
      <w:r>
        <w:rPr>
          <w:i/>
          <w:iCs/>
        </w:rPr>
        <w:t xml:space="preserve"> </w:t>
      </w:r>
      <w:r>
        <w:rPr>
          <w:i/>
          <w:iCs/>
        </w:rPr>
        <w:t xml:space="preserve">v. American Humanist Ass’n</w:t>
      </w:r>
      <w:r>
        <w:t xml:space="preserve">, 139 S. Ct. 2067, 2099 (2019) (Gorsuch, J., concurring in judgment).</w:t>
      </w:r>
      <w:r>
        <w:rPr>
          <w:rStyle w:val="FootnoteReference"/>
        </w:rPr>
        <w:footnoteReference w:id="9"/>
      </w:r>
    </w:p>
    <w:p>
      <w:pPr>
        <w:pStyle w:val="BodyText"/>
      </w:pPr>
      <w:r>
        <w:t xml:space="preserve">The District Court departed from these bedrock principles and crafted policy. That departure from constitutional limits, however well-intentioned, is reversible error.</w:t>
      </w:r>
    </w:p>
    <w:p>
      <w:pPr>
        <w:pStyle w:val="BodyText"/>
      </w:pPr>
      <w:r>
        <w:t xml:space="preserve">Held recasts the District Court’s standing analysis as a series of factual findings subject to deferential clear error review, Resp. Br. 14, 16, 22, 34, 38, 51, 53, but standing is a question of law which this Court reviews de novo.</w:t>
      </w:r>
      <w:r>
        <w:t xml:space="preserve"> </w:t>
      </w:r>
      <w:r>
        <w:rPr>
          <w:i/>
          <w:iCs/>
        </w:rPr>
        <w:t xml:space="preserve">Heffernan</w:t>
      </w:r>
      <w:r>
        <w:rPr>
          <w:i/>
          <w:iCs/>
        </w:rPr>
        <w:t xml:space="preserve"> </w:t>
      </w:r>
      <w:r>
        <w:rPr>
          <w:i/>
          <w:iCs/>
        </w:rPr>
        <w:t xml:space="preserve">v. Missoula City Council</w:t>
      </w:r>
      <w:r>
        <w:t xml:space="preserve">, 2011 MT 91, ¶ 28, 360 Mont. 207, 255 P.3d 80. True, the District Court made hundreds of factual findings. But the District Court’s standing analysis comprised legal conclusions.</w:t>
      </w:r>
      <w:r>
        <w:t xml:space="preserve"> </w:t>
      </w:r>
      <w:r>
        <w:rPr>
          <w:i/>
          <w:iCs/>
        </w:rPr>
        <w:t xml:space="preserve">See</w:t>
      </w:r>
      <w:r>
        <w:t xml:space="preserve"> </w:t>
      </w:r>
      <w:r>
        <w:t xml:space="preserve">Doc. 405 86–90. This is true even though the District Court listed some of those legal conclusions in the “findings of fact” section of its order.</w:t>
      </w:r>
      <w:r>
        <w:t xml:space="preserve"> </w:t>
      </w:r>
      <w:r>
        <w:rPr>
          <w:i/>
          <w:iCs/>
        </w:rPr>
        <w:t xml:space="preserve">See, e.g.</w:t>
      </w:r>
      <w:r>
        <w:t xml:space="preserve">, Doc. 405 at 79 (“Defendants’ actions cause emissions of substantial levels of GHG pollution into the atmosphere within Montana and outside its borders, contributing to climate change.”);</w:t>
      </w:r>
      <w:r>
        <w:t xml:space="preserve"> </w:t>
      </w:r>
      <w:r>
        <w:rPr>
          <w:i/>
          <w:iCs/>
        </w:rPr>
        <w:t xml:space="preserve">see also</w:t>
      </w:r>
      <w:r>
        <w:t xml:space="preserve"> </w:t>
      </w:r>
      <w:r>
        <w:t xml:space="preserve">Doc. 405 at 86 (“To the extent that any of the foregoing Findings of Fact incorporate Conclusions of Law … they are incorporated herein as Conclusions of Law.”). This Court should reject Held’s attempt to shield the District Court’s standing analysis from meaningful appellate review.</w:t>
      </w:r>
    </w:p>
    <w:p>
      <w:pPr>
        <w:keepNext/>
        <w:keepLines/>
        <w:spacing w:before="280" w:after="224" w:line="322" w:lineRule="exact"/>
        <w:ind w:left="1440" w:hanging="720"/>
        <w:jc w:val="left"/>
      </w:pPr>
      <w:r>
        <w:rPr>
          <w:b/>
          <w:bCs/>
        </w:rPr>
        <w:t xml:space="preserve">A.</w:t>
      </w:r>
      <w:r>
        <w:rPr>
          <w:b/>
          <w:bCs/>
        </w:rPr>
        <w:t xml:space="preserve"> </w:t>
      </w:r>
      <w:r>
        <w:rPr>
          <w:b/>
          <w:bCs/>
        </w:rPr>
        <w:t xml:space="preserve">Held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causation</w:t>
      </w:r>
      <w:r>
        <w:rPr>
          <w:b/>
          <w:bCs/>
        </w:rPr>
        <w:t xml:space="preserve"> </w:t>
      </w:r>
      <w:r>
        <w:rPr>
          <w:b/>
          <w:bCs/>
        </w:rPr>
        <w:t xml:space="preserve">at</w:t>
      </w:r>
      <w:r>
        <w:rPr>
          <w:b/>
          <w:bCs/>
        </w:rPr>
        <w:t xml:space="preserve"> </w:t>
      </w:r>
      <w:r>
        <w:rPr>
          <w:b/>
          <w:bCs/>
        </w:rPr>
        <w:t xml:space="preserve">trial.</w:t>
      </w:r>
    </w:p>
    <w:p>
      <w:pPr>
        <w:pStyle w:val="BodyTextNote"/>
      </w:pPr>
      <w:r>
        <w:t xml:space="preserve">Standing requires a plaintiff to prove a meaningful causal link between her injuries and state “[a]gencies’ alleged misconduct.”</w:t>
      </w:r>
      <w:r>
        <w:t xml:space="preserve"> </w:t>
      </w:r>
      <w:r>
        <w:rPr>
          <w:i/>
          <w:iCs/>
        </w:rPr>
        <w:t xml:space="preserve">Washington Env’t Council v. Bellon</w:t>
      </w:r>
      <w:r>
        <w:t xml:space="preserve">, 732 F.3d 1131, 1141 (9th Cir. 2013);</w:t>
      </w:r>
      <w:r>
        <w:t xml:space="preserve"> </w:t>
      </w:r>
      <w:r>
        <w:rPr>
          <w:i/>
          <w:iCs/>
        </w:rPr>
        <w:t xml:space="preserve">see also Larson</w:t>
      </w:r>
      <w:r>
        <w:rPr>
          <w:i/>
          <w:iCs/>
        </w:rPr>
        <w:t xml:space="preserve"> </w:t>
      </w:r>
      <w:r>
        <w:rPr>
          <w:i/>
          <w:iCs/>
        </w:rPr>
        <w:t xml:space="preserve">v. State</w:t>
      </w:r>
      <w:r>
        <w:t xml:space="preserve">, 2019 MT 28, ¶ 46, 394 Mont. 167, 434 P.3d 241.</w:t>
      </w:r>
      <w:r>
        <w:rPr>
          <w:rStyle w:val="FootnoteReference"/>
        </w:rPr>
        <w:footnoteReference w:id="10"/>
      </w:r>
      <w:r>
        <w:t xml:space="preserve"> </w:t>
      </w:r>
      <w:r>
        <w:t xml:space="preserve">“The line of causation between the defendant’s action and the plaintiff’s harm must be more than attenuated.”</w:t>
      </w:r>
      <w:r>
        <w:t xml:space="preserve"> </w:t>
      </w:r>
      <w:r>
        <w:rPr>
          <w:i/>
          <w:iCs/>
        </w:rPr>
        <w:t xml:space="preserve">Native Vill. of Kivalina</w:t>
      </w:r>
      <w:r>
        <w:rPr>
          <w:i/>
          <w:iCs/>
        </w:rPr>
        <w:t xml:space="preserve"> </w:t>
      </w:r>
      <w:r>
        <w:rPr>
          <w:i/>
          <w:iCs/>
        </w:rPr>
        <w:t xml:space="preserve">v. ExxonMobil Corp.</w:t>
      </w:r>
      <w:r>
        <w:t xml:space="preserve">, 696 F.3d 849, 867 (9th Cir. 2012) (citation and quotes omitted). And “where the causal chain involves numerous third parties whose independent decisions collectively have a significant effect on plaintiffs’ injuries, … the causal chain is too weak to support standing.”</w:t>
      </w:r>
      <w:r>
        <w:t xml:space="preserve"> </w:t>
      </w:r>
      <w:r>
        <w:rPr>
          <w:i/>
          <w:iCs/>
        </w:rPr>
        <w:t xml:space="preserve">Native Vill. of Kivalina</w:t>
      </w:r>
      <w:r>
        <w:t xml:space="preserve">, 696 F.3d at 867.</w:t>
      </w:r>
    </w:p>
    <w:p>
      <w:pPr>
        <w:keepNext/>
        <w:keepLines/>
        <w:spacing w:before="280" w:after="224" w:line="322"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generalized</w:t>
      </w:r>
      <w:r>
        <w:rPr>
          <w:b/>
          <w:bCs/>
        </w:rPr>
        <w:t xml:space="preserve"> </w:t>
      </w:r>
      <w:r>
        <w:rPr>
          <w:b/>
          <w:bCs/>
        </w:rPr>
        <w:t xml:space="preserve">conclusions</w:t>
      </w:r>
      <w:r>
        <w:rPr>
          <w:b/>
          <w:bCs/>
        </w:rPr>
        <w:t xml:space="preserve"> </w:t>
      </w:r>
      <w:r>
        <w:rPr>
          <w:b/>
          <w:bCs/>
        </w:rPr>
        <w:t xml:space="preserve">about</w:t>
      </w:r>
      <w:r>
        <w:rPr>
          <w:b/>
          <w:bCs/>
        </w:rPr>
        <w:t xml:space="preserve"> </w:t>
      </w:r>
      <w:r>
        <w:rPr>
          <w:b/>
          <w:bCs/>
        </w:rPr>
        <w:t xml:space="preserve">Montana’s</w:t>
      </w:r>
      <w:r>
        <w:rPr>
          <w:b/>
          <w:bCs/>
        </w:rPr>
        <w:t xml:space="preserve"> </w:t>
      </w:r>
      <w:r>
        <w:rPr>
          <w:b/>
          <w:bCs/>
        </w:rPr>
        <w:t xml:space="preserve">contribution</w:t>
      </w:r>
      <w:r>
        <w:rPr>
          <w:b/>
          <w:bCs/>
        </w:rPr>
        <w:t xml:space="preserve"> </w:t>
      </w:r>
      <w:r>
        <w:rPr>
          <w:b/>
          <w:bCs/>
        </w:rPr>
        <w:t xml:space="preserve">to</w:t>
      </w:r>
      <w:r>
        <w:rPr>
          <w:b/>
          <w:bCs/>
        </w:rPr>
        <w:t xml:space="preserve"> </w:t>
      </w:r>
      <w:r>
        <w:rPr>
          <w:b/>
          <w:bCs/>
        </w:rPr>
        <w:t xml:space="preserve">climate</w:t>
      </w:r>
      <w:r>
        <w:rPr>
          <w:b/>
          <w:bCs/>
        </w:rPr>
        <w:t xml:space="preserve"> </w:t>
      </w:r>
      <w:r>
        <w:rPr>
          <w:b/>
          <w:bCs/>
        </w:rPr>
        <w:t xml:space="preserve">change</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section</w:t>
      </w:r>
      <w:r>
        <w:rPr>
          <w:b/>
          <w:bCs/>
        </w:rPr>
        <w:t xml:space="preserve"> </w:t>
      </w:r>
      <w:r>
        <w:rPr>
          <w:b/>
          <w:bCs/>
        </w:rPr>
        <w:t xml:space="preserve">75</w:t>
        <w:noBreakHyphen/>
        <w:t xml:space="preserve">1</w:t>
        <w:noBreakHyphen/>
        <w:t xml:space="preserve">201(2)⁠(a)</w:t>
      </w:r>
      <w:r>
        <w:rPr>
          <w:b/>
          <w:bCs/>
        </w:rPr>
        <w:t xml:space="preserve"> </w:t>
      </w:r>
      <w:r>
        <w:rPr>
          <w:b/>
          <w:bCs/>
        </w:rPr>
        <w:t xml:space="preserve">is</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Held’s</w:t>
      </w:r>
      <w:r>
        <w:rPr>
          <w:b/>
          <w:bCs/>
        </w:rPr>
        <w:t xml:space="preserve"> </w:t>
      </w:r>
      <w:r>
        <w:rPr>
          <w:b/>
          <w:bCs/>
        </w:rPr>
        <w:t xml:space="preserve">injuries.</w:t>
      </w:r>
    </w:p>
    <w:p>
      <w:pPr>
        <w:pStyle w:val="BodyText"/>
      </w:pPr>
      <w:r>
        <w:t xml:space="preserve">The Ninth Circuit’s</w:t>
      </w:r>
      <w:r>
        <w:t xml:space="preserve"> </w:t>
      </w:r>
      <w:r>
        <w:rPr>
          <w:i/>
          <w:iCs/>
        </w:rPr>
        <w:t xml:space="preserve">Bellon</w:t>
      </w:r>
      <w:r>
        <w:t xml:space="preserve"> </w:t>
      </w:r>
      <w:r>
        <w:t xml:space="preserve">decision illustrates why Held has failed to establish causation. The</w:t>
      </w:r>
      <w:r>
        <w:t xml:space="preserve"> </w:t>
      </w:r>
      <w:r>
        <w:rPr>
          <w:i/>
          <w:iCs/>
        </w:rPr>
        <w:t xml:space="preserve">Bellon</w:t>
      </w:r>
      <w:r>
        <w:t xml:space="preserve"> </w:t>
      </w:r>
      <w:r>
        <w:t xml:space="preserve">plaintiffs sought to compel Washington state agencies to set standards for regulating GHG emissions from the state’s five oil refineries.</w:t>
      </w:r>
      <w:r>
        <w:t xml:space="preserve"> </w:t>
      </w:r>
      <w:r>
        <w:rPr>
          <w:i/>
          <w:iCs/>
        </w:rPr>
        <w:t xml:space="preserve">Id.</w:t>
      </w:r>
      <w:r>
        <w:t xml:space="preserve"> </w:t>
      </w:r>
      <w:r>
        <w:t xml:space="preserve">1135. Like Held, the</w:t>
      </w:r>
      <w:r>
        <w:t xml:space="preserve"> </w:t>
      </w:r>
      <w:r>
        <w:rPr>
          <w:i/>
          <w:iCs/>
        </w:rPr>
        <w:t xml:space="preserve">Bellon</w:t>
      </w:r>
      <w:r>
        <w:t xml:space="preserve"> </w:t>
      </w:r>
      <w:r>
        <w:t xml:space="preserve">plaintiffs claimed that the agencies’ failure to set these standards “contributed to greenhouse gas pollution” and caused them to suffer various injuries.</w:t>
      </w:r>
      <w:r>
        <w:t xml:space="preserve"> </w:t>
      </w:r>
      <w:r>
        <w:rPr>
          <w:i/>
          <w:iCs/>
        </w:rPr>
        <w:t xml:space="preserve">Id.</w:t>
      </w:r>
      <w:r>
        <w:t xml:space="preserve"> </w:t>
      </w:r>
      <w:r>
        <w:t xml:space="preserve">at 1140. But the</w:t>
      </w:r>
      <w:r>
        <w:t xml:space="preserve"> </w:t>
      </w:r>
      <w:r>
        <w:rPr>
          <w:i/>
          <w:iCs/>
        </w:rPr>
        <w:t xml:space="preserve">Bellon</w:t>
      </w:r>
      <w:r>
        <w:t xml:space="preserve"> </w:t>
      </w:r>
      <w:r>
        <w:t xml:space="preserve">plaintiffs offered “only vague, conclusory statements that” the agencies’ failure to regulate GHGs “contributes to [GHG] emissions, which in turn, contribute to climate-related changes that result in their purported injuries.”</w:t>
      </w:r>
      <w:r>
        <w:t xml:space="preserve"> </w:t>
      </w:r>
      <w:r>
        <w:rPr>
          <w:i/>
          <w:iCs/>
        </w:rPr>
        <w:t xml:space="preserve">Id.</w:t>
      </w:r>
      <w:r>
        <w:t xml:space="preserve"> </w:t>
      </w:r>
      <w:r>
        <w:t xml:space="preserve">The Ninth Circuit concluded that the plaintiffs’ causal chain was not enough for standing, because it “consist[ed] of a series of links strung together by conclusory, generalized statements of ‘contribution,’ without any plausible scientific or evidentiary basis that the refineries’ emissions are the source of their injuries.”</w:t>
      </w:r>
      <w:r>
        <w:t xml:space="preserve"> </w:t>
      </w:r>
      <w:r>
        <w:rPr>
          <w:i/>
          <w:iCs/>
        </w:rPr>
        <w:t xml:space="preserve">Id.</w:t>
      </w:r>
      <w:r>
        <w:t xml:space="preserve"> </w:t>
      </w:r>
      <w:r>
        <w:t xml:space="preserve">at 1142.</w:t>
      </w:r>
    </w:p>
    <w:p>
      <w:pPr>
        <w:pStyle w:val="BodyText"/>
      </w:pPr>
      <w:r>
        <w:t xml:space="preserve">The</w:t>
      </w:r>
      <w:r>
        <w:t xml:space="preserve"> </w:t>
      </w:r>
      <w:r>
        <w:rPr>
          <w:i/>
          <w:iCs/>
        </w:rPr>
        <w:t xml:space="preserve">Bellon</w:t>
      </w:r>
      <w:r>
        <w:t xml:space="preserve"> </w:t>
      </w:r>
      <w:r>
        <w:t xml:space="preserve">plaintiffs’ “vague, conclusory statements” almost seem specific when compared to the District Court’s findings and Held’s arguments here.</w:t>
      </w:r>
      <w:r>
        <w:t xml:space="preserve"> </w:t>
      </w:r>
      <w:r>
        <w:rPr>
          <w:i/>
          <w:iCs/>
        </w:rPr>
        <w:t xml:space="preserve">Compare Bellon</w:t>
      </w:r>
      <w:r>
        <w:t xml:space="preserve">, 732 F.3d at 1142</w:t>
      </w:r>
      <w:r>
        <w:noBreakHyphen/>
      </w:r>
      <w:r>
        <w:t xml:space="preserve">43</w:t>
      </w:r>
      <w:r>
        <w:t xml:space="preserve"> </w:t>
      </w:r>
      <w:r>
        <w:rPr>
          <w:i/>
          <w:iCs/>
        </w:rPr>
        <w:t xml:space="preserve">with, e.g.</w:t>
      </w:r>
      <w:r>
        <w:t xml:space="preserve">, Doc. 405, 70 (“[w]hat happens in Montana has a real impact on fossil fuel energy systems, CO2 emissions, and global warming”). The District Court made hundreds of findings about the impact of climate change in Montana.</w:t>
      </w:r>
      <w:r>
        <w:t xml:space="preserve"> </w:t>
      </w:r>
      <w:r>
        <w:rPr>
          <w:i/>
          <w:iCs/>
        </w:rPr>
        <w:t xml:space="preserve">See</w:t>
      </w:r>
      <w:r>
        <w:t xml:space="preserve"> </w:t>
      </w:r>
      <w:r>
        <w:t xml:space="preserve">Doc. 405 at 17–70. But when it came time to link those impacts to section 75</w:t>
      </w:r>
      <w:r>
        <w:noBreakHyphen/>
      </w:r>
      <w:r>
        <w:t xml:space="preserve">1</w:t>
      </w:r>
      <w:r>
        <w:noBreakHyphen/>
      </w:r>
      <w:r>
        <w:t xml:space="preserve">201(2)⁠(a),</w:t>
      </w:r>
      <w:r>
        <w:t xml:space="preserve"> </w:t>
      </w:r>
      <w:r>
        <w:t xml:space="preserve">the District Court retreated into abstraction.</w:t>
      </w:r>
      <w:r>
        <w:t xml:space="preserve"> </w:t>
      </w:r>
      <w:r>
        <w:rPr>
          <w:i/>
          <w:iCs/>
        </w:rPr>
        <w:t xml:space="preserve">See, e.g.</w:t>
      </w:r>
      <w:r>
        <w:t xml:space="preserve">, Doc. 405 at 79 (“Montana’s annual, historical, and cumulative GHG emissions are increased by Defendants’ actions to permit and approve fossil fuel activities with no environmental review of their impact on GHG levels in the atmosphere and climate change.”) (FOF # 266);</w:t>
      </w:r>
      <w:r>
        <w:t xml:space="preserve"> </w:t>
      </w:r>
      <w:r>
        <w:rPr>
          <w:i/>
          <w:iCs/>
        </w:rPr>
        <w:t xml:space="preserve">id.</w:t>
      </w:r>
      <w:r>
        <w:t xml:space="preserve"> </w:t>
      </w:r>
      <w:r>
        <w:t xml:space="preserve">(“Defendants’ actions cause emissions of substantial levels of GHG pollution into the atmosphere within Montana and outside its borders, contributing to climate change.”) (FOF # 267);</w:t>
      </w:r>
      <w:r>
        <w:t xml:space="preserve"> </w:t>
      </w:r>
      <w:r>
        <w:rPr>
          <w:i/>
          <w:iCs/>
        </w:rPr>
        <w:t xml:space="preserve">id.</w:t>
      </w:r>
      <w:r>
        <w:t xml:space="preserve"> </w:t>
      </w:r>
      <w:r>
        <w:t xml:space="preserve">at 88 (“Montana’s GHG contributions are not de minimis but are nationally and globally significant.”) (COL # 16);</w:t>
      </w:r>
      <w:r>
        <w:t xml:space="preserve"> </w:t>
      </w:r>
      <w:r>
        <w:rPr>
          <w:i/>
          <w:iCs/>
        </w:rPr>
        <w:t xml:space="preserve">id.</w:t>
      </w:r>
      <w:r>
        <w:t xml:space="preserve"> </w:t>
      </w:r>
      <w:r>
        <w:t xml:space="preserve">at 88 (“Montana’s GHG emissions cause and contribute to climate change and Plaintiffs’ injuries and reduce the opportunity to alleviate Plaintiffs’ injuries.”) (COL #16). These talismanic recitations of “contribution” did not attempt to connect the impacts of climate change to the statute challenged in this case.</w:t>
      </w:r>
      <w:r>
        <w:t xml:space="preserve"> </w:t>
      </w:r>
      <w:r>
        <w:rPr>
          <w:i/>
          <w:iCs/>
        </w:rPr>
        <w:t xml:space="preserve">Bellon</w:t>
      </w:r>
      <w:r>
        <w:t xml:space="preserve">, 732 F.3d at 1142–43.</w:t>
      </w:r>
    </w:p>
    <w:p>
      <w:pPr>
        <w:pStyle w:val="BodyText"/>
      </w:pPr>
      <w:r>
        <w:t xml:space="preserve">Held’s arguments on appeal double down on the District Court’s errors. Like the District Court, Held blames Montana for 166 million tons of annual CO2 emissions, but ignores that most of these emissions result from energy sources combusted in other states and countries.</w:t>
      </w:r>
      <w:r>
        <w:t xml:space="preserve"> </w:t>
      </w:r>
      <w:r>
        <w:rPr>
          <w:i/>
          <w:iCs/>
        </w:rPr>
        <w:t xml:space="preserve">See</w:t>
      </w:r>
      <w:r>
        <w:t xml:space="preserve"> </w:t>
      </w:r>
      <w:r>
        <w:t xml:space="preserve">Resp. Br. 34–35. Held also relies on her experts’ dutiful recitation that “every ton of CO2 matters.”</w:t>
      </w:r>
      <w:r>
        <w:t xml:space="preserve"> </w:t>
      </w:r>
      <w:r>
        <w:rPr>
          <w:i/>
          <w:iCs/>
        </w:rPr>
        <w:t xml:space="preserve">See</w:t>
      </w:r>
      <w:r>
        <w:t xml:space="preserve"> </w:t>
      </w:r>
      <w:r>
        <w:t xml:space="preserve">Resp. Br. 37, 52. These experts’ “conclusory, generalized statements of ‘contribution,’”</w:t>
      </w:r>
      <w:r>
        <w:t xml:space="preserve"> </w:t>
      </w:r>
      <w:r>
        <w:rPr>
          <w:i/>
          <w:iCs/>
        </w:rPr>
        <w:t xml:space="preserve">Bellon</w:t>
      </w:r>
      <w:r>
        <w:t xml:space="preserve">, 732 F.3d at 1142, carefully avoided definitive statements about how much Montana contributes to climate change.</w:t>
      </w:r>
      <w:r>
        <w:t xml:space="preserve"> </w:t>
      </w:r>
      <w:r>
        <w:rPr>
          <w:i/>
          <w:iCs/>
        </w:rPr>
        <w:t xml:space="preserve">See, e.g.</w:t>
      </w:r>
      <w:r>
        <w:t xml:space="preserve">, Tr. 279:19</w:t>
      </w:r>
      <w:r>
        <w:noBreakHyphen/>
      </w:r>
      <w:r>
        <w:t xml:space="preserve">20 (“[E]very ton of CO2 put in the atmosphere contributes to global warming”);</w:t>
      </w:r>
      <w:r>
        <w:t xml:space="preserve"> </w:t>
      </w:r>
      <w:r>
        <w:rPr>
          <w:i/>
          <w:iCs/>
        </w:rPr>
        <w:t xml:space="preserve">id.</w:t>
      </w:r>
      <w:r>
        <w:t xml:space="preserve"> </w:t>
      </w:r>
      <w:r>
        <w:t xml:space="preserve">314:23</w:t>
      </w:r>
      <w:r>
        <w:noBreakHyphen/>
      </w:r>
      <w:r>
        <w:t xml:space="preserve">25 (“[A]s I said earlier, every ton of CO2 that’s released to the atmosphere impacts the climate.”);</w:t>
      </w:r>
      <w:r>
        <w:t xml:space="preserve"> </w:t>
      </w:r>
      <w:r>
        <w:rPr>
          <w:i/>
          <w:iCs/>
        </w:rPr>
        <w:t xml:space="preserve">id.</w:t>
      </w:r>
      <w:r>
        <w:t xml:space="preserve"> </w:t>
      </w:r>
      <w:r>
        <w:t xml:space="preserve">379 (“[E]very ton of CO2 makes a difference”); 952:14–15 (“Every ton of CO2 emissions adds to global warming” by some unspecified degree).</w:t>
      </w:r>
    </w:p>
    <w:p>
      <w:pPr>
        <w:pStyle w:val="BodyText"/>
      </w:pPr>
      <w:r>
        <w:t xml:space="preserve">Aside from these generalities, Held points to no evidence attempting to quantify—even at a general level— how many emissions section 75</w:t>
      </w:r>
      <w:r>
        <w:noBreakHyphen/>
      </w:r>
      <w:r>
        <w:t xml:space="preserve">1</w:t>
      </w:r>
      <w:r>
        <w:noBreakHyphen/>
      </w:r>
      <w:r>
        <w:t xml:space="preserve">201(2)⁠(a)</w:t>
      </w:r>
      <w:r>
        <w:t xml:space="preserve"> </w:t>
      </w:r>
      <w:r>
        <w:t xml:space="preserve">has caused or will cause. Asserting that Montana’s government has “failed to curb emission of greenhouse gases, which contribute (in some undefined way and to some undefined degree) to their injuries, relies on an attenuated chain of conjecture insufficient to support standing.”</w:t>
      </w:r>
      <w:r>
        <w:t xml:space="preserve"> </w:t>
      </w:r>
      <w:r>
        <w:rPr>
          <w:i/>
          <w:iCs/>
        </w:rPr>
        <w:t xml:space="preserve">Bellon</w:t>
      </w:r>
      <w:r>
        <w:t xml:space="preserve">, 732 F.3d at 1143 (cleaned up). Held failed to provide any “plausible scientific or other evidentiary basis” to show that section 75</w:t>
      </w:r>
      <w:r>
        <w:noBreakHyphen/>
      </w:r>
      <w:r>
        <w:t xml:space="preserve">1</w:t>
      </w:r>
      <w:r>
        <w:noBreakHyphen/>
      </w:r>
      <w:r>
        <w:t xml:space="preserve">201(2)⁠(a)</w:t>
      </w:r>
      <w:r>
        <w:t xml:space="preserve"> </w:t>
      </w:r>
      <w:r>
        <w:t xml:space="preserve">is the source of Plaintiffs’ injuries.</w:t>
      </w:r>
      <w:r>
        <w:t xml:space="preserve"> </w:t>
      </w:r>
      <w:r>
        <w:rPr>
          <w:i/>
          <w:iCs/>
        </w:rPr>
        <w:t xml:space="preserve">Id.</w:t>
      </w:r>
      <w:r>
        <w:t xml:space="preserve"> </w:t>
      </w:r>
      <w:r>
        <w:t xml:space="preserve">at 1142;</w:t>
      </w:r>
      <w:r>
        <w:t xml:space="preserve"> </w:t>
      </w:r>
      <w:r>
        <w:rPr>
          <w:i/>
          <w:iCs/>
        </w:rPr>
        <w:t xml:space="preserve">see Larson</w:t>
      </w:r>
      <w:r>
        <w:t xml:space="preserve">, ¶ 46 (“[A] general or abstract interest in the constitutionality of a statute … is insufficient for standing absent a direct causal connection between the alleged illegality and specific and definite harm personally suffered, or likely to be personally suffered, by the plaintiff.”). When pressed, even Held’s experts conceded that eliminating all of Montana’s emissions would not stop the impacts of climate change.</w:t>
      </w:r>
      <w:r>
        <w:t xml:space="preserve"> </w:t>
      </w:r>
      <w:r>
        <w:rPr>
          <w:i/>
          <w:iCs/>
        </w:rPr>
        <w:t xml:space="preserve">See, e.g.</w:t>
      </w:r>
      <w:r>
        <w:t xml:space="preserve">, Tr. 178:9</w:t>
      </w:r>
      <w:r>
        <w:noBreakHyphen/>
      </w:r>
      <w:r>
        <w:t xml:space="preserve">22 (eliminating all Montana emissions might slow climate change if it inspired “a significant social movement” that “extrapolate[d] to countries all around the world”).</w:t>
      </w:r>
    </w:p>
    <w:p>
      <w:pPr>
        <w:pStyle w:val="BodyText"/>
      </w:pPr>
      <w:r>
        <w:t xml:space="preserve">By accepting Held’s attenuated causal chain, the District Court treated standing as a pro forma box to check, rather than a threshold constitutional limitation on its power. That is reversible error.</w:t>
      </w:r>
    </w:p>
    <w:p>
      <w:pPr>
        <w:keepNext/>
        <w:keepLines/>
        <w:spacing w:before="280" w:after="224" w:line="322" w:lineRule="exact"/>
        <w:ind w:left="1440" w:hanging="720"/>
        <w:jc w:val="left"/>
      </w:pPr>
      <w:r>
        <w:rPr>
          <w:b/>
          <w:bCs/>
        </w:rPr>
        <w:t xml:space="preserve">2.</w:t>
      </w:r>
      <w:r>
        <w:rPr>
          <w:b/>
          <w:bCs/>
        </w:rPr>
        <w:t xml:space="preserve"> </w:t>
      </w:r>
      <w:r>
        <w:rPr>
          <w:b/>
          <w:bCs/>
        </w:rPr>
        <w:t xml:space="preserve">MEPA</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emissions</w:t>
      </w:r>
      <w:r>
        <w:rPr>
          <w:b/>
          <w:bCs/>
        </w:rPr>
        <w:t xml:space="preserve"> </w:t>
      </w:r>
      <w:r>
        <w:rPr>
          <w:b/>
          <w:bCs/>
        </w:rPr>
        <w:t xml:space="preserve">from</w:t>
      </w:r>
      <w:r>
        <w:rPr>
          <w:b/>
          <w:bCs/>
        </w:rPr>
        <w:t xml:space="preserve"> </w:t>
      </w:r>
      <w:r>
        <w:rPr>
          <w:b/>
          <w:bCs/>
        </w:rPr>
        <w:t xml:space="preserve">energy</w:t>
      </w:r>
      <w:r>
        <w:rPr>
          <w:b/>
          <w:bCs/>
        </w:rPr>
        <w:t xml:space="preserve"> </w:t>
      </w:r>
      <w:r>
        <w:rPr>
          <w:b/>
          <w:bCs/>
        </w:rPr>
        <w:t xml:space="preserve">projects,</w:t>
      </w:r>
      <w:r>
        <w:rPr>
          <w:b/>
          <w:bCs/>
        </w:rPr>
        <w:t xml:space="preserve"> </w:t>
      </w:r>
      <w:r>
        <w:rPr>
          <w:b/>
          <w:bCs/>
        </w:rPr>
        <w:t xml:space="preserve">because</w:t>
      </w:r>
      <w:r>
        <w:rPr>
          <w:b/>
          <w:bCs/>
        </w:rPr>
        <w:t xml:space="preserve"> </w:t>
      </w:r>
      <w:r>
        <w:rPr>
          <w:b/>
          <w:bCs/>
        </w:rPr>
        <w:t xml:space="preserve">MEPA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agencies</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or</w:t>
      </w:r>
      <w:r>
        <w:rPr>
          <w:b/>
          <w:bCs/>
        </w:rPr>
        <w:t xml:space="preserve"> </w:t>
      </w:r>
      <w:r>
        <w:rPr>
          <w:b/>
          <w:bCs/>
        </w:rPr>
        <w:t xml:space="preserve">modify</w:t>
      </w:r>
      <w:r>
        <w:rPr>
          <w:b/>
          <w:bCs/>
        </w:rPr>
        <w:t xml:space="preserve"> </w:t>
      </w:r>
      <w:r>
        <w:rPr>
          <w:b/>
          <w:bCs/>
        </w:rPr>
        <w:t xml:space="preserve">permits.</w:t>
      </w:r>
    </w:p>
    <w:p>
      <w:pPr>
        <w:pStyle w:val="BodyText"/>
      </w:pPr>
      <w:r>
        <w:t xml:space="preserve">Held’s standing arguments continue to misunderstand the purpose of MEPA. While Held blames section 75</w:t>
      </w:r>
      <w:r>
        <w:noBreakHyphen/>
      </w:r>
      <w:r>
        <w:t xml:space="preserve">1</w:t>
      </w:r>
      <w:r>
        <w:noBreakHyphen/>
      </w:r>
      <w:r>
        <w:t xml:space="preserve">201(2)⁠(a)</w:t>
      </w:r>
      <w:r>
        <w:t xml:space="preserve"> </w:t>
      </w:r>
      <w:r>
        <w:t xml:space="preserve">for the effects of climate change, MEPA does not authorize state agencies to deny or modify permits for so-called “fossil fuel projects.” § 75-⁠1-⁠201(4)⁠(a),</w:t>
      </w:r>
      <w:r>
        <w:t xml:space="preserve"> </w:t>
      </w:r>
      <w:r>
        <w:t xml:space="preserve">MCA. Held concedes this, Resp. Br. 47, but still insists that striking section 75</w:t>
      </w:r>
      <w:r>
        <w:noBreakHyphen/>
      </w:r>
      <w:r>
        <w:t xml:space="preserve">1</w:t>
      </w:r>
      <w:r>
        <w:noBreakHyphen/>
      </w:r>
      <w:r>
        <w:t xml:space="preserve">201(2)⁠(a)</w:t>
      </w:r>
      <w:r>
        <w:t xml:space="preserve"> </w:t>
      </w:r>
      <w:r>
        <w:t xml:space="preserve">will somehow reduce emissions in Montana.</w:t>
      </w:r>
      <w:r>
        <w:t xml:space="preserve"> </w:t>
      </w:r>
      <w:r>
        <w:rPr>
          <w:i/>
          <w:iCs/>
        </w:rPr>
        <w:t xml:space="preserve">See, e.g.</w:t>
      </w:r>
      <w:r>
        <w:t xml:space="preserve">, Resp. Br. 28–31. That is pure conjecture. No evidence at trial supported this conclusion. Nor did the District Court make any findings about whether, how, and how much striking section 75</w:t>
      </w:r>
      <w:r>
        <w:noBreakHyphen/>
      </w:r>
      <w:r>
        <w:t xml:space="preserve">1</w:t>
      </w:r>
      <w:r>
        <w:noBreakHyphen/>
      </w:r>
      <w:r>
        <w:t xml:space="preserve">201(2)⁠(a)</w:t>
      </w:r>
      <w:r>
        <w:t xml:space="preserve"> </w:t>
      </w:r>
      <w:r>
        <w:t xml:space="preserve">will slow the process of climate change. No one argues that MEPA is unimportant,</w:t>
      </w:r>
      <w:r>
        <w:t xml:space="preserve"> </w:t>
      </w:r>
      <w:r>
        <w:rPr>
          <w:i/>
          <w:iCs/>
        </w:rPr>
        <w:t xml:space="preserve">see</w:t>
      </w:r>
      <w:r>
        <w:t xml:space="preserve"> </w:t>
      </w:r>
      <w:r>
        <w:t xml:space="preserve">Resp. Br. 27–28, but that does not mean MEPA can prevent GHG emissions and stop climate change.</w:t>
      </w:r>
    </w:p>
    <w:p>
      <w:pPr>
        <w:pStyle w:val="BodyText"/>
      </w:pPr>
      <w:r>
        <w:t xml:space="preserve">Held counters that she need not show that section 75</w:t>
      </w:r>
      <w:r>
        <w:noBreakHyphen/>
      </w:r>
      <w:r>
        <w:t xml:space="preserve">1</w:t>
      </w:r>
      <w:r>
        <w:noBreakHyphen/>
      </w:r>
      <w:r>
        <w:t xml:space="preserve">201(2)⁠(a)</w:t>
      </w:r>
      <w:r>
        <w:t xml:space="preserve"> </w:t>
      </w:r>
      <w:r>
        <w:t xml:space="preserve">is the sole cause of her injury. Resp. Br. 15, 36–39, 41, 51. As a general legal principle, that is true enough. But Held fails to show any meaningful causal link between section 75</w:t>
      </w:r>
      <w:r>
        <w:noBreakHyphen/>
      </w:r>
      <w:r>
        <w:t xml:space="preserve">1</w:t>
      </w:r>
      <w:r>
        <w:noBreakHyphen/>
      </w:r>
      <w:r>
        <w:t xml:space="preserve">201(2)⁠(a)</w:t>
      </w:r>
      <w:r>
        <w:t xml:space="preserve"> </w:t>
      </w:r>
      <w:r>
        <w:t xml:space="preserve">and their injuries. Like the District Court, Held instead relies on broad assertions such as “all GHG emissions matter,” and “[a]ctions taken by the state to prevent further contributions to climate change will have significant health benefits to Plaintiffs.” Resp. Br 51–52. Held makes no effort to explain what these “actions” are, how they will slow climate change, or what the resulting “significant health benefits” will be.</w:t>
      </w:r>
      <w:r>
        <w:t xml:space="preserve"> </w:t>
      </w:r>
      <w:r>
        <w:rPr>
          <w:i/>
          <w:iCs/>
        </w:rPr>
        <w:t xml:space="preserve">Bellon</w:t>
      </w:r>
      <w:r>
        <w:t xml:space="preserve">, 732 F.3d at 1141–45. Held has not proven a meaningful causal link between section 75</w:t>
      </w:r>
      <w:r>
        <w:noBreakHyphen/>
      </w:r>
      <w:r>
        <w:t xml:space="preserve">1</w:t>
      </w:r>
      <w:r>
        <w:noBreakHyphen/>
      </w:r>
      <w:r>
        <w:t xml:space="preserve">201(2)⁠(a)</w:t>
      </w:r>
      <w:r>
        <w:t xml:space="preserve"> </w:t>
      </w:r>
      <w:r>
        <w:t xml:space="preserve">and her climate injuries.</w:t>
      </w:r>
    </w:p>
    <w:p>
      <w:pPr>
        <w:keepNext/>
        <w:keepLines/>
        <w:spacing w:before="280" w:after="224" w:line="322" w:lineRule="exact"/>
        <w:ind w:left="1440" w:hanging="720"/>
        <w:jc w:val="left"/>
      </w:pPr>
      <w:r>
        <w:rPr>
          <w:b/>
          <w:bCs/>
        </w:rPr>
        <w:t xml:space="preserve">B.</w:t>
      </w:r>
      <w:r>
        <w:rPr>
          <w:b/>
          <w:bCs/>
        </w:rPr>
        <w:t xml:space="preserve"> </w:t>
      </w:r>
      <w:r>
        <w:rPr>
          <w:b/>
          <w:bCs/>
        </w:rPr>
        <w:t xml:space="preserve">Held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redressability</w:t>
      </w:r>
      <w:r>
        <w:rPr>
          <w:b/>
          <w:bCs/>
        </w:rPr>
        <w:t xml:space="preserve"> </w:t>
      </w:r>
      <w:r>
        <w:rPr>
          <w:b/>
          <w:bCs/>
        </w:rPr>
        <w:t xml:space="preserve">at</w:t>
      </w:r>
      <w:r>
        <w:rPr>
          <w:b/>
          <w:bCs/>
        </w:rPr>
        <w:t xml:space="preserve"> </w:t>
      </w:r>
      <w:r>
        <w:rPr>
          <w:b/>
          <w:bCs/>
        </w:rPr>
        <w:t xml:space="preserve">trial.</w:t>
      </w:r>
    </w:p>
    <w:p>
      <w:pPr>
        <w:pStyle w:val="BodyText"/>
      </w:pPr>
      <w:r>
        <w:t xml:space="preserve">Held fails to show redressability for similar reasons. “Redressability” requires the plaintiff to show that it “is likely, as opposed to merely speculative, that the [plaintiff’s] injury will be redressed by a favorable decision.”</w:t>
      </w:r>
      <w:r>
        <w:t xml:space="preserve"> </w:t>
      </w:r>
      <w:r>
        <w:rPr>
          <w:i/>
          <w:iCs/>
        </w:rPr>
        <w:t xml:space="preserve">Lujan</w:t>
      </w:r>
      <w:r>
        <w:rPr>
          <w:i/>
          <w:iCs/>
        </w:rPr>
        <w:t xml:space="preserve"> </w:t>
      </w:r>
      <w:r>
        <w:rPr>
          <w:i/>
          <w:iCs/>
        </w:rPr>
        <w:t xml:space="preserve">v. Defs. of Wildlife</w:t>
      </w:r>
      <w:r>
        <w:t xml:space="preserve">, 504 U.S. 555, 561 (1992) (cleaned up). It is not likely, or even plausible, that enjoining section 75</w:t>
      </w:r>
      <w:r>
        <w:noBreakHyphen/>
      </w:r>
      <w:r>
        <w:t xml:space="preserve">1</w:t>
      </w:r>
      <w:r>
        <w:noBreakHyphen/>
      </w:r>
      <w:r>
        <w:t xml:space="preserve">201(2)⁠(a)</w:t>
      </w:r>
      <w:r>
        <w:t xml:space="preserve"> </w:t>
      </w:r>
      <w:r>
        <w:t xml:space="preserve">will slow climate change. According to Held’s complaint, slowing climate change will require, at a minimum, a worldwide reduction in GHG emissions by nearly 11% every year from now until 2100. Doc. 1 at 87. Held’s experts conceded this at trial, too. Tr. 953:1–2 (Dr. Erickson testifying, “We’re at a point where we rapidly need to reduce emissions globally[.]”) (emphasis added). In</w:t>
      </w:r>
      <w:r>
        <w:t xml:space="preserve"> </w:t>
      </w:r>
      <w:r>
        <w:rPr>
          <w:i/>
          <w:iCs/>
        </w:rPr>
        <w:t xml:space="preserve">Juliana</w:t>
      </w:r>
      <w:r>
        <w:t xml:space="preserve">, the Ninth Circuit summed it up: even “reducing the global consequences of climate change” will require “no less than a fundamental transformation of this country’s energy system, if not that of the industrialized world.” 947 F.3d at 1170–71 (emphasis added).</w:t>
      </w:r>
    </w:p>
    <w:p>
      <w:pPr>
        <w:pStyle w:val="BodyTextNote"/>
      </w:pPr>
      <w:r>
        <w:t xml:space="preserve">Held never explains how striking one subsection of MEPA will slow climate change and address her injuries. Resp. Br. 46–50. Nor could she. MEPA’s plain text prohibits agencies from denying or modifying a permit. § 75-⁠1-⁠201(4)⁠(a).</w:t>
      </w:r>
      <w:r>
        <w:t xml:space="preserve"> </w:t>
      </w:r>
      <w:r>
        <w:t xml:space="preserve">And substantive permitting statutes do not give DEQ discretion to deny permits because of a project’s GHG emissions. Tr. 1389:20–1390:17. Indeed, the Montana Legislature has considered and rejected many bills that would have authorized agencies to regulate GHG emissions in Montana.</w:t>
      </w:r>
      <w:r>
        <w:rPr>
          <w:rStyle w:val="FootnoteReference"/>
        </w:rPr>
        <w:footnoteReference w:id="11"/>
      </w:r>
      <w:r>
        <w:t xml:space="preserve"> </w:t>
      </w:r>
      <w:r>
        <w:t xml:space="preserve">Held may disagree with the Legislature’s choice, but that is a political dispute which she is free to press through the normal democratic process. “Not every problem posing a threat … can be solved by … judges.”</w:t>
      </w:r>
      <w:r>
        <w:t xml:space="preserve"> </w:t>
      </w:r>
      <w:r>
        <w:rPr>
          <w:i/>
          <w:iCs/>
        </w:rPr>
        <w:t xml:space="preserve">Juliana</w:t>
      </w:r>
      <w:r>
        <w:t xml:space="preserve">, 947 F.3d at 1174.</w:t>
      </w:r>
    </w:p>
    <w:p>
      <w:pPr>
        <w:pStyle w:val="BodyText"/>
      </w:pPr>
      <w:r>
        <w:t xml:space="preserve">Like the District Court, Held assumes that if agencies consider GHG emissions during MEPA review of proposed projects, they will ultimately deny permits for at least some of those projects. Resp. Br. 41–51. But the trial evidence points the other way. Held’s expert Anne Hedges testified that when DEQ analyzed three projects’ GHG emissions prior to the 2011 MEPA amendments, it nevertheless approved the requested permits.</w:t>
      </w:r>
      <w:r>
        <w:t xml:space="preserve"> </w:t>
      </w:r>
      <w:r>
        <w:rPr>
          <w:i/>
          <w:iCs/>
        </w:rPr>
        <w:t xml:space="preserve">See</w:t>
      </w:r>
      <w:r>
        <w:t xml:space="preserve"> </w:t>
      </w:r>
      <w:r>
        <w:t xml:space="preserve">Tr. 808–812.</w:t>
      </w:r>
    </w:p>
    <w:p>
      <w:pPr>
        <w:pStyle w:val="BodyText"/>
      </w:pPr>
      <w:r>
        <w:t xml:space="preserve">Held notes that standing does not require a plaintiff to “show that a favorable decision will relieve his every injury.” Resp. Br. 41 (quoting</w:t>
      </w:r>
      <w:r>
        <w:t xml:space="preserve"> </w:t>
      </w:r>
      <w:r>
        <w:rPr>
          <w:i/>
          <w:iCs/>
        </w:rPr>
        <w:t xml:space="preserve">Larson</w:t>
      </w:r>
      <w:r>
        <w:rPr>
          <w:i/>
          <w:iCs/>
        </w:rPr>
        <w:t xml:space="preserve"> </w:t>
      </w:r>
      <w:r>
        <w:rPr>
          <w:i/>
          <w:iCs/>
        </w:rPr>
        <w:t xml:space="preserve">v. Valente</w:t>
      </w:r>
      <w:r>
        <w:t xml:space="preserve">, 456 U.S. 228, 243 n.15 (1982)). That may be true as a general matter, but it misses the point: Held had to show a non-speculative likelihood that striking section 75</w:t>
      </w:r>
      <w:r>
        <w:noBreakHyphen/>
      </w:r>
      <w:r>
        <w:t xml:space="preserve">1</w:t>
      </w:r>
      <w:r>
        <w:noBreakHyphen/>
      </w:r>
      <w:r>
        <w:t xml:space="preserve">201(2)⁠(a)</w:t>
      </w:r>
      <w:r>
        <w:t xml:space="preserve"> </w:t>
      </w:r>
      <w:r>
        <w:t xml:space="preserve">will slow climate change to some degree.</w:t>
      </w:r>
      <w:r>
        <w:t xml:space="preserve"> </w:t>
      </w:r>
      <w:r>
        <w:rPr>
          <w:i/>
          <w:iCs/>
        </w:rPr>
        <w:t xml:space="preserve">Lujan</w:t>
      </w:r>
      <w:r>
        <w:t xml:space="preserve">, 505 U.S. at 561. She did not.</w:t>
      </w:r>
    </w:p>
    <w:p>
      <w:pPr>
        <w:pStyle w:val="BodyText"/>
      </w:pPr>
      <w:r>
        <w:t xml:space="preserve">Held, like the District Court, assumes that agencies “can alleviate the harmful environmental effects of Montana’s fossil fuel activities” if they consider GHG emissions during MEPA reviews. Resp. Br. 42. That is untrue, but even if it were true, it would not prove redressability. That an injury can be redressed does not establish “a substantial likelihood” that it will be.</w:t>
      </w:r>
      <w:r>
        <w:t xml:space="preserve"> </w:t>
      </w:r>
      <w:r>
        <w:rPr>
          <w:i/>
          <w:iCs/>
        </w:rPr>
        <w:t xml:space="preserve">Lujan</w:t>
      </w:r>
      <w:r>
        <w:t xml:space="preserve">, 505 U.S. at 561;</w:t>
      </w:r>
      <w:r>
        <w:t xml:space="preserve"> </w:t>
      </w:r>
      <w:r>
        <w:rPr>
          <w:i/>
          <w:iCs/>
        </w:rPr>
        <w:t xml:space="preserve">Brown</w:t>
      </w:r>
      <w:r>
        <w:t xml:space="preserve">, 902 F.3d</w:t>
      </w:r>
      <w:r>
        <w:t xml:space="preserve"> </w:t>
      </w:r>
      <w:r>
        <w:t xml:space="preserve">at 1083. If “a favorable judicial decision would not require the defendant to redress the plaintiff’s claimed injury, the plaintiff cannot demonstrate redressability … unless she adduces facts to show that the defendant or a third party are nonetheless likely to provide redress as a result of the decision.”</w:t>
      </w:r>
      <w:r>
        <w:t xml:space="preserve"> </w:t>
      </w:r>
      <w:r>
        <w:rPr>
          <w:i/>
          <w:iCs/>
        </w:rPr>
        <w:t xml:space="preserve">Brown</w:t>
      </w:r>
      <w:r>
        <w:t xml:space="preserve">, 902 F.3d</w:t>
      </w:r>
      <w:r>
        <w:t xml:space="preserve"> </w:t>
      </w:r>
      <w:r>
        <w:t xml:space="preserve">at 1083. No record evidence establishes that striking section 75</w:t>
      </w:r>
      <w:r>
        <w:noBreakHyphen/>
      </w:r>
      <w:r>
        <w:t xml:space="preserve">1</w:t>
      </w:r>
      <w:r>
        <w:noBreakHyphen/>
      </w:r>
      <w:r>
        <w:t xml:space="preserve">201(2)⁠(a)</w:t>
      </w:r>
      <w:r>
        <w:t xml:space="preserve"> </w:t>
      </w:r>
      <w:r>
        <w:t xml:space="preserve">will alter agency conduct in a way that meaningfully reduces GHG emissions in Montana or in the wider world.</w:t>
      </w:r>
    </w:p>
    <w:p>
      <w:pPr>
        <w:pStyle w:val="BodyText"/>
      </w:pPr>
      <w:r>
        <w:t xml:space="preserve">Held also claims that declaratory relief, alone, will redress the plaintiffs’ injuries. Resp. Br. 42–46. Not so. “Without an independent ground for standing,” a plaintiff cannot “assert a claim under the Declaratory Judgments Act.”</w:t>
      </w:r>
      <w:r>
        <w:t xml:space="preserve"> </w:t>
      </w:r>
      <w:r>
        <w:rPr>
          <w:i/>
          <w:iCs/>
        </w:rPr>
        <w:t xml:space="preserve">Mitchell</w:t>
      </w:r>
      <w:r>
        <w:t xml:space="preserve">, ¶ 42 (citation omitted);</w:t>
      </w:r>
      <w:r>
        <w:t xml:space="preserve"> </w:t>
      </w:r>
      <w:r>
        <w:rPr>
          <w:i/>
          <w:iCs/>
        </w:rPr>
        <w:t xml:space="preserve">see also Larson</w:t>
      </w:r>
      <w:r>
        <w:t xml:space="preserve">, ¶ 45. Held’s requested relief will not remedy her alleged injuries. And “[r]elief that does not remedy the injury suffered cannot bootstrap a plaintiff into … court.”</w:t>
      </w:r>
      <w:r>
        <w:t xml:space="preserve"> </w:t>
      </w:r>
      <w:r>
        <w:rPr>
          <w:i/>
          <w:iCs/>
        </w:rPr>
        <w:t xml:space="preserve">Steel Co. v.</w:t>
      </w:r>
      <w:r>
        <w:rPr>
          <w:i/>
          <w:iCs/>
        </w:rPr>
        <w:t xml:space="preserve"> </w:t>
      </w:r>
      <w:r>
        <w:rPr>
          <w:i/>
          <w:iCs/>
        </w:rPr>
        <w:t xml:space="preserve">Citizens for a Better Environment</w:t>
      </w:r>
      <w:r>
        <w:t xml:space="preserve">, 523 U.S. 83, 107 (1998).</w:t>
      </w:r>
    </w:p>
    <w:p>
      <w:pPr>
        <w:pStyle w:val="BodyText"/>
      </w:pPr>
      <w:r>
        <w:t xml:space="preserve">Finally, applying bedrock standing rules would not, as Held claims, “immunize all of MEPA from judicial review.” Resp. Br. 13, 28. In other MEPA challenges, plaintiffs had standing because they alleged that permitting a specific project would directly harm them in specific ways.</w:t>
      </w:r>
      <w:r>
        <w:t xml:space="preserve"> </w:t>
      </w:r>
      <w:r>
        <w:rPr>
          <w:i/>
          <w:iCs/>
        </w:rPr>
        <w:t xml:space="preserve">See, e.g.</w:t>
      </w:r>
      <w:r>
        <w:t xml:space="preserve">,</w:t>
      </w:r>
      <w:r>
        <w:t xml:space="preserve"> </w:t>
      </w:r>
      <w:r>
        <w:rPr>
          <w:i/>
          <w:iCs/>
        </w:rPr>
        <w:t xml:space="preserve">MEIC</w:t>
      </w:r>
      <w:r>
        <w:rPr>
          <w:i/>
          <w:iCs/>
        </w:rPr>
        <w:t xml:space="preserve"> </w:t>
      </w:r>
      <w:r>
        <w:rPr>
          <w:i/>
          <w:iCs/>
        </w:rPr>
        <w:t xml:space="preserve">v. DEQ</w:t>
      </w:r>
      <w:r>
        <w:t xml:space="preserve">, 1999 MT 248, ¶45, 296 Mont. 207, 988 P.2d 1236 (“</w:t>
      </w:r>
      <w:r>
        <w:rPr>
          <w:i/>
          <w:iCs/>
        </w:rPr>
        <w:t xml:space="preserve">MEIC</w:t>
      </w:r>
      <w:r>
        <w:rPr>
          <w:i/>
          <w:iCs/>
        </w:rPr>
        <w:t xml:space="preserve"> </w:t>
      </w:r>
      <w:r>
        <w:rPr>
          <w:i/>
          <w:iCs/>
        </w:rPr>
        <w:t xml:space="preserve">I</w:t>
      </w:r>
      <w:r>
        <w:t xml:space="preserve">”) (finding plaintiffs had standing to challenge action with arguably adverse impact on waterway in which they “fish and otherwise recreate”);</w:t>
      </w:r>
      <w:r>
        <w:t xml:space="preserve"> </w:t>
      </w:r>
      <w:r>
        <w:rPr>
          <w:i/>
          <w:iCs/>
        </w:rPr>
        <w:t xml:space="preserve">Park Cnty.</w:t>
      </w:r>
      <w:r>
        <w:rPr>
          <w:i/>
          <w:iCs/>
        </w:rPr>
        <w:t xml:space="preserve"> </w:t>
      </w:r>
      <w:r>
        <w:rPr>
          <w:i/>
          <w:iCs/>
        </w:rPr>
        <w:t xml:space="preserve">Env’tl. Council v. Mont. DEQ.</w:t>
      </w:r>
      <w:r>
        <w:t xml:space="preserve">, 2020 MT 303, ¶¶21–24, 402 Mont. 168, 477 P.3d 288 (finding plaintiffs had standing to challenge an exploration permit for a mine that could impact an area in which they “hiked, climbed, skied, and biked”). But unlike those plaintiffs, Held chose the more difficult path of facially challenging section 75</w:t>
      </w:r>
      <w:r>
        <w:noBreakHyphen/>
      </w:r>
      <w:r>
        <w:t xml:space="preserve">1</w:t>
      </w:r>
      <w:r>
        <w:noBreakHyphen/>
      </w:r>
      <w:r>
        <w:t xml:space="preserve">201(2)⁠(a)</w:t>
      </w:r>
      <w:r>
        <w:t xml:space="preserve"> </w:t>
      </w:r>
      <w:r>
        <w:t xml:space="preserve">and attempted to pin decades of climate change-related issues throughout Montana on this procedural statute. Held’s reliance on cases involving challenges to specific permitting decisions is, therefore, misplaced.</w:t>
      </w:r>
      <w:r>
        <w:t xml:space="preserve"> </w:t>
      </w:r>
      <w:r>
        <w:rPr>
          <w:i/>
          <w:iCs/>
        </w:rPr>
        <w:t xml:space="preserve">See</w:t>
      </w:r>
      <w:r>
        <w:t xml:space="preserve"> </w:t>
      </w:r>
      <w:r>
        <w:t xml:space="preserve">Resp. Br. 44–45.</w:t>
      </w:r>
    </w:p>
    <w:p>
      <w:pPr>
        <w:pStyle w:val="BodyText"/>
      </w:pPr>
      <w:r>
        <w:t xml:space="preserve">Held’s blunderbuss facial challenge to section 75</w:t>
      </w:r>
      <w:r>
        <w:noBreakHyphen/>
      </w:r>
      <w:r>
        <w:t xml:space="preserve">1</w:t>
      </w:r>
      <w:r>
        <w:noBreakHyphen/>
      </w:r>
      <w:r>
        <w:t xml:space="preserve">201(2)⁠(a)</w:t>
      </w:r>
      <w:r>
        <w:t xml:space="preserve"> </w:t>
      </w:r>
      <w:r>
        <w:t xml:space="preserve">illustrates why judicial review of agency action “stands on surer footing when it takes place in the context of a specific factual record.”</w:t>
      </w:r>
      <w:r>
        <w:t xml:space="preserve"> </w:t>
      </w:r>
      <w:r>
        <w:rPr>
          <w:i/>
          <w:iCs/>
        </w:rPr>
        <w:t xml:space="preserve">Qwest</w:t>
      </w:r>
      <w:r>
        <w:rPr>
          <w:i/>
          <w:iCs/>
        </w:rPr>
        <w:t xml:space="preserve"> </w:t>
      </w:r>
      <w:r>
        <w:rPr>
          <w:i/>
          <w:iCs/>
        </w:rPr>
        <w:t xml:space="preserve">Corp. v. Mont. Dep’t of Pub. Serv. Regulation</w:t>
      </w:r>
      <w:r>
        <w:t xml:space="preserve">, 2007 MT 350, ¶ 25, 340 Mont. 309, 174 P.3d 496. The breadth of Held’s claims led the District Court to find standing based on GHG emissions that occurred in other states and countries and before any version of the challenged statute was enacted, and to couch legal conclusions about the constitutionality of large swathes of the Montana Code in the form of a hypothetical.</w:t>
      </w:r>
      <w:r>
        <w:t xml:space="preserve"> </w:t>
      </w:r>
      <w:r>
        <w:rPr>
          <w:i/>
          <w:iCs/>
        </w:rPr>
        <w:t xml:space="preserve">See</w:t>
      </w:r>
      <w:r>
        <w:t xml:space="preserve"> </w:t>
      </w:r>
      <w:r>
        <w:t xml:space="preserve">Doc. 405 at 90 (“The State must either: 1) have discretion to deny permits for fossil fuel activities ⁠. ⁠. ⁠. or 2) the permitting statutes themselves must be unconstitutional.”).</w:t>
      </w:r>
    </w:p>
    <w:p>
      <w:pPr>
        <w:pStyle w:val="BodyText"/>
      </w:pPr>
      <w:r>
        <w:t xml:space="preserve">“Courts” must “seek to resolve the controversy at hand, not to speculate about the constitutionality of hypothetical fact patterns.”</w:t>
      </w:r>
      <w:r>
        <w:t xml:space="preserve"> </w:t>
      </w:r>
      <w:r>
        <w:rPr>
          <w:i/>
          <w:iCs/>
        </w:rPr>
        <w:t xml:space="preserve">Park Cnty.</w:t>
      </w:r>
      <w:r>
        <w:t xml:space="preserve">, ¶ 86.</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expansive</w:t>
      </w:r>
      <w:r>
        <w:rPr>
          <w:b/>
          <w:bCs/>
        </w:rPr>
        <w:t xml:space="preserve"> </w:t>
      </w:r>
      <w:r>
        <w:rPr>
          <w:b/>
          <w:bCs/>
        </w:rPr>
        <w:t xml:space="preserve">findings</w:t>
      </w:r>
      <w:r>
        <w:rPr>
          <w:b/>
          <w:bCs/>
        </w:rPr>
        <w:t xml:space="preserve"> </w:t>
      </w:r>
      <w:r>
        <w:rPr>
          <w:b/>
          <w:bCs/>
        </w:rPr>
        <w:t xml:space="preserve">requiring</w:t>
      </w:r>
      <w:r>
        <w:rPr>
          <w:b/>
          <w:bCs/>
        </w:rPr>
        <w:t xml:space="preserve"> </w:t>
      </w:r>
      <w:r>
        <w:rPr>
          <w:b/>
          <w:bCs/>
        </w:rPr>
        <w:t xml:space="preserve">State</w:t>
      </w:r>
      <w:r>
        <w:rPr>
          <w:b/>
          <w:bCs/>
        </w:rPr>
        <w:t xml:space="preserve"> </w:t>
      </w:r>
      <w:r>
        <w:rPr>
          <w:b/>
          <w:bCs/>
        </w:rPr>
        <w:t xml:space="preserve">agencies</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downstream</w:t>
      </w:r>
      <w:r>
        <w:rPr>
          <w:b/>
          <w:bCs/>
        </w:rPr>
        <w:t xml:space="preserve"> </w:t>
      </w:r>
      <w:r>
        <w:rPr>
          <w:b/>
          <w:bCs/>
        </w:rPr>
        <w:t xml:space="preserve">impacts</w:t>
      </w:r>
      <w:r>
        <w:rPr>
          <w:b/>
          <w:bCs/>
        </w:rPr>
        <w:t xml:space="preserve"> </w:t>
      </w:r>
      <w:r>
        <w:rPr>
          <w:b/>
          <w:bCs/>
        </w:rPr>
        <w:t xml:space="preserve">of</w:t>
      </w:r>
      <w:r>
        <w:rPr>
          <w:b/>
          <w:bCs/>
        </w:rPr>
        <w:t xml:space="preserve"> </w:t>
      </w:r>
      <w:r>
        <w:rPr>
          <w:b/>
          <w:bCs/>
        </w:rPr>
        <w:t xml:space="preserve">GHG</w:t>
      </w:r>
      <w:r>
        <w:rPr>
          <w:b/>
          <w:bCs/>
        </w:rPr>
        <w:t xml:space="preserve"> </w:t>
      </w:r>
      <w:r>
        <w:rPr>
          <w:b/>
          <w:bCs/>
        </w:rPr>
        <w:t xml:space="preserve">emissions</w:t>
      </w:r>
      <w:r>
        <w:rPr>
          <w:b/>
          <w:bCs/>
        </w:rPr>
        <w:t xml:space="preserve"> </w:t>
      </w:r>
      <w:r>
        <w:rPr>
          <w:b/>
          <w:bCs/>
        </w:rPr>
        <w:t xml:space="preserve">are</w:t>
      </w:r>
      <w:r>
        <w:rPr>
          <w:b/>
          <w:bCs/>
        </w:rPr>
        <w:t xml:space="preserve"> </w:t>
      </w:r>
      <w:r>
        <w:rPr>
          <w:b/>
          <w:bCs/>
        </w:rPr>
        <w:t xml:space="preserve">inconsistent</w:t>
      </w:r>
      <w:r>
        <w:rPr>
          <w:b/>
          <w:bCs/>
        </w:rPr>
        <w:t xml:space="preserve"> </w:t>
      </w:r>
      <w:r>
        <w:rPr>
          <w:b/>
          <w:bCs/>
        </w:rPr>
        <w:t xml:space="preserve">with</w:t>
      </w:r>
      <w:r>
        <w:rPr>
          <w:b/>
          <w:bCs/>
        </w:rPr>
        <w:t xml:space="preserve"> </w:t>
      </w:r>
      <w:r>
        <w:rPr>
          <w:b/>
          <w:bCs/>
          <w:i/>
          <w:iCs/>
        </w:rPr>
        <w:t xml:space="preserve">Bitterrooters</w:t>
      </w:r>
      <w:r>
        <w:rPr>
          <w:b/>
          <w:bCs/>
        </w:rPr>
        <w:t xml:space="preserve">.</w:t>
      </w:r>
    </w:p>
    <w:p>
      <w:pPr>
        <w:pStyle w:val="BodyText"/>
      </w:pPr>
      <w:r>
        <w:t xml:space="preserve">In their opening brief, the State agencies argued the district court’s broad analysis that agencies would have to examine impacts from fossil fuels extracted or transported through Montana—but not combusted in Montana—violated the Federal Commerce Clause and this Court’s decision in</w:t>
      </w:r>
      <w:r>
        <w:t xml:space="preserve"> </w:t>
      </w:r>
      <w:r>
        <w:rPr>
          <w:i/>
          <w:iCs/>
        </w:rPr>
        <w:t xml:space="preserve">Bitterrooters</w:t>
      </w:r>
      <w:r>
        <w:rPr>
          <w:i/>
          <w:iCs/>
        </w:rPr>
        <w:t xml:space="preserve"> </w:t>
      </w:r>
      <w:r>
        <w:rPr>
          <w:i/>
          <w:iCs/>
        </w:rPr>
        <w:t xml:space="preserve">for Planning, Inc. v. Mont. DEQ.</w:t>
      </w:r>
      <w:r>
        <w:t xml:space="preserve">, 2017 MT 222, 388 Mont. 453, 401 P.3d 712. Agency Opening Br. at 21–23. Held responds that the District Court was right to take such an expansive view of MEPA because agencies under MEPA are required to evaluate “all foreseeable impacts from such authorizations, including emissions of GHGs and attendant climate impacts.” Resp. Br. at 32.</w:t>
      </w:r>
    </w:p>
    <w:p>
      <w:pPr>
        <w:pStyle w:val="BodyText"/>
      </w:pPr>
      <w:r>
        <w:t xml:space="preserve">Held misunderstands the scope of MEPA review described in</w:t>
      </w:r>
      <w:r>
        <w:t xml:space="preserve"> </w:t>
      </w:r>
      <w:r>
        <w:rPr>
          <w:i/>
          <w:iCs/>
        </w:rPr>
        <w:t xml:space="preserve">Bitterrooters</w:t>
      </w:r>
      <w:r>
        <w:t xml:space="preserve">.</w:t>
      </w:r>
      <w:r>
        <w:t xml:space="preserve"> </w:t>
      </w:r>
      <w:r>
        <w:rPr>
          <w:i/>
          <w:iCs/>
        </w:rPr>
        <w:t xml:space="preserve">Id.</w:t>
      </w:r>
      <w:r>
        <w:t xml:space="preserve"> </w:t>
      </w:r>
      <w:r>
        <w:t xml:space="preserve">at 31–33. In</w:t>
      </w:r>
      <w:r>
        <w:t xml:space="preserve"> </w:t>
      </w:r>
      <w:r>
        <w:rPr>
          <w:i/>
          <w:iCs/>
        </w:rPr>
        <w:t xml:space="preserve">Bitterrooters</w:t>
      </w:r>
      <w:r>
        <w:t xml:space="preserve">, this Court held that MEPA requires agencies to review “an environmental effect only if the agency can prevent the effect through the lawful exercise of its independent authority.”</w:t>
      </w:r>
      <w:r>
        <w:t xml:space="preserve"> </w:t>
      </w:r>
      <w:r>
        <w:rPr>
          <w:i/>
          <w:iCs/>
        </w:rPr>
        <w:t xml:space="preserve">Id.</w:t>
      </w:r>
      <w:r>
        <w:t xml:space="preserve"> </w:t>
      </w:r>
      <w:r>
        <w:t xml:space="preserve">¶ 33. MEPA does not require “a state agency to consider environmental impacts it has no authority to lawfully prevent,” because that “would not serve MEPA’s purposes of ensuring that agencies and the interested public have sufficient information regarding relevant environmental impacts to inform the lawful exercise of agency authority.”</w:t>
      </w:r>
      <w:r>
        <w:t xml:space="preserve"> </w:t>
      </w:r>
      <w:r>
        <w:rPr>
          <w:i/>
          <w:iCs/>
        </w:rPr>
        <w:t xml:space="preserve">Id.</w:t>
      </w:r>
      <w:r>
        <w:t xml:space="preserve"> </w:t>
      </w:r>
      <w:r>
        <w:t xml:space="preserve">¶ 33.</w:t>
      </w:r>
    </w:p>
    <w:p>
      <w:pPr>
        <w:pStyle w:val="BodyTextNote"/>
      </w:pPr>
      <w:r>
        <w:rPr>
          <w:i/>
          <w:iCs/>
        </w:rPr>
        <w:t xml:space="preserve">Bitterrooters</w:t>
      </w:r>
      <w:r>
        <w:t xml:space="preserve"> </w:t>
      </w:r>
      <w:r>
        <w:t xml:space="preserve">teaches that State agencies are not required to evaluate GHG emissions from fossil fuels transported or extracted in Montana because regulating the combustion of these fossil fuels exceeds “the lawful exercise of [the State agencies’] independent authority.”</w:t>
      </w:r>
      <w:r>
        <w:t xml:space="preserve"> </w:t>
      </w:r>
      <w:r>
        <w:rPr>
          <w:i/>
          <w:iCs/>
        </w:rPr>
        <w:t xml:space="preserve">Id.</w:t>
      </w:r>
      <w:r>
        <w:t xml:space="preserve"> </w:t>
      </w:r>
      <w:r>
        <w:t xml:space="preserve">¶ 33. While Plaintiffs and the District Court blame state agencies for emissions from combustion of fossil fuels that occur in other states, Resp. Br. 34–35, the Federal Commerce Clause does not allow Montana agencies to regulate beyond state borders.</w:t>
      </w:r>
      <w:r>
        <w:t xml:space="preserve"> </w:t>
      </w:r>
      <w:r>
        <w:rPr>
          <w:i/>
          <w:iCs/>
        </w:rPr>
        <w:t xml:space="preserve">See</w:t>
      </w:r>
      <w:r>
        <w:t xml:space="preserve"> </w:t>
      </w:r>
      <w:r>
        <w:t xml:space="preserve">Agency Br. 21–22;</w:t>
      </w:r>
      <w:r>
        <w:t xml:space="preserve"> </w:t>
      </w:r>
      <w:r>
        <w:rPr>
          <w:i/>
          <w:iCs/>
        </w:rPr>
        <w:t xml:space="preserve">Healy</w:t>
      </w:r>
      <w:r>
        <w:rPr>
          <w:i/>
          <w:iCs/>
        </w:rPr>
        <w:t xml:space="preserve"> </w:t>
      </w:r>
      <w:r>
        <w:rPr>
          <w:i/>
          <w:iCs/>
        </w:rPr>
        <w:t xml:space="preserve">v. Beer Inst.</w:t>
      </w:r>
      <w:r>
        <w:t xml:space="preserve">, 491 U.S. 324, 336 (1989);</w:t>
      </w:r>
      <w:r>
        <w:t xml:space="preserve"> </w:t>
      </w:r>
      <w:r>
        <w:rPr>
          <w:i/>
          <w:iCs/>
        </w:rPr>
        <w:t xml:space="preserve">Brown-Forman</w:t>
      </w:r>
      <w:r>
        <w:rPr>
          <w:i/>
          <w:iCs/>
        </w:rPr>
        <w:t xml:space="preserve"> </w:t>
      </w:r>
      <w:r>
        <w:rPr>
          <w:i/>
          <w:iCs/>
        </w:rPr>
        <w:t xml:space="preserve">Distillers Corp. v. New York State Liquor Auth.</w:t>
      </w:r>
      <w:r>
        <w:t xml:space="preserve">, 476 U.S. 573, 582 (1986).</w:t>
      </w:r>
      <w:r>
        <w:rPr>
          <w:rStyle w:val="FootnoteReference"/>
        </w:rPr>
        <w:footnoteReference w:id="12"/>
      </w:r>
      <w:r>
        <w:t xml:space="preserve"> </w:t>
      </w:r>
      <w:r>
        <w:t xml:space="preserve">Thus, under</w:t>
      </w:r>
      <w:r>
        <w:t xml:space="preserve"> </w:t>
      </w:r>
      <w:r>
        <w:rPr>
          <w:i/>
          <w:iCs/>
        </w:rPr>
        <w:t xml:space="preserve">Bitterrooters</w:t>
      </w:r>
      <w:r>
        <w:t xml:space="preserve">, even if section 75</w:t>
      </w:r>
      <w:r>
        <w:noBreakHyphen/>
      </w:r>
      <w:r>
        <w:t xml:space="preserve">1</w:t>
      </w:r>
      <w:r>
        <w:noBreakHyphen/>
      </w:r>
      <w:r>
        <w:t xml:space="preserve">201(2)⁠(a)</w:t>
      </w:r>
      <w:r>
        <w:t xml:space="preserve"> </w:t>
      </w:r>
      <w:r>
        <w:t xml:space="preserve">is enjoined, MEPA still will not require agencies to analyze downstream GHG emissions they have no authority to prevent.</w:t>
      </w:r>
      <w:r>
        <w:t xml:space="preserve"> </w:t>
      </w:r>
      <w:r>
        <w:rPr>
          <w:i/>
          <w:iCs/>
        </w:rPr>
        <w:t xml:space="preserve">Bitterrooters</w:t>
      </w:r>
      <w:r>
        <w:t xml:space="preserve">, ¶ 33, and Held’s injuries still will not be remedied.</w:t>
      </w:r>
    </w:p>
    <w:p>
      <w:pPr>
        <w:pStyle w:val="BodyTextNote"/>
      </w:pPr>
      <w:r>
        <w:t xml:space="preserve">Held’s reliance on NEPA cases holding that federal agencies must consider GHG emissions is misplaced. Resp. Br. 34, 35, 36, 45, and 52 (citing</w:t>
      </w:r>
      <w:r>
        <w:t xml:space="preserve"> </w:t>
      </w:r>
      <w:r>
        <w:rPr>
          <w:i/>
          <w:iCs/>
        </w:rPr>
        <w:t xml:space="preserve">Ctr. for Biological Diversity</w:t>
      </w:r>
      <w:r>
        <w:rPr>
          <w:i/>
          <w:iCs/>
        </w:rPr>
        <w:t xml:space="preserve"> </w:t>
      </w:r>
      <w:r>
        <w:rPr>
          <w:i/>
          <w:iCs/>
        </w:rPr>
        <w:t xml:space="preserve">v. NHTSA</w:t>
      </w:r>
      <w:r>
        <w:t xml:space="preserve">, 538 F.3d 1172 (9th Cir. 2008) and</w:t>
      </w:r>
      <w:r>
        <w:t xml:space="preserve"> </w:t>
      </w:r>
      <w:r>
        <w:rPr>
          <w:i/>
          <w:iCs/>
        </w:rPr>
        <w:t xml:space="preserve">350 Mont.</w:t>
      </w:r>
      <w:r>
        <w:rPr>
          <w:i/>
          <w:iCs/>
        </w:rPr>
        <w:t xml:space="preserve"> </w:t>
      </w:r>
      <w:r>
        <w:rPr>
          <w:i/>
          <w:iCs/>
        </w:rPr>
        <w:t xml:space="preserve">v. Haaland</w:t>
      </w:r>
      <w:r>
        <w:t xml:space="preserve">, 50 F.4th 1254 (9th Cir. 2022)). MEPA is not NEPA—federal agencies have authority to regulate interstate environmental impacts, because Congress can give them such authority under the Commerce Clause.</w:t>
      </w:r>
      <w:r>
        <w:t xml:space="preserve"> </w:t>
      </w:r>
      <w:r>
        <w:rPr>
          <w:i/>
          <w:iCs/>
        </w:rPr>
        <w:t xml:space="preserve">See, e.g.</w:t>
      </w:r>
      <w:r>
        <w:t xml:space="preserve">,</w:t>
      </w:r>
      <w:r>
        <w:t xml:space="preserve"> </w:t>
      </w:r>
      <w:r>
        <w:rPr>
          <w:i/>
          <w:iCs/>
        </w:rPr>
        <w:t xml:space="preserve">Preseault</w:t>
      </w:r>
      <w:r>
        <w:rPr>
          <w:i/>
          <w:iCs/>
        </w:rPr>
        <w:t xml:space="preserve"> </w:t>
      </w:r>
      <w:r>
        <w:rPr>
          <w:i/>
          <w:iCs/>
        </w:rPr>
        <w:t xml:space="preserve">v. I.C.C.</w:t>
      </w:r>
      <w:r>
        <w:t xml:space="preserve">, 494 U.S. 1, 17–19 (1990). But Montana agencies may not regulate activity beyond the State’s borders.</w:t>
      </w:r>
      <w:r>
        <w:t xml:space="preserve"> </w:t>
      </w:r>
      <w:r>
        <w:rPr>
          <w:i/>
          <w:iCs/>
        </w:rPr>
        <w:t xml:space="preserve">Healy</w:t>
      </w:r>
      <w:r>
        <w:t xml:space="preserve">, 491 U.S. at 336.</w:t>
      </w:r>
      <w:r>
        <w:rPr>
          <w:rStyle w:val="FootnoteReference"/>
        </w:rPr>
        <w:footnoteReference w:id="13"/>
      </w:r>
    </w:p>
    <w:p>
      <w:pPr>
        <w:keepNext/>
        <w:keepLines/>
        <w:spacing w:before="336" w:after="224" w:line="322"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met</w:t>
      </w:r>
      <w:r>
        <w:rPr>
          <w:b/>
          <w:bCs/>
        </w:rPr>
        <w:t xml:space="preserve"> </w:t>
      </w:r>
      <w:r>
        <w:rPr>
          <w:b/>
          <w:bCs/>
        </w:rPr>
        <w:t xml:space="preserve">the</w:t>
      </w:r>
      <w:r>
        <w:rPr>
          <w:b/>
          <w:bCs/>
        </w:rPr>
        <w:t xml:space="preserve"> </w:t>
      </w:r>
      <w:r>
        <w:rPr>
          <w:b/>
          <w:bCs/>
        </w:rPr>
        <w:t xml:space="preserve">exacting</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facially</w:t>
      </w:r>
      <w:r>
        <w:rPr>
          <w:b/>
          <w:bCs/>
        </w:rPr>
        <w:t xml:space="preserve"> </w:t>
      </w:r>
      <w:r>
        <w:rPr>
          <w:b/>
          <w:bCs/>
        </w:rPr>
        <w:t xml:space="preserve">challenging</w:t>
      </w:r>
      <w:r>
        <w:rPr>
          <w:b/>
          <w:bCs/>
        </w:rPr>
        <w:t xml:space="preserve"> </w:t>
      </w:r>
      <w:r>
        <w:rPr>
          <w:b/>
          <w:bCs/>
        </w:rPr>
        <w:t xml:space="preserve">section</w:t>
      </w:r>
      <w:r>
        <w:rPr>
          <w:b/>
          <w:bCs/>
        </w:rPr>
        <w:t xml:space="preserve"> </w:t>
      </w:r>
      <w:r>
        <w:rPr>
          <w:b/>
          <w:bCs/>
        </w:rPr>
        <w:t xml:space="preserve">75</w:t>
        <w:noBreakHyphen/>
        <w:t xml:space="preserve">1</w:t>
        <w:noBreakHyphen/>
        <w:t xml:space="preserve">201(2)⁠(a).</w:t>
      </w:r>
    </w:p>
    <w:p>
      <w:pPr>
        <w:pStyle w:val="BodyText"/>
      </w:pPr>
      <w:r>
        <w:t xml:space="preserve">Should this Court reach the merits, Held failed to meet her burden to show section 75</w:t>
      </w:r>
      <w:r>
        <w:noBreakHyphen/>
      </w:r>
      <w:r>
        <w:t xml:space="preserve">1</w:t>
      </w:r>
      <w:r>
        <w:noBreakHyphen/>
      </w:r>
      <w:r>
        <w:t xml:space="preserve">201(2)⁠(a)</w:t>
      </w:r>
      <w:r>
        <w:t xml:space="preserve"> </w:t>
      </w:r>
      <w:r>
        <w:t xml:space="preserve">unconstitutional in every application.</w:t>
      </w:r>
      <w:r>
        <w:t xml:space="preserve"> </w:t>
      </w:r>
      <w:r>
        <w:rPr>
          <w:i/>
          <w:iCs/>
        </w:rPr>
        <w:t xml:space="preserve">MCIA</w:t>
      </w:r>
      <w:r>
        <w:t xml:space="preserve">, ¶ 14. Instead of challenging a specific MEPA review or substantive permitting decision, Held undertook the “a difficult task” of attempting to show there is “no set of circumstances exists under which [section 75</w:t>
      </w:r>
      <w:r>
        <w:noBreakHyphen/>
      </w:r>
      <w:r>
        <w:t xml:space="preserve">1</w:t>
      </w:r>
      <w:r>
        <w:noBreakHyphen/>
      </w:r>
      <w:r>
        <w:t xml:space="preserve">201(2)⁠(a)]</w:t>
      </w:r>
      <w:r>
        <w:t xml:space="preserve"> </w:t>
      </w:r>
      <w:r>
        <w:t xml:space="preserve">would be valid.”</w:t>
      </w:r>
      <w:r>
        <w:t xml:space="preserve"> </w:t>
      </w:r>
      <w:r>
        <w:rPr>
          <w:i/>
          <w:iCs/>
        </w:rPr>
        <w:t xml:space="preserve">City of Missoula</w:t>
      </w:r>
      <w:r>
        <w:rPr>
          <w:i/>
          <w:iCs/>
        </w:rPr>
        <w:t xml:space="preserve"> </w:t>
      </w:r>
      <w:r>
        <w:rPr>
          <w:i/>
          <w:iCs/>
        </w:rPr>
        <w:t xml:space="preserve">v. Mountain Water Co.</w:t>
      </w:r>
      <w:r>
        <w:t xml:space="preserve">, 2018 MT 139, ¶ 21, 391 Mont. 422, 419 P.3d 685 (cleaned up).</w:t>
      </w:r>
    </w:p>
    <w:p>
      <w:pPr>
        <w:pStyle w:val="BodyTextNote"/>
      </w:pPr>
      <w:r>
        <w:t xml:space="preserve">Held fails to meet this exacting burden because she overlooks that the 2023 amendments to MEPA allow state agencies to analyze GHG emissions during MEPA reviews “conducted jointly by a state agency and a federal agency to the extent the review is required by the federal agency.” § 75-⁠1-⁠201(2)⁠(b)⁠(i)</w:t>
      </w:r>
      <w:r>
        <w:t xml:space="preserve"> </w:t>
      </w:r>
      <w:r>
        <w:t xml:space="preserve">(West 2023). Current guidance from the federal Council on Environmental Quality directs federal agencies to analyze GHG emissions and climate change during NEPA reviews.</w:t>
      </w:r>
      <w:r>
        <w:t xml:space="preserve"> </w:t>
      </w:r>
      <w:r>
        <w:rPr>
          <w:i/>
          <w:iCs/>
        </w:rPr>
        <w:t xml:space="preserve">See National Environmental Policy Act Guidance on Consideration of Greenhouse Gas Emissions and Climate Change</w:t>
      </w:r>
      <w:r>
        <w:t xml:space="preserve">, Council on Envt’l Quality, 88 Fed. Reg. 1196–1212 (Jan. 9, 2023). Thus, even if the Constitution requires MEPA reviews to incorporate GHG analysis, the 2023 amendments to MEPA expressly allow such analysis in many circumstances.</w:t>
      </w:r>
      <w:r>
        <w:rPr>
          <w:rStyle w:val="FootnoteReference"/>
        </w:rPr>
        <w:footnoteReference w:id="14"/>
      </w:r>
      <w:r>
        <w:t xml:space="preserve"> </w:t>
      </w:r>
      <w:r>
        <w:t xml:space="preserve">Held does not grapple with section 2(b) and has therefore failed to show the statute she challenges is facially unconstitutional.</w:t>
      </w:r>
      <w:r>
        <w:t xml:space="preserve"> </w:t>
      </w:r>
      <w:r>
        <w:rPr>
          <w:i/>
          <w:iCs/>
        </w:rPr>
        <w:t xml:space="preserve">City of Missoula</w:t>
      </w:r>
      <w:r>
        <w:t xml:space="preserve">, ¶ 21;</w:t>
      </w:r>
      <w:r>
        <w:t xml:space="preserve"> </w:t>
      </w:r>
      <w:r>
        <w:rPr>
          <w:i/>
          <w:iCs/>
        </w:rPr>
        <w:t xml:space="preserve">MCIA</w:t>
      </w:r>
      <w:r>
        <w:t xml:space="preserve">, ¶ 14.</w:t>
      </w:r>
    </w:p>
    <w:p>
      <w:pPr>
        <w:keepNext/>
        <w:keepLines/>
        <w:spacing w:before="336" w:after="224" w:line="322" w:lineRule="exact"/>
        <w:ind w:left="720" w:hanging="720"/>
        <w:jc w:val="left"/>
      </w:pPr>
      <w:r>
        <w:rPr>
          <w:b/>
          <w:bCs/>
        </w:rPr>
        <w:t xml:space="preserve">IV.</w:t>
      </w:r>
      <w:r>
        <w:rPr>
          <w:b/>
          <w:bCs/>
        </w:rPr>
        <w:t xml:space="preserve"> </w:t>
      </w:r>
      <w:r>
        <w:rPr>
          <w:b/>
          <w:bCs/>
        </w:rPr>
        <w:t xml:space="preserve">At</w:t>
      </w:r>
      <w:r>
        <w:rPr>
          <w:b/>
          <w:bCs/>
        </w:rPr>
        <w:t xml:space="preserve"> </w:t>
      </w:r>
      <w:r>
        <w:rPr>
          <w:b/>
          <w:bCs/>
        </w:rPr>
        <w:t xml:space="preserve">a</w:t>
      </w:r>
      <w:r>
        <w:rPr>
          <w:b/>
          <w:bCs/>
        </w:rPr>
        <w:t xml:space="preserve"> </w:t>
      </w:r>
      <w:r>
        <w:rPr>
          <w:b/>
          <w:bCs/>
        </w:rPr>
        <w:t xml:space="preserve">minimum,</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lacked</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affirmatively</w:t>
      </w:r>
      <w:r>
        <w:rPr>
          <w:b/>
          <w:bCs/>
        </w:rPr>
        <w:t xml:space="preserve"> </w:t>
      </w:r>
      <w:r>
        <w:rPr>
          <w:b/>
          <w:bCs/>
        </w:rPr>
        <w:t xml:space="preserve">require</w:t>
      </w:r>
      <w:r>
        <w:rPr>
          <w:b/>
          <w:bCs/>
        </w:rPr>
        <w:t xml:space="preserve"> </w:t>
      </w:r>
      <w:r>
        <w:rPr>
          <w:b/>
          <w:bCs/>
        </w:rPr>
        <w:t xml:space="preserve">agencies</w:t>
      </w:r>
      <w:r>
        <w:rPr>
          <w:b/>
          <w:bCs/>
        </w:rPr>
        <w:t xml:space="preserve"> </w:t>
      </w:r>
      <w:r>
        <w:rPr>
          <w:b/>
          <w:bCs/>
        </w:rPr>
        <w:t xml:space="preserve">to</w:t>
      </w:r>
      <w:r>
        <w:rPr>
          <w:b/>
          <w:bCs/>
        </w:rPr>
        <w:t xml:space="preserve"> </w:t>
      </w:r>
      <w:r>
        <w:rPr>
          <w:b/>
          <w:bCs/>
        </w:rPr>
        <w:t xml:space="preserve">analyze</w:t>
      </w:r>
      <w:r>
        <w:rPr>
          <w:b/>
          <w:bCs/>
        </w:rPr>
        <w:t xml:space="preserve"> </w:t>
      </w:r>
      <w:r>
        <w:rPr>
          <w:b/>
          <w:bCs/>
        </w:rPr>
        <w:t xml:space="preserve">GHG</w:t>
      </w:r>
      <w:r>
        <w:rPr>
          <w:b/>
          <w:bCs/>
        </w:rPr>
        <w:t xml:space="preserve"> </w:t>
      </w:r>
      <w:r>
        <w:rPr>
          <w:b/>
          <w:bCs/>
        </w:rPr>
        <w:t xml:space="preserve">emissions</w:t>
      </w:r>
      <w:r>
        <w:rPr>
          <w:b/>
          <w:bCs/>
        </w:rPr>
        <w:t xml:space="preserve"> </w:t>
      </w:r>
      <w:r>
        <w:rPr>
          <w:b/>
          <w:bCs/>
        </w:rPr>
        <w:t xml:space="preserve">in</w:t>
      </w:r>
      <w:r>
        <w:rPr>
          <w:b/>
          <w:bCs/>
        </w:rPr>
        <w:t xml:space="preserve"> </w:t>
      </w:r>
      <w:r>
        <w:rPr>
          <w:b/>
          <w:bCs/>
        </w:rPr>
        <w:t xml:space="preserve">every</w:t>
      </w:r>
      <w:r>
        <w:rPr>
          <w:b/>
          <w:bCs/>
        </w:rPr>
        <w:t xml:space="preserve"> </w:t>
      </w:r>
      <w:r>
        <w:rPr>
          <w:b/>
          <w:bCs/>
        </w:rPr>
        <w:t xml:space="preserve">MEPA</w:t>
      </w:r>
      <w:r>
        <w:rPr>
          <w:b/>
          <w:bCs/>
        </w:rPr>
        <w:t xml:space="preserve"> </w:t>
      </w:r>
      <w:r>
        <w:rPr>
          <w:b/>
          <w:bCs/>
        </w:rPr>
        <w:t xml:space="preserve">review.</w:t>
      </w:r>
    </w:p>
    <w:p>
      <w:pPr>
        <w:pStyle w:val="BodyText"/>
      </w:pPr>
      <w:r>
        <w:t xml:space="preserve">Finally, Held continues to suggest that the District Court’s Order did not just strike section 75</w:t>
      </w:r>
      <w:r>
        <w:noBreakHyphen/>
      </w:r>
      <w:r>
        <w:t xml:space="preserve">1</w:t>
      </w:r>
      <w:r>
        <w:noBreakHyphen/>
      </w:r>
      <w:r>
        <w:t xml:space="preserve">201(2)⁠(a),</w:t>
      </w:r>
      <w:r>
        <w:t xml:space="preserve"> </w:t>
      </w:r>
      <w:r>
        <w:t xml:space="preserve">but also rewrote MEPA to require state agencies to consider GHG emissions in every MEPA review.</w:t>
      </w:r>
      <w:r>
        <w:t xml:space="preserve"> </w:t>
      </w:r>
      <w:r>
        <w:rPr>
          <w:i/>
          <w:iCs/>
        </w:rPr>
        <w:t xml:space="preserve">See</w:t>
      </w:r>
      <w:r>
        <w:t xml:space="preserve"> </w:t>
      </w:r>
      <w:r>
        <w:t xml:space="preserve">Resp. Br. 43 (describing the District Court’s ruling as “clarifying that State Agencies can, and must, evaluate GHG emissions and climate impacts during environmental reviews”) (emphasis added);</w:t>
      </w:r>
      <w:r>
        <w:t xml:space="preserve"> </w:t>
      </w:r>
      <w:r>
        <w:rPr>
          <w:i/>
          <w:iCs/>
        </w:rPr>
        <w:t xml:space="preserve">id.</w:t>
      </w:r>
      <w:r>
        <w:t xml:space="preserve">, 44 (claiming that the State now has an “obligation to analyze GHG pollution and climate impacts in Montana under MEPA”) (emphasis added).</w:t>
      </w:r>
    </w:p>
    <w:p>
      <w:pPr>
        <w:pStyle w:val="BodyText"/>
      </w:pPr>
      <w:r>
        <w:t xml:space="preserve">If Held is right, then the District Court violated the separation of powers. Held evidently thinks this is no big deal, Resp. Br. 43–46, but our Constitution says otherwise.</w:t>
      </w:r>
    </w:p>
    <w:p>
      <w:pPr>
        <w:pStyle w:val="BodyText"/>
      </w:pPr>
      <w:r>
        <w:t xml:space="preserve">The Constitution divides the “legislative, executive, and judicial” powers and bars anyone “charged with the exercise of power properly belonging to one branch” from exercising “any power properly belonging to either of the others[.]” Mont. Const. art. III,</w:t>
      </w:r>
      <w:r>
        <w:t xml:space="preserve"> </w:t>
      </w:r>
      <w:r>
        <w:t xml:space="preserve">§ 1. Within this system, courts get to review the constitutionality of laws in the context of a justiciable case controversy, but only the Legislature can make law. Mont. Const. art. V,</w:t>
      </w:r>
      <w:r>
        <w:t xml:space="preserve"> </w:t>
      </w:r>
      <w:r>
        <w:t xml:space="preserve">§ 1 (vesting the legislature with exclusive legislative power);</w:t>
      </w:r>
      <w:r>
        <w:t xml:space="preserve"> </w:t>
      </w:r>
      <w:r>
        <w:rPr>
          <w:i/>
          <w:iCs/>
        </w:rPr>
        <w:t xml:space="preserve">see also Legislative Power</w:t>
      </w:r>
      <w:r>
        <w:t xml:space="preserve">, Black’s Law Dictionary, (11th ed. 2019) (“a legislative body’s exclusive authority to make, amend, and repeal laws”).</w:t>
      </w:r>
    </w:p>
    <w:p>
      <w:pPr>
        <w:pStyle w:val="BodyText"/>
      </w:pPr>
      <w:r>
        <w:t xml:space="preserve">If Held’s expansive view of the District Court’s ruling is correct, the District Court transgressed these boundaries and crafted a statute in chambers to replace section 75</w:t>
      </w:r>
      <w:r>
        <w:noBreakHyphen/>
      </w:r>
      <w:r>
        <w:t xml:space="preserve">1</w:t>
      </w:r>
      <w:r>
        <w:noBreakHyphen/>
      </w:r>
      <w:r>
        <w:t xml:space="preserve">201(2)⁠(a),</w:t>
      </w:r>
      <w:r>
        <w:t xml:space="preserve"> </w:t>
      </w:r>
      <w:r>
        <w:t xml:space="preserve">despite assuring the parties that “the relief contemplated by the Court has always been limited to declaring [section 75</w:t>
      </w:r>
      <w:r>
        <w:noBreakHyphen/>
      </w:r>
      <w:r>
        <w:t xml:space="preserve">1</w:t>
      </w:r>
      <w:r>
        <w:noBreakHyphen/>
      </w:r>
      <w:r>
        <w:t xml:space="preserve">201(2)⁠(a)]</w:t>
      </w:r>
      <w:r>
        <w:t xml:space="preserve"> </w:t>
      </w:r>
      <w:r>
        <w:t xml:space="preserve">unconstitutional and enjoining [its] enforcement.” (Doc. 379 at 3</w:t>
      </w:r>
      <w:r>
        <w:noBreakHyphen/>
      </w:r>
      <w:r>
        <w:t xml:space="preserve">4). This Court should clarify that the District Court did not have power to invert the judgment of the Legislature and replace a section 75</w:t>
      </w:r>
      <w:r>
        <w:noBreakHyphen/>
      </w:r>
      <w:r>
        <w:t xml:space="preserve">1</w:t>
      </w:r>
      <w:r>
        <w:noBreakHyphen/>
      </w:r>
      <w:r>
        <w:t xml:space="preserve">201(2)⁠(a)</w:t>
      </w:r>
      <w:r>
        <w:t xml:space="preserve"> </w:t>
      </w:r>
      <w:r>
        <w:t xml:space="preserve">with a judicial mandate requiring what the Legislature previously forbade.</w:t>
      </w:r>
      <w:r>
        <w:t xml:space="preserve"> </w:t>
      </w:r>
      <w:r>
        <w:rPr>
          <w:i/>
          <w:iCs/>
        </w:rPr>
        <w:t xml:space="preserve">See Brown</w:t>
      </w:r>
      <w:r>
        <w:t xml:space="preserve">, 902 F.3d</w:t>
      </w:r>
      <w:r>
        <w:t xml:space="preserve"> </w:t>
      </w:r>
      <w:r>
        <w:t xml:space="preserve">at 1087 (“The absence of a law … has never been held to constitute a substantive result subject to judicial review”) (cleaned up).</w:t>
      </w:r>
    </w:p>
    <w:p>
      <w:pPr>
        <w:keepNext/>
        <w:keepLines/>
        <w:spacing w:before="448" w:after="336" w:line="322" w:lineRule="exact"/>
        <w:ind w:left="0" w:firstLine="0"/>
        <w:jc w:val="center"/>
      </w:pPr>
      <w:r>
        <w:rPr>
          <w:b/>
          <w:bCs/>
        </w:rPr>
        <w:t xml:space="preserve">CONCLUSION</w:t>
      </w:r>
    </w:p>
    <w:p>
      <w:pPr>
        <w:pStyle w:val="BodyText"/>
      </w:pPr>
      <w:r>
        <w:t xml:space="preserve">This Court should reverse the District Court and remand this case with instructions to dismiss Held’s complaint. If the Court determines to strike section 75</w:t>
      </w:r>
      <w:r>
        <w:noBreakHyphen/>
      </w:r>
      <w:r>
        <w:t xml:space="preserve">1</w:t>
      </w:r>
      <w:r>
        <w:noBreakHyphen/>
      </w:r>
      <w:r>
        <w:t xml:space="preserve">201(2)⁠(a),</w:t>
      </w:r>
      <w:r>
        <w:t xml:space="preserve"> </w:t>
      </w:r>
      <w:r>
        <w:t xml:space="preserve">it should clarify that the District Court lacked power to order state agencies to analyze GHG emissions in every MEPA review.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26th</w:t>
            </w:r>
            <w:r>
              <w:t xml:space="preserve"> </w:t>
            </w:r>
            <w:r>
              <w:t xml:space="preserve">day</w:t>
            </w:r>
            <w:r>
              <w:t xml:space="preserve"> </w:t>
            </w:r>
            <w:r>
              <w:t xml:space="preserve">of</w:t>
            </w:r>
            <w:r>
              <w:t xml:space="preserve"> </w:t>
            </w:r>
            <w:r>
              <w:t xml:space="preserve">April,</w:t>
            </w:r>
            <w:r>
              <w:t xml:space="preserve"> </w:t>
            </w:r>
            <w:r>
              <w:t xml:space="preserve">2024.</w:t>
            </w:r>
          </w:p>
          <w:p>
            <w:pPr>
              <w:spacing w:before="112"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11</w:t>
            </w:r>
            <w:r>
              <w:t xml:space="preserve"> </w:t>
            </w:r>
            <w:r>
              <w:t xml:space="preserve">of</w:t>
            </w:r>
            <w:r>
              <w:t xml:space="preserve"> </w:t>
            </w:r>
            <w:r>
              <w:t xml:space="preserve">the</w:t>
            </w:r>
            <w:r>
              <w:t xml:space="preserve"> </w:t>
            </w:r>
            <w:r>
              <w:t xml:space="preserve">Montana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is</w:t>
            </w:r>
            <w:r>
              <w:t xml:space="preserve"> </w:t>
            </w:r>
            <w:r>
              <w:t xml:space="preserve">printed</w:t>
            </w:r>
            <w:r>
              <w:t xml:space="preserve"> </w:t>
            </w:r>
            <w:r>
              <w:t xml:space="preserve">with</w:t>
            </w:r>
            <w:r>
              <w:t xml:space="preserve"> </w:t>
            </w:r>
            <w:r>
              <w:t xml:space="preserve">a</w:t>
            </w:r>
            <w:r>
              <w:t xml:space="preserve"> </w:t>
            </w:r>
            <w:r>
              <w:t xml:space="preserve">proportionately</w:t>
            </w:r>
            <w:r>
              <w:t xml:space="preserve"> </w:t>
            </w:r>
            <w:r>
              <w:t xml:space="preserve">spaced</w:t>
            </w:r>
            <w:r>
              <w:t xml:space="preserve"> </w:t>
            </w:r>
            <w:r>
              <w:t xml:space="preserve">Times</w:t>
            </w:r>
            <w:r>
              <w:t xml:space="preserve"> </w:t>
            </w:r>
            <w:r>
              <w:t xml:space="preserve">New</w:t>
            </w:r>
            <w:r>
              <w:t xml:space="preserve"> </w:t>
            </w:r>
            <w:r>
              <w:t xml:space="preserve">Roman</w:t>
            </w:r>
            <w:r>
              <w:t xml:space="preserve"> </w:t>
            </w:r>
            <w:r>
              <w:t xml:space="preserve">text</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is</w:t>
            </w:r>
            <w:r>
              <w:t xml:space="preserve"> </w:t>
            </w:r>
            <w:r>
              <w:t xml:space="preserve">double</w:t>
            </w:r>
            <w:r>
              <w:t xml:space="preserve"> </w:t>
            </w:r>
            <w:r>
              <w:t xml:space="preserv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for</w:t>
            </w:r>
            <w:r>
              <w:t xml:space="preserve"> </w:t>
            </w:r>
            <w:r>
              <w:t xml:space="preserve">indented</w:t>
            </w:r>
            <w:r>
              <w:t xml:space="preserve"> </w:t>
            </w:r>
            <w:r>
              <w:t xml:space="preserve">material;</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is</w:t>
            </w:r>
            <w:r>
              <w:t xml:space="preserve"> </w:t>
            </w:r>
            <w:r>
              <w:t xml:space="preserve">4890,</w:t>
            </w:r>
            <w:r>
              <w:t xml:space="preserve"> </w:t>
            </w:r>
            <w:r>
              <w:t xml:space="preserve">excluding</w:t>
            </w:r>
            <w:r>
              <w:t xml:space="preserve"> </w:t>
            </w:r>
            <w:r>
              <w:t xml:space="preserve">those</w:t>
            </w:r>
            <w:r>
              <w:t xml:space="preserve"> </w:t>
            </w:r>
            <w:r>
              <w:t xml:space="preserve">sections</w:t>
            </w:r>
            <w:r>
              <w:t xml:space="preserve"> </w:t>
            </w:r>
            <w:r>
              <w:t xml:space="preserve">exempted</w:t>
            </w:r>
            <w:r>
              <w:t xml:space="preserve"> </w:t>
            </w:r>
            <w:r>
              <w:t xml:space="preserve">under</w:t>
            </w:r>
            <w:r>
              <w:t xml:space="preserve"> </w:t>
            </w:r>
            <w:r>
              <w:t xml:space="preserve">Rule</w:t>
            </w:r>
            <w:r>
              <w:t xml:space="preserve"> </w:t>
            </w:r>
            <w:r>
              <w:t xml:space="preserve">11(4)⁠(d).</w:t>
            </w:r>
          </w:p>
          <w:p>
            <w:pPr>
              <w:spacing w:before="224" w:after="224" w:line="322" w:lineRule="exact"/>
              <w:ind w:left="4608" w:firstLine="0"/>
              <w:jc w:val="left"/>
            </w:pPr>
            <w:r>
              <w:rPr>
                <w:b/>
                <w:bCs/>
              </w:rPr>
              <w:t xml:space="preserve">LANDMARK</w:t>
            </w:r>
            <w:r>
              <w:rPr>
                <w:b/>
                <w:bCs/>
              </w:rPr>
              <w:t xml:space="preserve"> </w:t>
            </w:r>
            <w:r>
              <w:rPr>
                <w:b/>
                <w:bCs/>
              </w:rPr>
              <w:t xml:space="preserve">LAW</w:t>
            </w:r>
            <w:r>
              <w:rPr>
                <w:b/>
                <w:bCs/>
              </w:rPr>
              <w:t xml:space="preserve"> </w:t>
            </w:r>
            <w:r>
              <w:rPr>
                <w:b/>
                <w:bCs/>
              </w:rPr>
              <w:t xml:space="preserve">PLLC</w:t>
            </w:r>
          </w:p>
          <w:p>
            <w:pPr>
              <w:spacing w:before="252" w:after="0" w:line="322" w:lineRule="exact"/>
              <w:ind w:left="4608" w:firstLine="0"/>
              <w:jc w:val="left"/>
            </w:pPr>
            <w:r>
              <w:rPr>
                <w:u w:val="single"/>
              </w:rPr>
              <w:t xml:space="preserve">/s/</w:t>
            </w:r>
            <w:r>
              <w:rPr>
                <w:u w:val="single"/>
              </w:rPr>
              <w:t xml:space="preserve"> </w:t>
            </w:r>
            <w:r>
              <w:rPr>
                <w:i/>
                <w:iCs/>
                <w:u w:val="single"/>
              </w:rPr>
              <w:t xml:space="preserve">Dale</w:t>
            </w:r>
            <w:r>
              <w:rPr>
                <w:i/>
                <w:iCs/>
                <w:u w:val="single"/>
              </w:rPr>
              <w:t xml:space="preserve"> </w:t>
            </w:r>
            <w:r>
              <w:rPr>
                <w:i/>
                <w:iCs/>
                <w:u w:val="single"/>
              </w:rPr>
              <w:t xml:space="preserve">Schowengerdt</w:t>
            </w:r>
          </w:p>
          <w:p>
            <w:pPr>
              <w:spacing w:before="0" w:after="0" w:line="322" w:lineRule="exact"/>
              <w:ind w:left="4608" w:firstLine="0"/>
              <w:jc w:val="left"/>
            </w:pPr>
            <w:r>
              <w:t xml:space="preserve">Dale</w:t>
            </w:r>
            <w:r>
              <w:t xml:space="preserve"> </w:t>
            </w:r>
            <w:r>
              <w:t xml:space="preserve">Schowengerdt</w:t>
            </w:r>
          </w:p>
          <w:p>
            <w:pPr>
              <w:spacing w:before="0" w:after="0" w:line="322" w:lineRule="exact"/>
              <w:ind w:left="4608" w:firstLine="0"/>
              <w:jc w:val="left"/>
            </w:pPr>
            <w:r>
              <w:t xml:space="preserve">Landmark</w:t>
            </w:r>
            <w:r>
              <w:t xml:space="preserve"> </w:t>
            </w:r>
            <w:r>
              <w:t xml:space="preserve">Law</w:t>
            </w:r>
            <w:r>
              <w:t xml:space="preserve"> </w:t>
            </w:r>
            <w:r>
              <w:t xml:space="preserve">PLLC</w:t>
            </w:r>
          </w:p>
          <w:p>
            <w:pPr>
              <w:spacing w:before="0" w:after="0" w:line="322" w:lineRule="exact"/>
              <w:ind w:left="4608" w:firstLine="0"/>
              <w:jc w:val="left"/>
            </w:pPr>
            <w:r>
              <w:t xml:space="preserve">7</w:t>
            </w:r>
            <w:r>
              <w:t xml:space="preserve"> </w:t>
            </w:r>
            <w:r>
              <w:t xml:space="preserve">West</w:t>
            </w:r>
            <w:r>
              <w:t xml:space="preserve"> </w:t>
            </w:r>
            <w:r>
              <w:t xml:space="preserve">6th</w:t>
            </w:r>
            <w:r>
              <w:t xml:space="preserve"> </w:t>
            </w:r>
            <w:r>
              <w:t xml:space="preserve">Ave.,</w:t>
            </w:r>
            <w:r>
              <w:t xml:space="preserve"> </w:t>
            </w:r>
            <w:r>
              <w:t xml:space="preserve">Suite</w:t>
            </w:r>
            <w:r>
              <w:t xml:space="preserve"> </w:t>
            </w:r>
            <w:r>
              <w:t xml:space="preserve">518</w:t>
            </w:r>
          </w:p>
          <w:p>
            <w:pPr>
              <w:spacing w:before="0" w:after="0" w:line="322" w:lineRule="exact"/>
              <w:ind w:left="4608" w:firstLine="0"/>
              <w:jc w:val="left"/>
            </w:pPr>
            <w:r>
              <w:t xml:space="preserve">Helena,</w:t>
            </w:r>
            <w:r>
              <w:t xml:space="preserve"> </w:t>
            </w:r>
            <w:r>
              <w:t xml:space="preserve">MT</w:t>
            </w:r>
            <w:r>
              <w:t xml:space="preserve"> </w:t>
            </w:r>
            <w:r>
              <w:t xml:space="preserve">59601</w:t>
            </w:r>
          </w:p>
          <w:p>
            <w:pPr>
              <w:spacing w:before="0" w:after="0" w:line="322" w:lineRule="exact"/>
              <w:ind w:left="4608" w:firstLine="0"/>
              <w:jc w:val="left"/>
            </w:pPr>
            <w:r>
              <w:t xml:space="preserve">406</w:t>
              <w:noBreakHyphen/>
              <w:t xml:space="preserve">457</w:t>
              <w:noBreakHyphen/>
              <w:t xml:space="preserve">5496</w:t>
            </w:r>
          </w:p>
          <w:p>
            <w:pPr>
              <w:spacing w:before="0" w:after="0" w:line="322" w:lineRule="exact"/>
              <w:ind w:left="4608" w:firstLine="0"/>
              <w:jc w:val="left"/>
            </w:pPr>
            <w:r>
              <w:t xml:space="preserve">dale@landmarklawpllc.com</w:t>
            </w:r>
          </w:p>
          <w:p>
            <w:pPr>
              <w:spacing w:before="252" w:after="0" w:line="322" w:lineRule="exact"/>
              <w:ind w:left="4608" w:firstLine="0"/>
              <w:jc w:val="left"/>
            </w:pPr>
            <w:r>
              <w:rPr>
                <w:u w:val="single"/>
              </w:rPr>
              <w:t xml:space="preserve">/s/</w:t>
            </w:r>
            <w:r>
              <w:rPr>
                <w:u w:val="single"/>
              </w:rPr>
              <w:t xml:space="preserve"> </w:t>
            </w:r>
            <w:r>
              <w:rPr>
                <w:i/>
                <w:iCs/>
                <w:u w:val="single"/>
              </w:rPr>
              <w:t xml:space="preserve">Lee</w:t>
            </w:r>
            <w:r>
              <w:rPr>
                <w:i/>
                <w:iCs/>
                <w:u w:val="single"/>
              </w:rPr>
              <w:t xml:space="preserve"> </w:t>
            </w:r>
            <w:r>
              <w:rPr>
                <w:i/>
                <w:iCs/>
                <w:u w:val="single"/>
              </w:rPr>
              <w:t xml:space="preserve">M.</w:t>
            </w:r>
            <w:r>
              <w:rPr>
                <w:i/>
                <w:iCs/>
                <w:u w:val="single"/>
              </w:rPr>
              <w:t xml:space="preserve"> </w:t>
            </w:r>
            <w:r>
              <w:rPr>
                <w:i/>
                <w:iCs/>
                <w:u w:val="single"/>
              </w:rPr>
              <w:t xml:space="preserve">McKenna</w:t>
            </w:r>
          </w:p>
          <w:p>
            <w:pPr>
              <w:spacing w:before="0" w:after="0" w:line="322" w:lineRule="exact"/>
              <w:ind w:left="4608" w:firstLine="0"/>
              <w:jc w:val="left"/>
            </w:pPr>
            <w:r>
              <w:t xml:space="preserve">Lee</w:t>
            </w:r>
            <w:r>
              <w:t xml:space="preserve"> </w:t>
            </w:r>
            <w:r>
              <w:t xml:space="preserve">M.</w:t>
            </w:r>
            <w:r>
              <w:t xml:space="preserve"> </w:t>
            </w:r>
            <w:r>
              <w:t xml:space="preserve">McKenna</w:t>
            </w:r>
          </w:p>
          <w:p>
            <w:pPr>
              <w:spacing w:before="0" w:after="0" w:line="322" w:lineRule="exact"/>
              <w:ind w:left="4608" w:firstLine="0"/>
              <w:jc w:val="left"/>
            </w:pPr>
            <w:r>
              <w:t xml:space="preserve">Montana</w:t>
            </w:r>
            <w:r>
              <w:t xml:space="preserve"> </w:t>
            </w:r>
            <w:r>
              <w:t xml:space="preserve">DEQ</w:t>
            </w:r>
          </w:p>
          <w:p>
            <w:pPr>
              <w:spacing w:before="0" w:after="0" w:line="322" w:lineRule="exact"/>
              <w:ind w:left="4608" w:firstLine="0"/>
              <w:jc w:val="left"/>
            </w:pPr>
            <w:r>
              <w:t xml:space="preserve">P.O.</w:t>
            </w:r>
            <w:r>
              <w:t xml:space="preserve"> </w:t>
            </w:r>
            <w:r>
              <w:t xml:space="preserve">Box</w:t>
            </w:r>
            <w:r>
              <w:t xml:space="preserve"> </w:t>
            </w:r>
            <w:r>
              <w:t xml:space="preserve">200901</w:t>
            </w:r>
          </w:p>
          <w:p>
            <w:pPr>
              <w:spacing w:before="0" w:after="0" w:line="322" w:lineRule="exact"/>
              <w:ind w:left="4608" w:firstLine="0"/>
              <w:jc w:val="left"/>
            </w:pPr>
            <w:r>
              <w:t xml:space="preserve">Helena,</w:t>
            </w:r>
            <w:r>
              <w:t xml:space="preserve"> </w:t>
            </w:r>
            <w:r>
              <w:t xml:space="preserve">MT</w:t>
            </w:r>
            <w:r>
              <w:t xml:space="preserve"> </w:t>
            </w:r>
            <w:r>
              <w:t xml:space="preserve">59620</w:t>
              <w:noBreakHyphen/>
              <w:t xml:space="preserve">0901</w:t>
            </w:r>
          </w:p>
          <w:p>
            <w:pPr>
              <w:spacing w:before="0" w:after="0" w:line="322" w:lineRule="exact"/>
              <w:ind w:left="4608" w:firstLine="0"/>
              <w:jc w:val="left"/>
            </w:pPr>
            <w:r>
              <w:t xml:space="preserve">406</w:t>
              <w:noBreakHyphen/>
              <w:t xml:space="preserve">444</w:t>
              <w:noBreakHyphen/>
              <w:t xml:space="preserve">6559</w:t>
            </w:r>
          </w:p>
          <w:p>
            <w:pPr>
              <w:spacing w:before="0" w:after="0" w:line="322" w:lineRule="exact"/>
              <w:ind w:left="4608" w:firstLine="0"/>
              <w:jc w:val="left"/>
            </w:pPr>
            <w:r>
              <w:t xml:space="preserve">Lee.mckenna@mt.gov</w:t>
            </w:r>
          </w:p>
          <w:p>
            <w:pPr>
              <w:spacing w:before="168"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Appellants-Defendants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Environmental</w:t>
            </w:r>
            <w:r>
              <w:rPr>
                <w:i/>
                <w:iCs/>
              </w:rPr>
              <w:t xml:space="preserve"> </w:t>
            </w:r>
            <w:r>
              <w:rPr>
                <w:i/>
                <w:iCs/>
              </w:rPr>
              <w:t xml:space="preserve">Quality,</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and</w:t>
            </w:r>
            <w:r>
              <w:rPr>
                <w:i/>
                <w:iCs/>
              </w:rPr>
              <w:t xml:space="preserve"> </w:t>
            </w:r>
            <w:r>
              <w:rPr>
                <w:i/>
                <w:iCs/>
              </w:rPr>
              <w:t xml:space="preserve">Conservation,</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Transportation</w:t>
            </w:r>
            <w:r>
              <w:rPr>
                <w:i/>
                <w:iCs/>
              </w:rPr>
              <w:t xml:space="preserve"> </w:t>
            </w:r>
            <w:r>
              <w:rPr>
                <w:i/>
                <w:iCs/>
              </w:rPr>
              <w:t xml:space="preserve">and</w:t>
            </w:r>
            <w:r>
              <w:rPr>
                <w:i/>
                <w:iCs/>
              </w:rPr>
              <w:t xml:space="preserve"> </w:t>
            </w:r>
            <w:r>
              <w:rPr>
                <w:i/>
                <w:iCs/>
              </w:rPr>
              <w:t xml:space="preserve">Governor</w:t>
            </w:r>
            <w:r>
              <w:rPr>
                <w:i/>
                <w:iCs/>
              </w:rPr>
              <w:t xml:space="preserve"> </w:t>
            </w:r>
            <w:r>
              <w:rPr>
                <w:i/>
                <w:iCs/>
              </w:rPr>
              <w:t xml:space="preserve">Gianforte</w:t>
            </w:r>
          </w:p>
        </w:tc>
      </w:tr>
    </w:tbl>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ask this Court to open “the courthouse doors … a little wider” than the federal Constitution allows.</w:t>
      </w:r>
      <w:r>
        <w:t xml:space="preserve"> </w:t>
      </w:r>
      <w:r>
        <w:rPr>
          <w:i/>
          <w:iCs/>
        </w:rPr>
        <w:t xml:space="preserve">See</w:t>
      </w:r>
      <w:r>
        <w:t xml:space="preserve"> </w:t>
      </w:r>
      <w:r>
        <w:t xml:space="preserve">Resp. Br. 15. But this Court has squarely held that the Montana Constitution “embodies” the same justiciability limitations as Article III of federal constitution.</w:t>
      </w:r>
      <w:r>
        <w:t xml:space="preserve"> </w:t>
      </w:r>
      <w:r>
        <w:rPr>
          <w:i/>
          <w:iCs/>
        </w:rPr>
        <w:t xml:space="preserve">Plan Helena,</w:t>
      </w:r>
      <w:r>
        <w:rPr>
          <w:i/>
          <w:iCs/>
        </w:rPr>
        <w:t xml:space="preserve"> </w:t>
      </w:r>
      <w:r>
        <w:rPr>
          <w:i/>
          <w:iCs/>
        </w:rPr>
        <w:t xml:space="preserve">Inc. v. Helena Regl. Airport Auth. Bd.</w:t>
      </w:r>
      <w:r>
        <w:t xml:space="preserve">, 2010 MT 26, ¶ 6, 355 Mont. 142, 226 P.3d 567. Thus, federal standing precedents “are persuasive authority for interpreting the justiciability requirements” of the Montana Constitution.</w:t>
      </w:r>
      <w:r>
        <w:t xml:space="preserve"> </w:t>
      </w:r>
      <w:r>
        <w:rPr>
          <w:i/>
          <w:iCs/>
        </w:rPr>
        <w:t xml:space="preserve">Id.</w:t>
      </w:r>
    </w:p>
  </w:footnote>
  <w:footnote w:id="10">
    <w:p>
      <w:pPr>
        <w:pStyle w:val="FootnoteText"/>
      </w:pPr>
      <w:r>
        <w:rPr>
          <w:rStyle w:val="FootnoteReference"/>
        </w:rPr>
        <w:footnoteRef/>
      </w:r>
      <w:r>
        <w:t xml:space="preserve"> </w:t>
      </w:r>
      <w:r>
        <w:t xml:space="preserve">Plaintiffs suggest that causation is not an explicit requirement of case-or-controversy standing in Montana. That is incorrect.</w:t>
      </w:r>
      <w:r>
        <w:t xml:space="preserve"> </w:t>
      </w:r>
      <w:r>
        <w:rPr>
          <w:i/>
          <w:iCs/>
        </w:rPr>
        <w:t xml:space="preserve">See Larson</w:t>
      </w:r>
      <w:r>
        <w:t xml:space="preserve">, ¶ 46 (standing requires “a direct causal connection between the alleged injury and specific and definite harm personally suffered, or likely to be personally suffered, by the plaintiff”) (emphasis added).</w:t>
      </w:r>
    </w:p>
  </w:footnote>
  <w:footnote w:id="11">
    <w:p>
      <w:pPr>
        <w:pStyle w:val="FootnoteText"/>
      </w:pPr>
      <w:r>
        <w:rPr>
          <w:rStyle w:val="FootnoteReference"/>
        </w:rPr>
        <w:footnoteRef/>
      </w:r>
      <w:r>
        <w:t xml:space="preserve"> </w:t>
      </w:r>
      <w:r>
        <w:rPr>
          <w:i/>
          <w:iCs/>
        </w:rPr>
        <w:t xml:space="preserve">See, e.g.</w:t>
      </w:r>
      <w:r>
        <w:t xml:space="preserve">, House Bill 431 (2023 legislative session, died in standing committee), available at https://​tinyurl.​com/​39c7u4dc; House Bill 150 (2021 legislative session, died in standing committee), available at https://​tinyurl.​com/​fusnf57r. House Bill 193 (2019 legislative session, died in standing committee), available at https://​tinyurl.​com/​3zh9nsrh.</w:t>
      </w:r>
    </w:p>
  </w:footnote>
  <w:footnote w:id="12">
    <w:p>
      <w:pPr>
        <w:pStyle w:val="FootnoteText"/>
      </w:pPr>
      <w:r>
        <w:rPr>
          <w:rStyle w:val="FootnoteReference"/>
        </w:rPr>
        <w:footnoteRef/>
      </w:r>
      <w:r>
        <w:t xml:space="preserve"> </w:t>
      </w:r>
      <w:r>
        <w:t xml:space="preserve">This Court exercises “plenary review” of issues involving “interpretation of the U.S. Constitution and Montana statutes.”</w:t>
      </w:r>
      <w:r>
        <w:t xml:space="preserve"> </w:t>
      </w:r>
      <w:r>
        <w:rPr>
          <w:i/>
          <w:iCs/>
        </w:rPr>
        <w:t xml:space="preserve">Tiegs</w:t>
      </w:r>
      <w:r>
        <w:t xml:space="preserve">, ¶ 8. The District Court’s order swept in emissions in other states and countries, thus implicating the Federal Commerce Clause for the first time in the case. Doc. 405 at 67. The expansiveness of the District Court’s order requires this Court to consider whether extending MEPA review beyond Montana’s borders would conflict with the Federal Commerce Clause.</w:t>
      </w:r>
    </w:p>
  </w:footnote>
  <w:footnote w:id="13">
    <w:p>
      <w:pPr>
        <w:pStyle w:val="FootnoteText"/>
      </w:pPr>
      <w:r>
        <w:rPr>
          <w:rStyle w:val="FootnoteReference"/>
        </w:rPr>
        <w:footnoteRef/>
      </w:r>
      <w:r>
        <w:t xml:space="preserve"> </w:t>
      </w:r>
      <w:r>
        <w:t xml:space="preserve">Held’s brief alters a quotation from</w:t>
      </w:r>
      <w:r>
        <w:t xml:space="preserve"> </w:t>
      </w:r>
      <w:r>
        <w:rPr>
          <w:i/>
          <w:iCs/>
        </w:rPr>
        <w:t xml:space="preserve">Ctr. for Biological Diversity</w:t>
      </w:r>
      <w:r>
        <w:t xml:space="preserve"> </w:t>
      </w:r>
      <w:r>
        <w:t xml:space="preserve">by swapping out “[the agency]” for “[the state].”</w:t>
      </w:r>
      <w:r>
        <w:t xml:space="preserve"> </w:t>
      </w:r>
      <w:r>
        <w:rPr>
          <w:i/>
          <w:iCs/>
        </w:rPr>
        <w:t xml:space="preserve">Compare</w:t>
      </w:r>
      <w:r>
        <w:t xml:space="preserve"> </w:t>
      </w:r>
      <w:r>
        <w:t xml:space="preserve">Resp. Br. 52</w:t>
      </w:r>
      <w:r>
        <w:t xml:space="preserve"> </w:t>
      </w:r>
      <w:r>
        <w:rPr>
          <w:i/>
          <w:iCs/>
        </w:rPr>
        <w:t xml:space="preserve">with Ctr. for Biological Diversity</w:t>
      </w:r>
      <w:r>
        <w:t xml:space="preserve">, 538 F.3d at 1217. This alteration changes the meaning of the Ninth Circuit’s statement. A federal agency can regulate economic activity that crosses state lines. But the Federal Commerce Clause restricts states from regulating beyond their borders.</w:t>
      </w:r>
    </w:p>
  </w:footnote>
  <w:footnote w:id="14">
    <w:p>
      <w:pPr>
        <w:pStyle w:val="FootnoteText"/>
      </w:pPr>
      <w:r>
        <w:rPr>
          <w:rStyle w:val="FootnoteReference"/>
        </w:rPr>
        <w:footnoteRef/>
      </w:r>
      <w:r>
        <w:t xml:space="preserve"> </w:t>
      </w:r>
      <w:r>
        <w:t xml:space="preserve">Since 2011, DEQ has produced six EIS documents with a federal partner, four of which have included GHG emissions analysis. MEPA analyses are available at https://​leg.​mt.​gov/​mepa/​search/​.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