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CAL.</w:t>
      </w:r>
      <w:r>
        <w:t xml:space="preserve"> </w:t>
      </w:r>
      <w:r>
        <w:t xml:space="preserve">NO.</w:t>
      </w:r>
      <w:r>
        <w:t xml:space="preserve"> </w:t>
      </w:r>
      <w:r>
        <w:t xml:space="preserve">____________</w:t>
      </w:r>
    </w:p>
    <w:p>
      <w:pPr>
        <w:spacing w:before="168" w:after="0" w:line="322" w:lineRule="exact"/>
        <w:ind w:left="0" w:firstLine="0"/>
        <w:jc w:val="center"/>
      </w:pPr>
      <w:r>
        <w:t xml:space="preserve">New</w:t>
      </w:r>
      <w:r>
        <w:t xml:space="preserve"> </w:t>
      </w:r>
      <w:r>
        <w:t xml:space="preserve">York</w:t>
      </w:r>
      <w:r>
        <w:t xml:space="preserve"> </w:t>
      </w:r>
      <w:r>
        <w:t xml:space="preserve">County</w:t>
      </w:r>
      <w:r>
        <w:t xml:space="preserve"> </w:t>
      </w:r>
      <w:r>
        <w:t xml:space="preserve">Criminal</w:t>
      </w:r>
      <w:r>
        <w:t xml:space="preserve"> </w:t>
      </w:r>
      <w:r>
        <w:t xml:space="preserve">Court</w:t>
      </w:r>
      <w:r>
        <w:t xml:space="preserve"> </w:t>
      </w:r>
      <w:r>
        <w:t xml:space="preserve">Clerk’s</w:t>
      </w:r>
      <w:r>
        <w:t xml:space="preserve"> </w:t>
      </w:r>
      <w:r>
        <w:t xml:space="preserve">Index</w:t>
      </w:r>
      <w:r>
        <w:t xml:space="preserve"> </w:t>
      </w:r>
      <w:r>
        <w:t xml:space="preserve">No.</w:t>
      </w:r>
      <w:r>
        <w:t xml:space="preserve"> </w:t>
      </w:r>
      <w:r>
        <w:t xml:space="preserve">2011NY080152</w:t>
      </w:r>
    </w:p>
    <w:p>
      <w:pPr>
        <w:spacing w:before="168"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Term—First</w:t>
      </w:r>
      <w:r>
        <w:rPr>
          <w:b/>
          <w:bCs/>
        </w:rPr>
        <w:t xml:space="preserve"> </w:t>
      </w:r>
      <w:r>
        <w:rPr>
          <w:b/>
          <w:bCs/>
        </w:rPr>
        <w:t xml:space="preserve">Department</w:t>
      </w:r>
    </w:p>
    <w:p>
      <w:pPr>
        <w:pBdr>
          <w:top w:val="single" w:sz="13" w:space="0" w:color="000000"/>
        </w:pBdr>
        <w:spacing w:before="168" w:after="0" w:line="1" w:lineRule="exact"/>
      </w:pPr>
    </w:p>
    <w:p>
      <w:pPr>
        <w:pBdr>
          <w:top w:val="single" w:sz="4" w:space="0" w:color="000000"/>
        </w:pBdr>
        <w:spacing w:before="50" w:after="0" w:line="1" w:lineRule="exact"/>
      </w:pPr>
    </w:p>
    <w:p>
      <w:pPr>
        <w:spacing w:before="168"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0" w:after="0" w:line="322" w:lineRule="exact"/>
        <w:ind w:left="4680" w:firstLine="0"/>
        <w:jc w:val="left"/>
      </w:pPr>
      <w:r>
        <w:t xml:space="preserve">Plaintiffs-Appellees,</w:t>
      </w:r>
    </w:p>
    <w:p>
      <w:pPr>
        <w:spacing w:before="56" w:after="56" w:line="322" w:lineRule="exact"/>
        <w:ind w:left="0" w:firstLine="0"/>
        <w:jc w:val="center"/>
      </w:pPr>
      <w:r>
        <w:t xml:space="preserve">—against—</w:t>
      </w:r>
    </w:p>
    <w:p>
      <w:pPr>
        <w:spacing w:before="0" w:after="0" w:line="322" w:lineRule="exact"/>
        <w:ind w:left="0" w:firstLine="0"/>
        <w:jc w:val="center"/>
      </w:pPr>
      <w:r>
        <w:t xml:space="preserve">Malcolm</w:t>
      </w:r>
      <w:r>
        <w:t xml:space="preserve"> </w:t>
      </w:r>
      <w:r>
        <w:t xml:space="preserve">Harris,</w:t>
      </w:r>
    </w:p>
    <w:p>
      <w:pPr>
        <w:spacing w:before="0" w:after="0" w:line="322" w:lineRule="exact"/>
        <w:ind w:left="4680" w:firstLine="0"/>
        <w:jc w:val="left"/>
      </w:pPr>
      <w:r>
        <w:t xml:space="preserve">Defendant,</w:t>
      </w:r>
    </w:p>
    <w:p>
      <w:pPr>
        <w:spacing w:before="56" w:after="56" w:line="322" w:lineRule="exact"/>
        <w:ind w:left="0" w:firstLine="0"/>
        <w:jc w:val="center"/>
      </w:pPr>
      <w:r>
        <w:t xml:space="preserve">—against—</w:t>
      </w:r>
    </w:p>
    <w:p>
      <w:pPr>
        <w:spacing w:before="0" w:after="0" w:line="322" w:lineRule="exact"/>
        <w:ind w:left="0" w:firstLine="0"/>
        <w:jc w:val="center"/>
      </w:pPr>
      <w:r>
        <w:t xml:space="preserve">Twitter,</w:t>
      </w:r>
      <w:r>
        <w:t xml:space="preserve"> </w:t>
      </w:r>
      <w:r>
        <w:t xml:space="preserve">Inc.,</w:t>
      </w:r>
    </w:p>
    <w:p>
      <w:pPr>
        <w:spacing w:before="0" w:after="0" w:line="322" w:lineRule="exact"/>
        <w:ind w:left="4680" w:firstLine="0"/>
        <w:jc w:val="left"/>
      </w:pPr>
      <w:r>
        <w:t xml:space="preserve">Non-Party</w:t>
      </w:r>
      <w:r>
        <w:t xml:space="preserve"> </w:t>
      </w:r>
      <w:r>
        <w:t xml:space="preserve">Movant-Appellant.</w:t>
      </w:r>
    </w:p>
    <w:p>
      <w:pPr>
        <w:pBdr>
          <w:top w:val="single" w:sz="13" w:space="0" w:color="000000"/>
        </w:pBdr>
        <w:spacing w:before="168" w:after="0" w:line="1" w:lineRule="exact"/>
      </w:pPr>
    </w:p>
    <w:p>
      <w:pPr>
        <w:pBdr>
          <w:top w:val="single" w:sz="4" w:space="0" w:color="000000"/>
        </w:pBdr>
        <w:spacing w:before="50" w:after="0" w:line="1" w:lineRule="exact"/>
      </w:pPr>
    </w:p>
    <w:p>
      <w:pPr>
        <w:spacing w:before="168" w:after="0" w:line="322"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ELECTRONIC</w:t>
      </w:r>
      <w:r>
        <w:rPr>
          <w:b/>
          <w:bCs/>
        </w:rPr>
        <w:t xml:space="preserve"> </w:t>
      </w:r>
      <w:r>
        <w:rPr>
          <w:b/>
          <w:bCs/>
        </w:rPr>
        <w:t xml:space="preserve">FRONTIER</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CITIZEN,</w:t>
      </w:r>
      <w:r>
        <w:rPr>
          <w:b/>
          <w:bCs/>
        </w:rPr>
        <w:t xml:space="preserve"> </w:t>
      </w:r>
      <w:r>
        <w:rPr>
          <w:b/>
          <w:bCs/>
        </w:rPr>
        <w:t xml:space="preserve">INC.,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TWITTER,</w:t>
      </w:r>
      <w:r>
        <w:rPr>
          <w:b/>
          <w:bCs/>
        </w:rPr>
        <w:t xml:space="preserve"> </w:t>
      </w:r>
      <w:r>
        <w:rPr>
          <w:b/>
          <w:bCs/>
        </w:rPr>
        <w:t xml:space="preserve">INC.’S</w:t>
      </w:r>
      <w:r>
        <w:rPr>
          <w:b/>
          <w:bCs/>
        </w:rPr>
        <w:t xml:space="preserve"> </w:t>
      </w:r>
      <w:r>
        <w:rPr>
          <w:b/>
          <w:bCs/>
        </w:rPr>
        <w:t xml:space="preserve">APPEAL</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Aden</w:t>
            </w:r>
            <w:r>
              <w:t xml:space="preserve"> </w:t>
            </w:r>
            <w:r>
              <w:t xml:space="preserve">J.</w:t>
            </w:r>
            <w:r>
              <w:t xml:space="preserve"> </w:t>
            </w:r>
            <w:r>
              <w:t xml:space="preserve">Fine</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Telephone:</w:t>
            </w:r>
            <w:r>
              <w:t xml:space="preserve"> </w:t>
            </w:r>
            <w:r>
              <w:t xml:space="preserve">(212)</w:t>
            </w:r>
            <w:r>
              <w:t xml:space="preserve"> </w:t>
            </w:r>
            <w:r>
              <w:t xml:space="preserve">549</w:t>
              <w:noBreakHyphen/>
              <w:t xml:space="preserve">2693</w:t>
            </w:r>
          </w:p>
        </w:tc>
        <w:tc>
          <w:tcPr>
            <w:tcW w:w="4896" w:type="dxa"/>
            <w:tcMar>
              <w:left w:w="432" w:type="dxa"/>
            </w:tcMar>
          </w:tcPr>
          <w:p>
            <w:pPr>
              <w:spacing w:before="0" w:after="0" w:line="322" w:lineRule="exact"/>
              <w:ind w:left="0" w:firstLine="0"/>
              <w:jc w:val="left"/>
            </w:pP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Mariko</w:t>
            </w:r>
            <w:r>
              <w:t xml:space="preserve"> </w:t>
            </w:r>
            <w:r>
              <w:t xml:space="preserve">Hirose</w:t>
            </w:r>
          </w:p>
          <w:p>
            <w:pPr>
              <w:spacing w:before="0" w:after="0" w:line="322" w:lineRule="exact"/>
              <w:ind w:left="0" w:firstLine="0"/>
              <w:jc w:val="left"/>
            </w:pPr>
            <w:r>
              <w:t xml:space="preserve">Arthur</w:t>
            </w:r>
            <w:r>
              <w:t xml:space="preserve"> </w:t>
            </w:r>
            <w:r>
              <w:t xml:space="preserve">Eisenberg</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19th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322" w:lineRule="exact"/>
              <w:ind w:left="0" w:firstLine="0"/>
              <w:jc w:val="left"/>
            </w:pPr>
            <w:r>
              <w:t xml:space="preserve">Telephone:</w:t>
            </w:r>
            <w:r>
              <w:t xml:space="preserve"> </w:t>
            </w:r>
            <w:r>
              <w:t xml:space="preserve">(212)</w:t>
            </w:r>
            <w:r>
              <w:t xml:space="preserve"> </w:t>
            </w:r>
            <w:r>
              <w:t xml:space="preserve">607</w:t>
              <w:noBreakHyphen/>
              <w:t xml:space="preserve">3300</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ELECTRONIC</w:t>
            </w:r>
            <w:r>
              <w:rPr>
                <w:b/>
                <w:bCs/>
              </w:rPr>
              <w:t xml:space="preserve"> </w:t>
            </w:r>
            <w:r>
              <w:rPr>
                <w:b/>
                <w:bCs/>
              </w:rPr>
              <w:t xml:space="preserve">FRONTIER</w:t>
            </w:r>
            <w:r>
              <w:rPr>
                <w:b/>
                <w:bCs/>
              </w:rPr>
              <w:t xml:space="preserve"> </w:t>
            </w:r>
            <w:r>
              <w:rPr>
                <w:b/>
                <w:bCs/>
              </w:rPr>
              <w:t xml:space="preserve">FOUNDATION</w:t>
            </w:r>
          </w:p>
          <w:p>
            <w:pPr>
              <w:spacing w:before="0" w:after="0" w:line="322" w:lineRule="exact"/>
              <w:ind w:left="0" w:firstLine="0"/>
              <w:jc w:val="left"/>
            </w:pPr>
            <w:r>
              <w:t xml:space="preserve">Marcia</w:t>
            </w:r>
            <w:r>
              <w:t xml:space="preserve"> </w:t>
            </w:r>
            <w:r>
              <w:t xml:space="preserve">Hofmann</w:t>
            </w:r>
          </w:p>
          <w:p>
            <w:pPr>
              <w:spacing w:before="0" w:after="0" w:line="322" w:lineRule="exact"/>
              <w:ind w:left="0" w:firstLine="0"/>
              <w:jc w:val="left"/>
            </w:pPr>
            <w:r>
              <w:t xml:space="preserve">Hanni</w:t>
            </w:r>
            <w:r>
              <w:t xml:space="preserve"> </w:t>
            </w:r>
            <w:r>
              <w:t xml:space="preserve">Fakhoury</w:t>
            </w:r>
          </w:p>
          <w:p>
            <w:pPr>
              <w:spacing w:before="0" w:after="0" w:line="322" w:lineRule="exact"/>
              <w:ind w:left="0" w:firstLine="0"/>
              <w:jc w:val="left"/>
            </w:pPr>
            <w:r>
              <w:t xml:space="preserve">454</w:t>
            </w:r>
            <w:r>
              <w:t xml:space="preserve"> </w:t>
            </w:r>
            <w:r>
              <w:t xml:space="preserve">Shotwell</w:t>
            </w:r>
            <w:r>
              <w:t xml:space="preserve"> </w:t>
            </w:r>
            <w:r>
              <w:t xml:space="preserve">Street</w:t>
            </w:r>
          </w:p>
          <w:p>
            <w:pPr>
              <w:spacing w:before="0" w:after="0" w:line="322" w:lineRule="exact"/>
              <w:ind w:left="0" w:firstLine="0"/>
              <w:jc w:val="left"/>
            </w:pPr>
            <w:r>
              <w:t xml:space="preserve">San</w:t>
            </w:r>
            <w:r>
              <w:t xml:space="preserve"> </w:t>
            </w:r>
            <w:r>
              <w:t xml:space="preserve">Francisco,</w:t>
            </w:r>
            <w:r>
              <w:t xml:space="preserve"> </w:t>
            </w:r>
            <w:r>
              <w:t xml:space="preserve">CA</w:t>
            </w:r>
            <w:r>
              <w:t xml:space="preserve"> </w:t>
            </w:r>
            <w:r>
              <w:t xml:space="preserve">94110</w:t>
            </w:r>
          </w:p>
          <w:p>
            <w:pPr>
              <w:spacing w:before="0" w:after="0" w:line="322" w:lineRule="exact"/>
              <w:ind w:left="0" w:firstLine="0"/>
              <w:jc w:val="left"/>
            </w:pPr>
            <w:r>
              <w:t xml:space="preserve">Telephone:</w:t>
            </w:r>
            <w:r>
              <w:t xml:space="preserve"> </w:t>
            </w:r>
            <w:r>
              <w:t xml:space="preserve">(415)</w:t>
            </w:r>
            <w:r>
              <w:t xml:space="preserve"> </w:t>
            </w:r>
            <w:r>
              <w:t xml:space="preserve">436</w:t>
              <w:noBreakHyphen/>
              <w:t xml:space="preserve">9333</w:t>
            </w:r>
            <w:r>
              <w:t xml:space="preserve"> </w:t>
            </w:r>
            <w:r>
              <w:t xml:space="preserve">x.</w:t>
            </w:r>
            <w:r>
              <w:t xml:space="preserve"> </w:t>
            </w:r>
            <w:r>
              <w:t xml:space="preserve">116</w:t>
            </w:r>
          </w:p>
        </w:tc>
        <w:tc>
          <w:tcPr>
            <w:tcW w:w="4896" w:type="dxa"/>
            <w:tcMar>
              <w:left w:w="432" w:type="dxa"/>
            </w:tcMar>
          </w:tcPr>
          <w:p>
            <w:pPr>
              <w:spacing w:before="0" w:after="0" w:line="322" w:lineRule="exact"/>
              <w:ind w:left="0" w:firstLine="0"/>
              <w:jc w:val="left"/>
            </w:pPr>
            <w:r>
              <w:rPr>
                <w:b/>
                <w:bCs/>
              </w:rPr>
              <w:t xml:space="preserve">PUBLIC</w:t>
            </w:r>
            <w:r>
              <w:rPr>
                <w:b/>
                <w:bCs/>
              </w:rPr>
              <w:t xml:space="preserve"> </w:t>
            </w:r>
            <w:r>
              <w:rPr>
                <w:b/>
                <w:bCs/>
              </w:rPr>
              <w:t xml:space="preserve">CITIZEN</w:t>
            </w:r>
            <w:r>
              <w:rPr>
                <w:b/>
                <w:bCs/>
              </w:rPr>
              <w:t xml:space="preserve"> </w:t>
            </w:r>
            <w:r>
              <w:rPr>
                <w:b/>
                <w:bCs/>
              </w:rPr>
              <w:t xml:space="preserve">LITIGATION</w:t>
            </w:r>
            <w:r>
              <w:rPr>
                <w:b/>
                <w:bCs/>
              </w:rPr>
              <w:t xml:space="preserve"> </w:t>
            </w:r>
            <w:r>
              <w:rPr>
                <w:b/>
                <w:bCs/>
              </w:rPr>
              <w:t xml:space="preserve">GROUP</w:t>
            </w:r>
          </w:p>
          <w:p>
            <w:pPr>
              <w:spacing w:before="0" w:after="0" w:line="322" w:lineRule="exact"/>
              <w:ind w:left="0" w:firstLine="0"/>
              <w:jc w:val="left"/>
            </w:pPr>
            <w:r>
              <w:t xml:space="preserve">Paul</w:t>
            </w:r>
            <w:r>
              <w:t xml:space="preserve"> </w:t>
            </w:r>
            <w:r>
              <w:t xml:space="preserve">Alan</w:t>
            </w:r>
            <w:r>
              <w:t xml:space="preserve"> </w:t>
            </w:r>
            <w:r>
              <w:t xml:space="preserve">Levy</w:t>
            </w:r>
          </w:p>
          <w:p>
            <w:pPr>
              <w:spacing w:before="0" w:after="0" w:line="322" w:lineRule="exact"/>
              <w:ind w:left="0" w:firstLine="0"/>
              <w:jc w:val="left"/>
            </w:pPr>
            <w:r>
              <w:t xml:space="preserve">1600</w:t>
            </w:r>
            <w:r>
              <w:t xml:space="preserve"> </w:t>
            </w:r>
            <w:r>
              <w:t xml:space="preserve">20th</w:t>
            </w:r>
            <w:r>
              <w:t xml:space="preserve"> </w:t>
            </w:r>
            <w:r>
              <w:t xml:space="preserve">Street,</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20009</w:t>
            </w:r>
          </w:p>
          <w:p>
            <w:pPr>
              <w:spacing w:before="0" w:after="0" w:line="322" w:lineRule="exact"/>
              <w:ind w:left="0" w:firstLine="0"/>
              <w:jc w:val="left"/>
            </w:pPr>
            <w:r>
              <w:t xml:space="preserve">Telephone:</w:t>
            </w:r>
            <w:r>
              <w:t xml:space="preserve"> </w:t>
            </w:r>
            <w:r>
              <w:t xml:space="preserve">(202)</w:t>
            </w:r>
            <w:r>
              <w:t xml:space="preserve"> </w:t>
            </w:r>
            <w:r>
              <w:t xml:space="preserve">588</w:t>
              <w:noBreakHyphen/>
              <w:t xml:space="preserve">1000</w:t>
            </w:r>
          </w:p>
        </w:tc>
      </w:tr>
    </w:tbl>
    <w:p>
      <w:pPr>
        <w:spacing w:before="168" w:after="0" w:line="322"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pBdr>
          <w:top w:val="single" w:sz="13" w:space="0" w:color="000000"/>
        </w:pBdr>
        <w:spacing w:before="168"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Introduction</w:t>
      </w:r>
      <w:r>
        <w:t xml:space="preserve">   </w:t>
      </w:r>
      <w:r>
        <w:tab/>
      </w:r>
      <w:r>
        <w:t xml:space="preserve">1</w:t>
      </w:r>
    </w:p>
    <w:p>
      <w:pPr>
        <w:keepLines/>
        <w:tabs>
          <w:tab w:val="right" w:leader="dot" w:pos="9360"/>
        </w:tabs>
        <w:spacing w:before="100" w:after="0" w:line="322" w:lineRule="exact"/>
        <w:ind w:left="720" w:right="56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9360"/>
        </w:tabs>
        <w:spacing w:before="100" w:after="0" w:line="322" w:lineRule="exact"/>
        <w:ind w:left="720" w:right="560" w:hanging="720"/>
      </w:pP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4</w:t>
      </w:r>
    </w:p>
    <w:p>
      <w:pPr>
        <w:keepLines/>
        <w:tabs>
          <w:tab w:val="right" w:leader="dot" w:pos="9360"/>
        </w:tabs>
        <w:spacing w:before="100" w:after="0" w:line="322" w:lineRule="exact"/>
        <w:ind w:left="2160" w:right="560" w:hanging="720"/>
      </w:pPr>
      <w:r>
        <w:t xml:space="preserve">A. </w:t>
      </w:r>
      <w:r>
        <w:t xml:space="preserve">Twitter.</w:t>
      </w:r>
      <w:r>
        <w:t xml:space="preserve">   </w:t>
      </w:r>
      <w:r>
        <w:tab/>
      </w:r>
      <w:r>
        <w:t xml:space="preserve">4</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D.A.’s</w:t>
      </w:r>
      <w:r>
        <w:t xml:space="preserve"> </w:t>
      </w:r>
      <w:r>
        <w:t xml:space="preserve">Subpoena</w:t>
      </w:r>
      <w:r>
        <w:t xml:space="preserve"> </w:t>
      </w:r>
      <w:r>
        <w:t xml:space="preserve">To</w:t>
      </w:r>
      <w:r>
        <w:t xml:space="preserve"> </w:t>
      </w:r>
      <w:r>
        <w:t xml:space="preserve">Twitter.</w:t>
      </w:r>
      <w:r>
        <w:t xml:space="preserve">   </w:t>
      </w:r>
      <w:r>
        <w:tab/>
      </w:r>
      <w:r>
        <w:t xml:space="preserve">7</w:t>
      </w:r>
    </w:p>
    <w:p>
      <w:pPr>
        <w:keepLines/>
        <w:tabs>
          <w:tab w:val="right" w:leader="dot" w:pos="9360"/>
        </w:tabs>
        <w:spacing w:before="100" w:after="0" w:line="322" w:lineRule="exact"/>
        <w:ind w:left="2160" w:right="560" w:hanging="720"/>
      </w:pPr>
      <w:r>
        <w:t xml:space="preserve">C. </w:t>
      </w:r>
      <w:r>
        <w:t xml:space="preserve">Procedural</w:t>
      </w:r>
      <w:r>
        <w:t xml:space="preserve"> </w:t>
      </w:r>
      <w:r>
        <w:t xml:space="preserve">Background.</w:t>
      </w:r>
      <w:r>
        <w:t xml:space="preserve">   </w:t>
      </w:r>
      <w:r>
        <w:tab/>
      </w:r>
      <w:r>
        <w:t xml:space="preserve">9</w:t>
      </w:r>
    </w:p>
    <w:p>
      <w:pPr>
        <w:keepLines/>
        <w:tabs>
          <w:tab w:val="right" w:leader="dot" w:pos="9360"/>
        </w:tabs>
        <w:spacing w:before="100" w:after="0" w:line="322" w:lineRule="exact"/>
        <w:ind w:left="720" w:right="560" w:hanging="720"/>
      </w:pPr>
      <w:r>
        <w:t xml:space="preserve">Argument</w:t>
      </w:r>
      <w:r>
        <w:t xml:space="preserve">   </w:t>
      </w:r>
      <w:r>
        <w:tab/>
      </w:r>
      <w:r>
        <w:t xml:space="preserve">11</w:t>
      </w:r>
    </w:p>
    <w:p>
      <w:pPr>
        <w:keepLines/>
        <w:tabs>
          <w:tab w:val="right" w:leader="dot" w:pos="9360"/>
        </w:tabs>
        <w:spacing w:before="100" w:after="0" w:line="322" w:lineRule="exact"/>
        <w:ind w:left="1440" w:right="560" w:hanging="720"/>
      </w:pPr>
      <w:r>
        <w:t xml:space="preserve">I. </w:t>
      </w:r>
      <w:r>
        <w:t xml:space="preserve">HARRIS</w:t>
      </w:r>
      <w:r>
        <w:t xml:space="preserve"> </w:t>
      </w:r>
      <w:r>
        <w:t xml:space="preserve">HAS</w:t>
      </w:r>
      <w:r>
        <w:t xml:space="preserve"> </w:t>
      </w:r>
      <w:r>
        <w:t xml:space="preserve">STANDING</w:t>
      </w:r>
      <w:r>
        <w:t xml:space="preserve"> </w:t>
      </w:r>
      <w:r>
        <w:t xml:space="preserve">TO</w:t>
      </w:r>
      <w:r>
        <w:t xml:space="preserve"> </w:t>
      </w:r>
      <w:r>
        <w:t xml:space="preserve">MOVE</w:t>
      </w:r>
      <w:r>
        <w:t xml:space="preserve"> </w:t>
      </w:r>
      <w:r>
        <w:t xml:space="preserve">TO</w:t>
      </w:r>
      <w:r>
        <w:t xml:space="preserve"> </w:t>
      </w:r>
      <w:r>
        <w:t xml:space="preserve">QUASH</w:t>
      </w:r>
      <w:r>
        <w:t xml:space="preserve"> </w:t>
      </w:r>
      <w:r>
        <w:t xml:space="preserve">THE</w:t>
      </w:r>
      <w:r>
        <w:t xml:space="preserve"> </w:t>
      </w:r>
      <w:r>
        <w:t xml:space="preserve">THIRD-PARTY</w:t>
      </w:r>
      <w:r>
        <w:t xml:space="preserve"> </w:t>
      </w:r>
      <w:r>
        <w:t xml:space="preserve">SUBPOENA</w:t>
      </w:r>
      <w:r>
        <w:t xml:space="preserve"> </w:t>
      </w:r>
      <w:r>
        <w:t xml:space="preserve">BECAUSE</w:t>
      </w:r>
      <w:r>
        <w:t xml:space="preserve"> </w:t>
      </w:r>
      <w:r>
        <w:t xml:space="preserve">IT</w:t>
      </w:r>
      <w:r>
        <w:t xml:space="preserve"> </w:t>
      </w:r>
      <w:r>
        <w:t xml:space="preserve">IMPLICATES</w:t>
      </w:r>
      <w:r>
        <w:t xml:space="preserve"> </w:t>
      </w:r>
      <w:r>
        <w:t xml:space="preserve">HIS</w:t>
      </w:r>
      <w:r>
        <w:t xml:space="preserve"> </w:t>
      </w:r>
      <w:r>
        <w:t xml:space="preserve">CONSTITUTIONAL</w:t>
      </w:r>
      <w:r>
        <w:t xml:space="preserve"> </w:t>
      </w:r>
      <w:r>
        <w:t xml:space="preserve">RIGHTS.</w:t>
      </w:r>
      <w:r>
        <w:t xml:space="preserve">   </w:t>
      </w:r>
      <w:r>
        <w:tab/>
      </w:r>
      <w:r>
        <w:t xml:space="preserve">11</w:t>
      </w:r>
    </w:p>
    <w:p>
      <w:pPr>
        <w:keepLines/>
        <w:tabs>
          <w:tab w:val="right" w:leader="dot" w:pos="9360"/>
        </w:tabs>
        <w:spacing w:before="100" w:after="0" w:line="322" w:lineRule="exact"/>
        <w:ind w:left="2160" w:right="560" w:hanging="720"/>
      </w:pPr>
      <w:r>
        <w:t xml:space="preserve">A. </w:t>
      </w:r>
      <w:r>
        <w:t xml:space="preserve">Twitter</w:t>
      </w:r>
      <w:r>
        <w:t xml:space="preserve"> </w:t>
      </w:r>
      <w:r>
        <w:t xml:space="preserve">Users</w:t>
      </w:r>
      <w:r>
        <w:t xml:space="preserve"> </w:t>
      </w:r>
      <w:r>
        <w:t xml:space="preserve">Have</w:t>
      </w:r>
      <w:r>
        <w:t xml:space="preserve"> </w:t>
      </w:r>
      <w:r>
        <w:t xml:space="preserve">Standing</w:t>
      </w:r>
      <w:r>
        <w:t xml:space="preserve"> </w:t>
      </w:r>
      <w:r>
        <w:t xml:space="preserve">To</w:t>
      </w:r>
      <w:r>
        <w:t xml:space="preserve"> </w:t>
      </w:r>
      <w:r>
        <w:t xml:space="preserve">Challenge</w:t>
      </w:r>
      <w:r>
        <w:t xml:space="preserve"> </w:t>
      </w:r>
      <w:r>
        <w:t xml:space="preserve">Third-Party</w:t>
      </w:r>
      <w:r>
        <w:t xml:space="preserve"> </w:t>
      </w:r>
      <w:r>
        <w:t xml:space="preserve">Disclosure</w:t>
      </w:r>
      <w:r>
        <w:t xml:space="preserve"> </w:t>
      </w:r>
      <w:r>
        <w:t xml:space="preserve">Requests</w:t>
      </w:r>
      <w:r>
        <w:t xml:space="preserve"> </w:t>
      </w:r>
      <w:r>
        <w:t xml:space="preserve">That</w:t>
      </w:r>
      <w:r>
        <w:t xml:space="preserve"> </w:t>
      </w:r>
      <w:r>
        <w:t xml:space="preserve">Implicate</w:t>
      </w:r>
      <w:r>
        <w:t xml:space="preserve"> </w:t>
      </w:r>
      <w:r>
        <w:t xml:space="preserve">Their</w:t>
      </w:r>
      <w:r>
        <w:t xml:space="preserve"> </w:t>
      </w:r>
      <w:r>
        <w:t xml:space="preserve">Constitutional</w:t>
      </w:r>
      <w:r>
        <w:t xml:space="preserve"> </w:t>
      </w:r>
      <w:r>
        <w:t xml:space="preserve">Rights.</w:t>
      </w:r>
      <w:r>
        <w:t xml:space="preserve">   </w:t>
      </w:r>
      <w:r>
        <w:tab/>
      </w:r>
      <w:r>
        <w:t xml:space="preserve">12</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Twitter</w:t>
      </w:r>
      <w:r>
        <w:t xml:space="preserve"> </w:t>
      </w:r>
      <w:r>
        <w:t xml:space="preserve">Subpoena</w:t>
      </w:r>
      <w:r>
        <w:t xml:space="preserve"> </w:t>
      </w:r>
      <w:r>
        <w:t xml:space="preserve">Implicates</w:t>
      </w:r>
      <w:r>
        <w:t xml:space="preserve"> </w:t>
      </w:r>
      <w:r>
        <w:t xml:space="preserve">Harris’s</w:t>
      </w:r>
      <w:r>
        <w:t xml:space="preserve"> </w:t>
      </w:r>
      <w:r>
        <w:t xml:space="preserve">First</w:t>
      </w:r>
      <w:r>
        <w:t xml:space="preserve"> </w:t>
      </w:r>
      <w:r>
        <w:t xml:space="preserve">Amendment</w:t>
      </w:r>
      <w:r>
        <w:t xml:space="preserve"> </w:t>
      </w:r>
      <w:r>
        <w:t xml:space="preserve">Rights.</w:t>
      </w:r>
      <w:r>
        <w:t xml:space="preserve">   </w:t>
      </w:r>
      <w:r>
        <w:tab/>
      </w:r>
      <w:r>
        <w:t xml:space="preserve">19</w:t>
      </w:r>
    </w:p>
    <w:p>
      <w:pPr>
        <w:keepLines/>
        <w:tabs>
          <w:tab w:val="right" w:leader="dot" w:pos="9360"/>
        </w:tabs>
        <w:spacing w:before="100" w:after="0" w:line="322" w:lineRule="exact"/>
        <w:ind w:left="1440" w:right="560" w:hanging="720"/>
      </w:pPr>
      <w:r>
        <w:t xml:space="preserve">II. </w:t>
      </w:r>
      <w:r>
        <w:t xml:space="preserve">THE</w:t>
      </w:r>
      <w:r>
        <w:t xml:space="preserve"> </w:t>
      </w:r>
      <w:r>
        <w:t xml:space="preserve">TWITTER</w:t>
      </w:r>
      <w:r>
        <w:t xml:space="preserve"> </w:t>
      </w:r>
      <w:r>
        <w:t xml:space="preserve">SUBPOENA</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ARTICLE</w:t>
      </w:r>
      <w:r>
        <w:t xml:space="preserve"> </w:t>
      </w:r>
      <w:r>
        <w:t xml:space="preserve">I,</w:t>
      </w:r>
      <w:r>
        <w:t xml:space="preserve"> </w:t>
      </w:r>
      <w:r>
        <w:t xml:space="preserve">SECTION</w:t>
      </w:r>
      <w:r>
        <w:t xml:space="preserve"> </w:t>
      </w:r>
      <w:r>
        <w:t xml:space="preserve">8</w:t>
      </w:r>
      <w:r>
        <w:t xml:space="preserve"> </w:t>
      </w:r>
      <w:r>
        <w:t xml:space="preserve">OF</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31</w:t>
      </w:r>
    </w:p>
    <w:p>
      <w:pPr>
        <w:keepLines/>
        <w:tabs>
          <w:tab w:val="right" w:leader="dot" w:pos="9360"/>
        </w:tabs>
        <w:spacing w:before="100" w:after="0" w:line="322" w:lineRule="exact"/>
        <w:ind w:left="1440" w:right="560" w:hanging="720"/>
      </w:pPr>
      <w:r>
        <w:t xml:space="preserve">III. </w:t>
      </w:r>
      <w:r>
        <w:t xml:space="preserve">THE</w:t>
      </w:r>
      <w:r>
        <w:t xml:space="preserve"> </w:t>
      </w:r>
      <w:r>
        <w:t xml:space="preserve">TWITTER</w:t>
      </w:r>
      <w:r>
        <w:t xml:space="preserve"> </w:t>
      </w:r>
      <w:r>
        <w:t xml:space="preserve">SUBPOENA</w:t>
      </w:r>
      <w:r>
        <w:t xml:space="preserve"> </w:t>
      </w:r>
      <w:r>
        <w:t xml:space="preserve">VIOLATES</w:t>
      </w:r>
      <w:r>
        <w:t xml:space="preserve"> </w:t>
      </w:r>
      <w:r>
        <w:t xml:space="preserve">THE</w:t>
      </w:r>
      <w:r>
        <w:t xml:space="preserve"> </w:t>
      </w:r>
      <w:r>
        <w:t xml:space="preserve">FOURTH</w:t>
      </w:r>
      <w:r>
        <w:t xml:space="preserve"> </w:t>
      </w:r>
      <w:r>
        <w:t xml:space="preserve">AMENDMENT</w:t>
      </w:r>
      <w:r>
        <w:t xml:space="preserve"> </w:t>
      </w:r>
      <w:r>
        <w:t xml:space="preserve">AND</w:t>
      </w:r>
      <w:r>
        <w:t xml:space="preserve"> </w:t>
      </w:r>
      <w:r>
        <w:t xml:space="preserve">ARTICLE</w:t>
      </w:r>
      <w:r>
        <w:t xml:space="preserve"> </w:t>
      </w:r>
      <w:r>
        <w:t xml:space="preserve">I,</w:t>
      </w:r>
      <w:r>
        <w:t xml:space="preserve"> </w:t>
      </w:r>
      <w:r>
        <w:t xml:space="preserve">SECTION</w:t>
      </w:r>
      <w:r>
        <w:t xml:space="preserve"> </w:t>
      </w:r>
      <w:r>
        <w:t xml:space="preserve">12</w:t>
      </w:r>
      <w:r>
        <w:t xml:space="preserve"> </w:t>
      </w:r>
      <w:r>
        <w:t xml:space="preserve">OF</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36</w:t>
      </w:r>
    </w:p>
    <w:p>
      <w:pPr>
        <w:keepLines/>
        <w:tabs>
          <w:tab w:val="right" w:leader="dot" w:pos="9360"/>
        </w:tabs>
        <w:spacing w:before="100" w:after="0" w:line="322" w:lineRule="exact"/>
        <w:ind w:left="2160" w:right="560" w:hanging="720"/>
      </w:pPr>
      <w:r>
        <w:t xml:space="preserve">A. </w:t>
      </w:r>
      <w:r>
        <w:t xml:space="preserve">Individuals</w:t>
      </w:r>
      <w:r>
        <w:t xml:space="preserve"> </w:t>
      </w:r>
      <w:r>
        <w:t xml:space="preserve">Have</w:t>
      </w:r>
      <w:r>
        <w:t xml:space="preserve"> </w:t>
      </w:r>
      <w:r>
        <w:t xml:space="preserve">A</w:t>
      </w:r>
      <w:r>
        <w:t xml:space="preserve"> </w:t>
      </w:r>
      <w:r>
        <w:t xml:space="preserve">Reasonable</w:t>
      </w:r>
      <w:r>
        <w:t xml:space="preserve"> </w:t>
      </w:r>
      <w:r>
        <w:t xml:space="preserve">Expectation</w:t>
      </w:r>
      <w:r>
        <w:t xml:space="preserve"> </w:t>
      </w:r>
      <w:r>
        <w:t xml:space="preserve">Of</w:t>
      </w:r>
      <w:r>
        <w:t xml:space="preserve"> </w:t>
      </w:r>
      <w:r>
        <w:t xml:space="preserve">Privacy</w:t>
      </w:r>
      <w:r>
        <w:t xml:space="preserve"> </w:t>
      </w:r>
      <w:r>
        <w:t xml:space="preserve">In</w:t>
      </w:r>
      <w:r>
        <w:t xml:space="preserve"> </w:t>
      </w:r>
      <w:r>
        <w:t xml:space="preserve">Their</w:t>
      </w:r>
      <w:r>
        <w:t xml:space="preserve"> </w:t>
      </w:r>
      <w:r>
        <w:t xml:space="preserve">Locations</w:t>
      </w:r>
      <w:r>
        <w:t xml:space="preserve"> </w:t>
      </w:r>
      <w:r>
        <w:t xml:space="preserve">And</w:t>
      </w:r>
      <w:r>
        <w:t xml:space="preserve"> </w:t>
      </w:r>
      <w:r>
        <w:t xml:space="preserve">Movements</w:t>
      </w:r>
      <w:r>
        <w:t xml:space="preserve"> </w:t>
      </w:r>
      <w:r>
        <w:t xml:space="preserve">Over</w:t>
      </w:r>
      <w:r>
        <w:t xml:space="preserve"> </w:t>
      </w:r>
      <w:r>
        <w:t xml:space="preserve">Time.</w:t>
      </w:r>
      <w:r>
        <w:t xml:space="preserve">   </w:t>
      </w:r>
      <w:r>
        <w:tab/>
      </w:r>
      <w:r>
        <w:t xml:space="preserve">37</w:t>
      </w:r>
    </w:p>
    <w:p>
      <w:pPr>
        <w:keepLines/>
        <w:tabs>
          <w:tab w:val="right" w:leader="dot" w:pos="9360"/>
        </w:tabs>
        <w:spacing w:before="100" w:after="0" w:line="322" w:lineRule="exact"/>
        <w:ind w:left="2160" w:right="560" w:hanging="720"/>
      </w:pPr>
      <w:r>
        <w:t xml:space="preserve">B. </w:t>
      </w:r>
      <w:r>
        <w:t xml:space="preserve">Harris’s</w:t>
      </w:r>
      <w:r>
        <w:t xml:space="preserve"> </w:t>
      </w:r>
      <w:r>
        <w:t xml:space="preserve">Reasonable</w:t>
      </w:r>
      <w:r>
        <w:t xml:space="preserve"> </w:t>
      </w:r>
      <w:r>
        <w:t xml:space="preserve">Expectation</w:t>
      </w:r>
      <w:r>
        <w:t xml:space="preserve"> </w:t>
      </w:r>
      <w:r>
        <w:t xml:space="preserve">Of</w:t>
      </w:r>
      <w:r>
        <w:t xml:space="preserve"> </w:t>
      </w:r>
      <w:r>
        <w:t xml:space="preserve">Privacy</w:t>
      </w:r>
      <w:r>
        <w:t xml:space="preserve"> </w:t>
      </w:r>
      <w:r>
        <w:t xml:space="preserve">Is</w:t>
      </w:r>
      <w:r>
        <w:t xml:space="preserve"> </w:t>
      </w:r>
      <w:r>
        <w:t xml:space="preserve">Not</w:t>
      </w:r>
      <w:r>
        <w:t xml:space="preserve"> </w:t>
      </w:r>
      <w:r>
        <w:t xml:space="preserve">Eliminated</w:t>
      </w:r>
      <w:r>
        <w:t xml:space="preserve"> </w:t>
      </w:r>
      <w:r>
        <w:t xml:space="preserve">Simply</w:t>
      </w:r>
      <w:r>
        <w:t xml:space="preserve"> </w:t>
      </w:r>
      <w:r>
        <w:t xml:space="preserve">Because</w:t>
      </w:r>
      <w:r>
        <w:t xml:space="preserve"> </w:t>
      </w:r>
      <w:r>
        <w:t xml:space="preserve">His</w:t>
      </w:r>
      <w:r>
        <w:t xml:space="preserve"> </w:t>
      </w:r>
      <w:r>
        <w:t xml:space="preserve">IP</w:t>
      </w:r>
      <w:r>
        <w:t xml:space="preserve"> </w:t>
      </w:r>
      <w:r>
        <w:t xml:space="preserve">Addresses</w:t>
      </w:r>
      <w:r>
        <w:t xml:space="preserve"> </w:t>
      </w:r>
      <w:r>
        <w:t xml:space="preserve">Are</w:t>
      </w:r>
      <w:r>
        <w:t xml:space="preserve"> </w:t>
      </w:r>
      <w:r>
        <w:t xml:space="preserve">In</w:t>
      </w:r>
      <w:r>
        <w:t xml:space="preserve"> </w:t>
      </w:r>
      <w:r>
        <w:t xml:space="preserve">The</w:t>
      </w:r>
      <w:r>
        <w:t xml:space="preserve"> </w:t>
      </w:r>
      <w:r>
        <w:t xml:space="preserve">Possession</w:t>
      </w:r>
      <w:r>
        <w:t xml:space="preserve"> </w:t>
      </w:r>
      <w:r>
        <w:t xml:space="preserve">Of</w:t>
      </w:r>
      <w:r>
        <w:t xml:space="preserve"> </w:t>
      </w:r>
      <w:r>
        <w:t xml:space="preserve">Twitter.</w:t>
      </w:r>
      <w:r>
        <w:t xml:space="preserve">   </w:t>
      </w:r>
      <w:r>
        <w:tab/>
      </w:r>
      <w:r>
        <w:t xml:space="preserve">41</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Third-Party</w:t>
      </w:r>
      <w:r>
        <w:t xml:space="preserve"> </w:t>
      </w:r>
      <w:r>
        <w:t xml:space="preserve">Doctrine</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Information</w:t>
      </w:r>
      <w:r>
        <w:t xml:space="preserve"> </w:t>
      </w:r>
      <w:r>
        <w:t xml:space="preserve">Like</w:t>
      </w:r>
      <w:r>
        <w:t xml:space="preserve"> </w:t>
      </w:r>
      <w:r>
        <w:t xml:space="preserve">IP</w:t>
      </w:r>
      <w:r>
        <w:t xml:space="preserve"> </w:t>
      </w:r>
      <w:r>
        <w:t xml:space="preserve">Addresses</w:t>
      </w:r>
      <w:r>
        <w:t xml:space="preserve"> </w:t>
      </w:r>
      <w:r>
        <w:t xml:space="preserve">That</w:t>
      </w:r>
      <w:r>
        <w:t xml:space="preserve"> </w:t>
      </w:r>
      <w:r>
        <w:t xml:space="preserve">Reveals</w:t>
      </w:r>
      <w:r>
        <w:t xml:space="preserve"> </w:t>
      </w:r>
      <w:r>
        <w:t xml:space="preserve">Locations</w:t>
      </w:r>
      <w:r>
        <w:t xml:space="preserve"> </w:t>
      </w:r>
      <w:r>
        <w:t xml:space="preserve">And</w:t>
      </w:r>
      <w:r>
        <w:t xml:space="preserve"> </w:t>
      </w:r>
      <w:r>
        <w:t xml:space="preserve">Movements.</w:t>
      </w:r>
      <w:r>
        <w:t xml:space="preserve">   </w:t>
      </w:r>
      <w:r>
        <w:tab/>
      </w:r>
      <w:r>
        <w:t xml:space="preserve">41</w:t>
      </w:r>
    </w:p>
    <w:p>
      <w:pPr>
        <w:keepLines/>
        <w:tabs>
          <w:tab w:val="right" w:leader="dot" w:pos="9360"/>
        </w:tabs>
        <w:spacing w:before="100" w:after="0" w:line="322" w:lineRule="exact"/>
        <w:ind w:left="2880" w:right="560" w:hanging="720"/>
      </w:pPr>
      <w:r>
        <w:t xml:space="preserve">2. </w:t>
      </w:r>
      <w:r>
        <w:t xml:space="preserve">The</w:t>
      </w:r>
      <w:r>
        <w:t xml:space="preserve"> </w:t>
      </w:r>
      <w:r>
        <w:t xml:space="preserve">Third-Party</w:t>
      </w:r>
      <w:r>
        <w:t xml:space="preserve"> </w:t>
      </w:r>
      <w:r>
        <w:t xml:space="preserve">Doctrine</w:t>
      </w:r>
      <w:r>
        <w:t xml:space="preserve"> </w:t>
      </w:r>
      <w:r>
        <w:t xml:space="preserve">Should</w:t>
      </w:r>
      <w:r>
        <w:t xml:space="preserve"> </w:t>
      </w:r>
      <w:r>
        <w:t xml:space="preserve">Not</w:t>
      </w:r>
      <w:r>
        <w:t xml:space="preserve"> </w:t>
      </w:r>
      <w:r>
        <w:t xml:space="preserve">Be</w:t>
      </w:r>
      <w:r>
        <w:t xml:space="preserve"> </w:t>
      </w:r>
      <w:r>
        <w:t xml:space="preserve">Controlling</w:t>
      </w:r>
      <w:r>
        <w:t xml:space="preserve"> </w:t>
      </w:r>
      <w:r>
        <w:t xml:space="preserve">Under</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47</w:t>
      </w:r>
    </w:p>
    <w:p>
      <w:pPr>
        <w:keepLines/>
        <w:tabs>
          <w:tab w:val="right" w:leader="dot" w:pos="9360"/>
        </w:tabs>
        <w:spacing w:before="100" w:after="0" w:line="322" w:lineRule="exact"/>
        <w:ind w:left="720" w:right="560" w:hanging="720"/>
      </w:pPr>
      <w:r>
        <w:t xml:space="preserve">Conclusion</w:t>
      </w:r>
      <w:r>
        <w:t xml:space="preserve">   </w:t>
      </w:r>
      <w:r>
        <w:tab/>
      </w:r>
      <w:r>
        <w:t xml:space="preserve">49</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540" w:hanging="504"/>
      </w:pPr>
      <w:r>
        <w:rPr>
          <w:i/>
          <w:iCs/>
        </w:rPr>
        <w:t xml:space="preserve">Amazon.com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Lay</w:t>
      </w:r>
      <w:r>
        <w:t xml:space="preserve">,</w:t>
      </w:r>
      <w:r>
        <w:t xml:space="preserve"> </w:t>
      </w:r>
      <w:r>
        <w:t xml:space="preserve">758</w:t>
      </w:r>
      <w:r>
        <w:t xml:space="preserve"> </w:t>
      </w:r>
      <w:r>
        <w:t xml:space="preserve">F.</w:t>
      </w:r>
      <w:r>
        <w:t xml:space="preserve"> </w:t>
      </w:r>
      <w:r>
        <w:t xml:space="preserve">Supp.</w:t>
      </w:r>
      <w:r>
        <w:t xml:space="preserve"> </w:t>
      </w:r>
      <w:r>
        <w:t xml:space="preserve">2d</w:t>
      </w:r>
      <w:r>
        <w:t xml:space="preserve"> </w:t>
      </w:r>
      <w:r>
        <w:t xml:space="preserve">1154</w:t>
      </w:r>
      <w:r>
        <w:t xml:space="preserve"> </w:t>
      </w:r>
      <w:r>
        <w:t xml:space="preserve">(W.D.</w:t>
      </w:r>
      <w:r>
        <w:t xml:space="preserve"> </w:t>
      </w:r>
      <w:r>
        <w:t xml:space="preserve">Wash.</w:t>
      </w:r>
      <w:r>
        <w:t xml:space="preserve"> </w:t>
      </w:r>
      <w:r>
        <w:t xml:space="preserve">2010)</w:t>
      </w:r>
      <w:r>
        <w:t xml:space="preserve">   </w:t>
      </w:r>
      <w:r>
        <w:tab/>
      </w:r>
      <w:r>
        <w:t xml:space="preserve">15, 29, 33, 35</w:t>
      </w:r>
    </w:p>
    <w:p>
      <w:pPr>
        <w:keepLines/>
        <w:tabs>
          <w:tab w:val="right" w:leader="dot" w:pos="9360"/>
        </w:tabs>
        <w:spacing w:before="196" w:after="0" w:line="322" w:lineRule="exact"/>
        <w:ind w:left="504" w:right="1120" w:hanging="504"/>
      </w:pPr>
      <w:r>
        <w:rPr>
          <w:i/>
          <w:iCs/>
        </w:rPr>
        <w:t xml:space="preserve">Arista</w:t>
      </w:r>
      <w:r>
        <w:rPr>
          <w:i/>
          <w:iCs/>
        </w:rPr>
        <w:t xml:space="preserve"> </w:t>
      </w:r>
      <w:r>
        <w:rPr>
          <w:i/>
          <w:iCs/>
        </w:rPr>
        <w:t xml:space="preserve">Records,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Doe</w:t>
      </w:r>
      <w:r>
        <w:rPr>
          <w:i/>
          <w:iCs/>
        </w:rPr>
        <w:t xml:space="preserve"> </w:t>
      </w:r>
      <w:r>
        <w:rPr>
          <w:i/>
          <w:iCs/>
        </w:rPr>
        <w:t xml:space="preserve">3</w:t>
      </w:r>
      <w:r>
        <w:t xml:space="preserve">,</w:t>
      </w:r>
      <w:r>
        <w:t xml:space="preserve"> </w:t>
      </w:r>
      <w:r>
        <w:t xml:space="preserve">604</w:t>
      </w:r>
      <w:r>
        <w:t xml:space="preserve"> </w:t>
      </w:r>
      <w:r>
        <w:t xml:space="preserve">F.3d</w:t>
      </w:r>
      <w:r>
        <w:t xml:space="preserve"> </w:t>
      </w:r>
      <w:r>
        <w:t xml:space="preserve">110</w:t>
      </w:r>
      <w:r>
        <w:t xml:space="preserve"> </w:t>
      </w:r>
      <w:r>
        <w:t xml:space="preserve">(2d</w:t>
      </w:r>
      <w:r>
        <w:t xml:space="preserve"> </w:t>
      </w:r>
      <w:r>
        <w:t xml:space="preserve">Cir.</w:t>
      </w:r>
      <w:r>
        <w:t xml:space="preserve"> </w:t>
      </w:r>
      <w:r>
        <w:t xml:space="preserve">2010)</w:t>
      </w:r>
      <w:r>
        <w:t xml:space="preserve">   </w:t>
      </w:r>
      <w:r>
        <w:tab/>
      </w:r>
      <w:r>
        <w:t xml:space="preserve">17</w:t>
      </w:r>
    </w:p>
    <w:p>
      <w:pPr>
        <w:keepLines/>
        <w:tabs>
          <w:tab w:val="right" w:leader="dot" w:pos="9360"/>
        </w:tabs>
        <w:spacing w:before="196" w:after="0" w:line="322" w:lineRule="exact"/>
        <w:ind w:left="504" w:right="1120" w:hanging="504"/>
      </w:pPr>
      <w:r>
        <w:rPr>
          <w:i/>
          <w:iCs/>
        </w:rPr>
        <w:t xml:space="preserve">Ashcroft</w:t>
      </w:r>
      <w:r>
        <w:rPr>
          <w:i/>
          <w:iCs/>
        </w:rPr>
        <w:t xml:space="preserve"> </w:t>
      </w:r>
      <w:r>
        <w:rPr>
          <w:i/>
          <w:iCs/>
        </w:rPr>
        <w:t xml:space="preserve">v.</w:t>
      </w:r>
      <w:r>
        <w:rPr>
          <w:i/>
          <w:iCs/>
        </w:rPr>
        <w:t xml:space="preserve"> </w:t>
      </w:r>
      <w:r>
        <w:rPr>
          <w:i/>
          <w:iCs/>
        </w:rPr>
        <w:t xml:space="preserve">ACLU</w:t>
      </w:r>
      <w:r>
        <w:t xml:space="preserve">,</w:t>
      </w:r>
      <w:r>
        <w:t xml:space="preserve"> </w:t>
      </w:r>
      <w:r>
        <w:t xml:space="preserve">542</w:t>
      </w:r>
      <w:r>
        <w:t xml:space="preserve"> </w:t>
      </w:r>
      <w:r>
        <w:t xml:space="preserve">U.S.</w:t>
      </w:r>
      <w:r>
        <w:t xml:space="preserve"> </w:t>
      </w:r>
      <w:r>
        <w:t xml:space="preserve">656,</w:t>
      </w:r>
      <w:r>
        <w:t xml:space="preserve"> </w:t>
      </w:r>
      <w:r>
        <w:t xml:space="preserve">660</w:t>
      </w:r>
      <w:r>
        <w:t xml:space="preserve"> </w:t>
      </w:r>
      <w:r>
        <w:t xml:space="preserve">(2004)</w:t>
      </w:r>
      <w:r>
        <w:t xml:space="preserve">   </w:t>
      </w:r>
      <w:r>
        <w:tab/>
      </w:r>
      <w:r>
        <w:t xml:space="preserve">36</w:t>
      </w:r>
    </w:p>
    <w:p>
      <w:pPr>
        <w:keepLines/>
        <w:tabs>
          <w:tab w:val="right" w:leader="dot" w:pos="9360"/>
        </w:tabs>
        <w:spacing w:before="196" w:after="0" w:line="322" w:lineRule="exact"/>
        <w:ind w:left="504" w:right="1120" w:hanging="504"/>
      </w:pPr>
      <w:r>
        <w:rPr>
          <w:i/>
          <w:iCs/>
        </w:rPr>
        <w:t xml:space="preserve">Bantam</w:t>
      </w:r>
      <w:r>
        <w:rPr>
          <w:i/>
          <w:iCs/>
        </w:rPr>
        <w:t xml:space="preserve"> </w:t>
      </w:r>
      <w:r>
        <w:rPr>
          <w:i/>
          <w:iCs/>
        </w:rPr>
        <w:t xml:space="preserve">Books,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372</w:t>
      </w:r>
      <w:r>
        <w:t xml:space="preserve"> </w:t>
      </w:r>
      <w:r>
        <w:t xml:space="preserve">U.S.</w:t>
      </w:r>
      <w:r>
        <w:t xml:space="preserve"> </w:t>
      </w:r>
      <w:r>
        <w:t xml:space="preserve">58</w:t>
      </w:r>
      <w:r>
        <w:t xml:space="preserve"> </w:t>
      </w:r>
      <w:r>
        <w:t xml:space="preserve">(1963)</w:t>
      </w:r>
      <w:r>
        <w:t xml:space="preserve">   </w:t>
      </w:r>
      <w:r>
        <w:tab/>
      </w:r>
      <w:r>
        <w:t xml:space="preserve">25</w:t>
      </w:r>
    </w:p>
    <w:p>
      <w:pPr>
        <w:keepLines/>
        <w:tabs>
          <w:tab w:val="right" w:leader="dot" w:pos="9360"/>
        </w:tabs>
        <w:spacing w:before="196" w:after="0" w:line="322" w:lineRule="exact"/>
        <w:ind w:left="504" w:right="1120" w:hanging="504"/>
      </w:pPr>
      <w:r>
        <w:rPr>
          <w:i/>
          <w:iCs/>
        </w:rPr>
        <w:t xml:space="preserve">Bradosky</w:t>
      </w:r>
      <w:r>
        <w:rPr>
          <w:i/>
          <w:iCs/>
        </w:rPr>
        <w:t xml:space="preserve"> </w:t>
      </w:r>
      <w:r>
        <w:rPr>
          <w:i/>
          <w:iCs/>
        </w:rPr>
        <w:t xml:space="preserve">v</w:t>
      </w:r>
      <w:r>
        <w:rPr>
          <w:i/>
          <w:iCs/>
        </w:rPr>
        <w:t xml:space="preserve"> </w:t>
      </w:r>
      <w:r>
        <w:rPr>
          <w:i/>
          <w:iCs/>
        </w:rPr>
        <w:t xml:space="preserve">Volkswagen</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Inc.</w:t>
      </w:r>
      <w:r>
        <w:t xml:space="preserve">,</w:t>
      </w:r>
      <w:r>
        <w:t xml:space="preserve"> </w:t>
      </w:r>
      <w:r>
        <w:t xml:space="preserve">No.</w:t>
      </w:r>
      <w:r>
        <w:t xml:space="preserve"> </w:t>
      </w:r>
      <w:r>
        <w:t xml:space="preserve">M8</w:t>
        <w:noBreakHyphen/>
        <w:t xml:space="preserve">85</w:t>
      </w:r>
      <w:r>
        <w:t xml:space="preserve"> </w:t>
      </w:r>
      <w:r>
        <w:t xml:space="preserve">(SWK),</w:t>
      </w:r>
      <w:r>
        <w:t xml:space="preserve"> </w:t>
      </w:r>
      <w:r>
        <w:t xml:space="preserve">1988</w:t>
      </w:r>
      <w:r>
        <w:t xml:space="preserve"> </w:t>
      </w:r>
      <w:r>
        <w:t xml:space="preserve">WL</w:t>
      </w:r>
      <w:r>
        <w:t xml:space="preserve"> </w:t>
      </w:r>
      <w:r>
        <w:t xml:space="preserve">5433</w:t>
      </w:r>
      <w:r>
        <w:t xml:space="preserve"> </w:t>
      </w:r>
      <w:r>
        <w:t xml:space="preserve">(S.D.N.Y.</w:t>
      </w:r>
      <w:r>
        <w:t xml:space="preserve"> </w:t>
      </w:r>
      <w:r>
        <w:t xml:space="preserve">Jan.</w:t>
      </w:r>
      <w:r>
        <w:t xml:space="preserve"> </w:t>
      </w:r>
      <w:r>
        <w:t xml:space="preserve">15,</w:t>
      </w:r>
      <w:r>
        <w:t xml:space="preserve"> </w:t>
      </w:r>
      <w:r>
        <w:t xml:space="preserve">1988)</w:t>
      </w:r>
      <w:r>
        <w:t xml:space="preserve">   </w:t>
      </w:r>
      <w:r>
        <w:tab/>
      </w:r>
      <w:r>
        <w:t xml:space="preserve">35</w:t>
      </w:r>
    </w:p>
    <w:p>
      <w:pPr>
        <w:keepLines/>
        <w:tabs>
          <w:tab w:val="right" w:leader="dot" w:pos="9360"/>
        </w:tabs>
        <w:spacing w:before="196" w:after="0" w:line="322" w:lineRule="exact"/>
        <w:ind w:left="504" w:right="1120" w:hanging="504"/>
      </w:pPr>
      <w:r>
        <w:rPr>
          <w:i/>
          <w:iCs/>
        </w:rPr>
        <w:t xml:space="preserve">Brock</w:t>
      </w:r>
      <w:r>
        <w:rPr>
          <w:i/>
          <w:iCs/>
        </w:rPr>
        <w:t xml:space="preserve"> </w:t>
      </w:r>
      <w:r>
        <w:rPr>
          <w:i/>
          <w:iCs/>
        </w:rPr>
        <w:t xml:space="preserve">v.</w:t>
      </w:r>
      <w:r>
        <w:rPr>
          <w:i/>
          <w:iCs/>
        </w:rPr>
        <w:t xml:space="preserve"> </w:t>
      </w:r>
      <w:r>
        <w:rPr>
          <w:i/>
          <w:iCs/>
        </w:rPr>
        <w:t xml:space="preserve">Local</w:t>
      </w:r>
      <w:r>
        <w:rPr>
          <w:i/>
          <w:iCs/>
        </w:rPr>
        <w:t xml:space="preserve"> </w:t>
      </w:r>
      <w:r>
        <w:rPr>
          <w:i/>
          <w:iCs/>
        </w:rPr>
        <w:t xml:space="preserve">375,</w:t>
      </w:r>
      <w:r>
        <w:rPr>
          <w:i/>
          <w:iCs/>
        </w:rPr>
        <w:t xml:space="preserve"> </w:t>
      </w:r>
      <w:r>
        <w:rPr>
          <w:i/>
          <w:iCs/>
        </w:rPr>
        <w:t xml:space="preserve">Plumbers</w:t>
      </w:r>
      <w:r>
        <w:rPr>
          <w:i/>
          <w:iCs/>
        </w:rPr>
        <w:t xml:space="preserve"> </w:t>
      </w:r>
      <w:r>
        <w:rPr>
          <w:i/>
          <w:iCs/>
        </w:rPr>
        <w:t xml:space="preserve">Int’l</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Am.</w:t>
      </w:r>
      <w:r>
        <w:t xml:space="preserve">,</w:t>
      </w:r>
      <w:r>
        <w:t xml:space="preserve"> </w:t>
      </w:r>
      <w:r>
        <w:t xml:space="preserve">860</w:t>
      </w:r>
      <w:r>
        <w:t xml:space="preserve"> </w:t>
      </w:r>
      <w:r>
        <w:t xml:space="preserve">F.2d</w:t>
      </w:r>
      <w:r>
        <w:t xml:space="preserve"> </w:t>
      </w:r>
      <w:r>
        <w:t xml:space="preserve">346</w:t>
      </w:r>
      <w:r>
        <w:t xml:space="preserve"> </w:t>
      </w:r>
      <w:r>
        <w:t xml:space="preserve">(9th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196" w:after="0" w:line="322" w:lineRule="exact"/>
        <w:ind w:left="504" w:right="1120" w:hanging="504"/>
      </w:pPr>
      <w:r>
        <w:rPr>
          <w:i/>
          <w:iCs/>
        </w:rPr>
        <w:t xml:space="preserve">City</w:t>
      </w:r>
      <w:r>
        <w:rPr>
          <w:i/>
          <w:iCs/>
        </w:rPr>
        <w:t xml:space="preserve"> </w:t>
      </w:r>
      <w:r>
        <w:rPr>
          <w:i/>
          <w:iCs/>
        </w:rPr>
        <w:t xml:space="preserve">of</w:t>
      </w:r>
      <w:r>
        <w:rPr>
          <w:i/>
          <w:iCs/>
        </w:rPr>
        <w:t xml:space="preserve"> </w:t>
      </w:r>
      <w:r>
        <w:rPr>
          <w:i/>
          <w:iCs/>
        </w:rPr>
        <w:t xml:space="preserve">Ladue</w:t>
      </w:r>
      <w:r>
        <w:rPr>
          <w:i/>
          <w:iCs/>
        </w:rPr>
        <w:t xml:space="preserve"> </w:t>
      </w:r>
      <w:r>
        <w:rPr>
          <w:i/>
          <w:iCs/>
        </w:rPr>
        <w:t xml:space="preserve">v.</w:t>
      </w:r>
      <w:r>
        <w:rPr>
          <w:i/>
          <w:iCs/>
        </w:rPr>
        <w:t xml:space="preserve"> </w:t>
      </w:r>
      <w:r>
        <w:rPr>
          <w:i/>
          <w:iCs/>
        </w:rPr>
        <w:t xml:space="preserve">Gilleo</w:t>
      </w:r>
      <w:r>
        <w:t xml:space="preserve">,</w:t>
      </w:r>
      <w:r>
        <w:t xml:space="preserve"> </w:t>
      </w:r>
      <w:r>
        <w:t xml:space="preserve">512</w:t>
      </w:r>
      <w:r>
        <w:t xml:space="preserve"> </w:t>
      </w:r>
      <w:r>
        <w:t xml:space="preserve">U.S.</w:t>
      </w:r>
      <w:r>
        <w:t xml:space="preserve"> </w:t>
      </w:r>
      <w:r>
        <w:t xml:space="preserve">43</w:t>
      </w:r>
      <w:r>
        <w:t xml:space="preserve"> </w:t>
      </w:r>
      <w:r>
        <w:t xml:space="preserve">(1994)</w:t>
      </w:r>
      <w:r>
        <w:t xml:space="preserve">   </w:t>
      </w:r>
      <w:r>
        <w:tab/>
      </w:r>
      <w:r>
        <w:t xml:space="preserve">24</w:t>
      </w:r>
    </w:p>
    <w:p>
      <w:pPr>
        <w:keepLines/>
        <w:tabs>
          <w:tab w:val="right" w:leader="dot" w:pos="9360"/>
        </w:tabs>
        <w:spacing w:before="196" w:after="0" w:line="322" w:lineRule="exact"/>
        <w:ind w:left="504" w:right="1120" w:hanging="504"/>
      </w:pPr>
      <w:r>
        <w:rPr>
          <w:i/>
          <w:iCs/>
        </w:rPr>
        <w:t xml:space="preserve">Cohen</w:t>
      </w:r>
      <w:r>
        <w:rPr>
          <w:i/>
          <w:iCs/>
        </w:rPr>
        <w:t xml:space="preserve"> </w:t>
      </w:r>
      <w:r>
        <w:rPr>
          <w:i/>
          <w:iCs/>
        </w:rPr>
        <w:t xml:space="preserve">v.</w:t>
      </w:r>
      <w:r>
        <w:rPr>
          <w:i/>
          <w:iCs/>
        </w:rPr>
        <w:t xml:space="preserve"> </w:t>
      </w:r>
      <w:r>
        <w:rPr>
          <w:i/>
          <w:iCs/>
        </w:rPr>
        <w:t xml:space="preserve">Google,</w:t>
      </w:r>
      <w:r>
        <w:rPr>
          <w:i/>
          <w:iCs/>
        </w:rPr>
        <w:t xml:space="preserve"> </w:t>
      </w:r>
      <w:r>
        <w:rPr>
          <w:i/>
          <w:iCs/>
        </w:rPr>
        <w:t xml:space="preserve">Inc.</w:t>
      </w:r>
      <w:r>
        <w:t xml:space="preserve">,</w:t>
      </w:r>
      <w:r>
        <w:t xml:space="preserve"> </w:t>
      </w:r>
      <w:r>
        <w:t xml:space="preserve">887</w:t>
      </w:r>
      <w:r>
        <w:t xml:space="preserve"> </w:t>
      </w:r>
      <w:r>
        <w:t xml:space="preserve">N.Y.S.2d</w:t>
      </w:r>
      <w:r>
        <w:t xml:space="preserve"> </w:t>
      </w:r>
      <w:r>
        <w:t xml:space="preserve">424</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2009]</w:t>
      </w:r>
      <w:r>
        <w:t xml:space="preserve">   </w:t>
      </w:r>
      <w:r>
        <w:tab/>
      </w:r>
      <w:r>
        <w:t xml:space="preserve">17</w:t>
      </w:r>
    </w:p>
    <w:p>
      <w:pPr>
        <w:keepLines/>
        <w:tabs>
          <w:tab w:val="right" w:leader="dot" w:pos="9360"/>
        </w:tabs>
        <w:spacing w:before="196" w:after="0" w:line="322" w:lineRule="exact"/>
        <w:ind w:left="504" w:right="1120" w:hanging="504"/>
      </w:pPr>
      <w:r>
        <w:rPr>
          <w:i/>
          <w:iCs/>
        </w:rPr>
        <w:t xml:space="preserve">Comty.-Serv.</w:t>
      </w:r>
      <w:r>
        <w:rPr>
          <w:i/>
          <w:iCs/>
        </w:rPr>
        <w:t xml:space="preserve"> </w:t>
      </w:r>
      <w:r>
        <w:rPr>
          <w:i/>
          <w:iCs/>
        </w:rPr>
        <w:t xml:space="preserve">Broad.</w:t>
      </w:r>
      <w:r>
        <w:rPr>
          <w:i/>
          <w:iCs/>
        </w:rPr>
        <w:t xml:space="preserve"> </w:t>
      </w:r>
      <w:r>
        <w:rPr>
          <w:i/>
          <w:iCs/>
        </w:rPr>
        <w:t xml:space="preserve">of</w:t>
      </w:r>
      <w:r>
        <w:rPr>
          <w:i/>
          <w:iCs/>
        </w:rPr>
        <w:t xml:space="preserve"> </w:t>
      </w:r>
      <w:r>
        <w:rPr>
          <w:i/>
          <w:iCs/>
        </w:rPr>
        <w:t xml:space="preserve">Mid-Am.,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w:t>
      </w:r>
      <w:r>
        <w:t xml:space="preserve"> </w:t>
      </w:r>
      <w:r>
        <w:t xml:space="preserve">593</w:t>
      </w:r>
      <w:r>
        <w:t xml:space="preserve"> </w:t>
      </w:r>
      <w:r>
        <w:t xml:space="preserve">F.2d</w:t>
      </w:r>
      <w:r>
        <w:t xml:space="preserve"> </w:t>
      </w:r>
      <w:r>
        <w:t xml:space="preserve">1102</w:t>
      </w:r>
      <w:r>
        <w:t xml:space="preserve"> </w:t>
      </w:r>
      <w:r>
        <w:t xml:space="preserve">(D.C.</w:t>
      </w:r>
      <w:r>
        <w:t xml:space="preserve"> </w:t>
      </w:r>
      <w:r>
        <w:t xml:space="preserve">Cir.</w:t>
      </w:r>
      <w:r>
        <w:t xml:space="preserve"> </w:t>
      </w:r>
      <w:r>
        <w:t xml:space="preserve">1978)</w:t>
      </w:r>
      <w:r>
        <w:t xml:space="preserve">   </w:t>
      </w:r>
      <w:r>
        <w:tab/>
      </w:r>
      <w:r>
        <w:t xml:space="preserve">23</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2theMart.com,</w:t>
      </w:r>
      <w:r>
        <w:rPr>
          <w:i/>
          <w:iCs/>
        </w:rPr>
        <w:t xml:space="preserve"> </w:t>
      </w:r>
      <w:r>
        <w:rPr>
          <w:i/>
          <w:iCs/>
        </w:rPr>
        <w:t xml:space="preserve">Inc.</w:t>
      </w:r>
      <w:r>
        <w:t xml:space="preserve">,</w:t>
      </w:r>
      <w:r>
        <w:t xml:space="preserve"> </w:t>
      </w:r>
      <w:r>
        <w:t xml:space="preserve">140</w:t>
      </w:r>
      <w:r>
        <w:t xml:space="preserve"> </w:t>
      </w:r>
      <w:r>
        <w:t xml:space="preserve">F.</w:t>
      </w:r>
      <w:r>
        <w:t xml:space="preserve"> </w:t>
      </w:r>
      <w:r>
        <w:t xml:space="preserve">Supp.</w:t>
      </w:r>
      <w:r>
        <w:t xml:space="preserve"> </w:t>
      </w:r>
      <w:r>
        <w:t xml:space="preserve">2d</w:t>
      </w:r>
      <w:r>
        <w:t xml:space="preserve"> </w:t>
      </w:r>
      <w:r>
        <w:t xml:space="preserve">1088,</w:t>
      </w:r>
      <w:r>
        <w:t xml:space="preserve"> </w:t>
      </w:r>
      <w:r>
        <w:t xml:space="preserve">1097</w:t>
      </w:r>
      <w:r>
        <w:t xml:space="preserve"> </w:t>
      </w:r>
      <w:r>
        <w:t xml:space="preserve">(W.D.</w:t>
      </w:r>
      <w:r>
        <w:t xml:space="preserve"> </w:t>
      </w:r>
      <w:r>
        <w:t xml:space="preserve">Wash.</w:t>
      </w:r>
      <w:r>
        <w:t xml:space="preserve"> </w:t>
      </w:r>
      <w:r>
        <w:t xml:space="preserve">2001)</w:t>
      </w:r>
      <w:r>
        <w:t xml:space="preserve">   </w:t>
      </w:r>
      <w:r>
        <w:tab/>
      </w:r>
      <w:r>
        <w:t xml:space="preserve">30</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334</w:t>
      </w:r>
      <w:r>
        <w:t xml:space="preserve"> </w:t>
      </w:r>
      <w:r>
        <w:t xml:space="preserve">F.</w:t>
      </w:r>
      <w:r>
        <w:t xml:space="preserve"> </w:t>
      </w:r>
      <w:r>
        <w:t xml:space="preserve">Supp.</w:t>
      </w:r>
      <w:r>
        <w:t xml:space="preserve"> </w:t>
      </w:r>
      <w:r>
        <w:t xml:space="preserve">2d</w:t>
      </w:r>
      <w:r>
        <w:t xml:space="preserve"> </w:t>
      </w:r>
      <w:r>
        <w:t xml:space="preserve">471,</w:t>
      </w:r>
      <w:r>
        <w:t xml:space="preserve"> </w:t>
      </w:r>
      <w:r>
        <w:t xml:space="preserve">508</w:t>
        <w:noBreakHyphen/>
        <w:t xml:space="preserve">09</w:t>
      </w:r>
      <w:r>
        <w:t xml:space="preserve"> </w:t>
      </w:r>
      <w:r>
        <w:t xml:space="preserve">(S.D.N.Y.</w:t>
      </w:r>
      <w:r>
        <w:t xml:space="preserve"> </w:t>
      </w:r>
      <w:r>
        <w:t xml:space="preserve">2004)</w:t>
      </w:r>
      <w:r>
        <w:t xml:space="preserve">   </w:t>
      </w:r>
      <w:r>
        <w:tab/>
      </w:r>
      <w:r>
        <w:t xml:space="preserve">15, 17, 44</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449</w:t>
      </w:r>
      <w:r>
        <w:t xml:space="preserve"> </w:t>
      </w:r>
      <w:r>
        <w:t xml:space="preserve">F.3d</w:t>
      </w:r>
      <w:r>
        <w:t xml:space="preserve"> </w:t>
      </w:r>
      <w:r>
        <w:t xml:space="preserve">415</w:t>
      </w:r>
      <w:r>
        <w:t xml:space="preserve"> </w:t>
      </w:r>
      <w:r>
        <w:t xml:space="preserve">(2d</w:t>
      </w:r>
      <w:r>
        <w:t xml:space="preserve"> </w:t>
      </w:r>
      <w:r>
        <w:t xml:space="preserve">Cir.</w:t>
      </w:r>
      <w:r>
        <w:t xml:space="preserve"> </w:t>
      </w:r>
      <w:r>
        <w:t xml:space="preserve">2006)</w:t>
      </w:r>
      <w:r>
        <w:t xml:space="preserve">   </w:t>
      </w:r>
      <w:r>
        <w:tab/>
      </w:r>
      <w:r>
        <w:t xml:space="preserve">16</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SEC</w:t>
      </w:r>
      <w:r>
        <w:t xml:space="preserve">,</w:t>
      </w:r>
      <w:r>
        <w:t xml:space="preserve"> </w:t>
      </w:r>
      <w:r>
        <w:t xml:space="preserve">No.</w:t>
      </w:r>
      <w:r>
        <w:t xml:space="preserve"> </w:t>
      </w:r>
      <w:r>
        <w:t xml:space="preserve">C</w:t>
      </w:r>
      <w:r>
        <w:t xml:space="preserve"> </w:t>
      </w:r>
      <w:r>
        <w:t xml:space="preserve">11</w:t>
        <w:noBreakHyphen/>
        <w:t xml:space="preserve">80209</w:t>
      </w:r>
      <w:r>
        <w:t xml:space="preserve"> </w:t>
      </w:r>
      <w:r>
        <w:t xml:space="preserve">CRB,</w:t>
      </w:r>
      <w:r>
        <w:t xml:space="preserve"> </w:t>
      </w:r>
      <w:r>
        <w:t xml:space="preserve">2011</w:t>
      </w:r>
      <w:r>
        <w:t xml:space="preserve"> </w:t>
      </w:r>
      <w:r>
        <w:t xml:space="preserve">WL</w:t>
      </w:r>
      <w:r>
        <w:t xml:space="preserve"> </w:t>
      </w:r>
      <w:r>
        <w:t xml:space="preserve">5600513</w:t>
      </w:r>
      <w:r>
        <w:t xml:space="preserve"> </w:t>
      </w:r>
      <w:r>
        <w:t xml:space="preserve">(N.D.</w:t>
      </w:r>
      <w:r>
        <w:t xml:space="preserve"> </w:t>
      </w:r>
      <w:r>
        <w:t xml:space="preserve">Cal.</w:t>
      </w:r>
      <w:r>
        <w:t xml:space="preserve"> </w:t>
      </w:r>
      <w:r>
        <w:t xml:space="preserve">Nov.</w:t>
      </w:r>
      <w:r>
        <w:t xml:space="preserve"> </w:t>
      </w:r>
      <w:r>
        <w:t xml:space="preserve">17,</w:t>
      </w:r>
      <w:r>
        <w:t xml:space="preserve"> </w:t>
      </w:r>
      <w:r>
        <w:t xml:space="preserve">2011)</w:t>
      </w:r>
      <w:r>
        <w:t xml:space="preserve">   </w:t>
      </w:r>
      <w:r>
        <w:tab/>
      </w:r>
      <w:r>
        <w:t xml:space="preserve">15</w:t>
      </w:r>
    </w:p>
    <w:p>
      <w:pPr>
        <w:keepLines/>
        <w:tabs>
          <w:tab w:val="right" w:leader="dot" w:pos="9360"/>
        </w:tabs>
        <w:spacing w:before="196" w:after="0" w:line="322" w:lineRule="exact"/>
        <w:ind w:left="504" w:right="1120" w:hanging="504"/>
      </w:pPr>
      <w:r>
        <w:rPr>
          <w:i/>
          <w:iCs/>
        </w:rPr>
        <w:t xml:space="preserve">Eastland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Servicemen’s</w:t>
      </w:r>
      <w:r>
        <w:rPr>
          <w:i/>
          <w:iCs/>
        </w:rPr>
        <w:t xml:space="preserve"> </w:t>
      </w:r>
      <w:r>
        <w:rPr>
          <w:i/>
          <w:iCs/>
        </w:rPr>
        <w:t xml:space="preserve">Fund</w:t>
      </w:r>
      <w:r>
        <w:t xml:space="preserve">,</w:t>
      </w:r>
      <w:r>
        <w:t xml:space="preserve"> </w:t>
      </w:r>
      <w:r>
        <w:t xml:space="preserve">421</w:t>
      </w:r>
      <w:r>
        <w:t xml:space="preserve"> </w:t>
      </w:r>
      <w:r>
        <w:t xml:space="preserve">U.S.</w:t>
      </w:r>
      <w:r>
        <w:t xml:space="preserve"> </w:t>
      </w:r>
      <w:r>
        <w:t xml:space="preserve">491</w:t>
      </w:r>
      <w:r>
        <w:t xml:space="preserve"> </w:t>
      </w:r>
      <w:r>
        <w:t xml:space="preserve">(1975)</w:t>
      </w:r>
      <w:r>
        <w:t xml:space="preserve">   </w:t>
      </w:r>
      <w:r>
        <w:tab/>
      </w:r>
      <w:r>
        <w:t xml:space="preserve">13, 14, 17</w:t>
      </w:r>
    </w:p>
    <w:p>
      <w:pPr>
        <w:keepLines/>
        <w:tabs>
          <w:tab w:val="right" w:leader="dot" w:pos="9360"/>
        </w:tabs>
        <w:spacing w:before="196" w:after="0" w:line="322" w:lineRule="exact"/>
        <w:ind w:left="504" w:right="1120" w:hanging="504"/>
      </w:pPr>
      <w:r>
        <w:rPr>
          <w:i/>
          <w:iCs/>
        </w:rPr>
        <w:t xml:space="preserve">Ex</w:t>
      </w:r>
      <w:r>
        <w:rPr>
          <w:i/>
          <w:iCs/>
        </w:rPr>
        <w:t xml:space="preserve"> </w:t>
      </w:r>
      <w:r>
        <w:rPr>
          <w:i/>
          <w:iCs/>
        </w:rPr>
        <w:t xml:space="preserve">parte</w:t>
      </w:r>
      <w:r>
        <w:rPr>
          <w:i/>
          <w:iCs/>
        </w:rPr>
        <w:t xml:space="preserve"> </w:t>
      </w:r>
      <w:r>
        <w:rPr>
          <w:i/>
          <w:iCs/>
        </w:rPr>
        <w:t xml:space="preserve">Jackson</w:t>
      </w:r>
      <w:r>
        <w:t xml:space="preserve">,</w:t>
      </w:r>
      <w:r>
        <w:t xml:space="preserve"> </w:t>
      </w:r>
      <w:r>
        <w:t xml:space="preserve">96</w:t>
      </w:r>
      <w:r>
        <w:t xml:space="preserve"> </w:t>
      </w:r>
      <w:r>
        <w:t xml:space="preserve">U.S.</w:t>
      </w:r>
      <w:r>
        <w:t xml:space="preserve"> </w:t>
      </w:r>
      <w:r>
        <w:t xml:space="preserve">727,</w:t>
      </w:r>
      <w:r>
        <w:t xml:space="preserve"> </w:t>
      </w:r>
      <w:r>
        <w:t xml:space="preserve">733</w:t>
      </w:r>
      <w:r>
        <w:t xml:space="preserve"> </w:t>
      </w:r>
      <w:r>
        <w:t xml:space="preserve">(1877)</w:t>
      </w:r>
      <w:r>
        <w:t xml:space="preserve">   </w:t>
      </w:r>
      <w:r>
        <w:tab/>
      </w:r>
      <w:r>
        <w:t xml:space="preserve">44</w:t>
      </w:r>
    </w:p>
    <w:p>
      <w:pPr>
        <w:keepLines/>
        <w:tabs>
          <w:tab w:val="right" w:leader="dot" w:pos="9360"/>
        </w:tabs>
        <w:spacing w:before="196" w:after="0" w:line="322" w:lineRule="exact"/>
        <w:ind w:left="504" w:right="1120" w:hanging="504"/>
      </w:pPr>
      <w:r>
        <w:rPr>
          <w:i/>
          <w:iCs/>
        </w:rPr>
        <w:t xml:space="preserve">Galvin</w:t>
      </w:r>
      <w:r>
        <w:rPr>
          <w:i/>
          <w:iCs/>
        </w:rPr>
        <w:t xml:space="preserve"> </w:t>
      </w:r>
      <w:r>
        <w:rPr>
          <w:i/>
          <w:iCs/>
        </w:rPr>
        <w:t xml:space="preserve">v.</w:t>
      </w:r>
      <w:r>
        <w:rPr>
          <w:i/>
          <w:iCs/>
        </w:rPr>
        <w:t xml:space="preserve"> </w:t>
      </w:r>
      <w:r>
        <w:rPr>
          <w:i/>
          <w:iCs/>
        </w:rPr>
        <w:t xml:space="preserve">Hay</w:t>
      </w:r>
      <w:r>
        <w:t xml:space="preserve">,</w:t>
      </w:r>
      <w:r>
        <w:t xml:space="preserve"> </w:t>
      </w:r>
      <w:r>
        <w:t xml:space="preserve">374</w:t>
      </w:r>
      <w:r>
        <w:t xml:space="preserve"> </w:t>
      </w:r>
      <w:r>
        <w:t xml:space="preserve">F.3d</w:t>
      </w:r>
      <w:r>
        <w:t xml:space="preserve"> </w:t>
      </w:r>
      <w:r>
        <w:t xml:space="preserve">739,</w:t>
      </w:r>
      <w:r>
        <w:t xml:space="preserve"> </w:t>
      </w:r>
      <w:r>
        <w:t xml:space="preserve">750</w:t>
      </w:r>
      <w:r>
        <w:t xml:space="preserve"> </w:t>
      </w:r>
      <w:r>
        <w:t xml:space="preserve">(9th</w:t>
      </w:r>
      <w:r>
        <w:t xml:space="preserve"> </w:t>
      </w:r>
      <w:r>
        <w:t xml:space="preserve">Cir.</w:t>
      </w:r>
      <w:r>
        <w:t xml:space="preserve"> </w:t>
      </w:r>
      <w:r>
        <w:t xml:space="preserve">2004)</w:t>
      </w:r>
      <w:r>
        <w:t xml:space="preserve">   </w:t>
      </w:r>
      <w:r>
        <w:tab/>
      </w:r>
      <w:r>
        <w:t xml:space="preserve">24</w:t>
      </w:r>
    </w:p>
    <w:p>
      <w:pPr>
        <w:keepLines/>
        <w:tabs>
          <w:tab w:val="right" w:leader="dot" w:pos="9360"/>
        </w:tabs>
        <w:spacing w:before="196" w:after="0" w:line="322" w:lineRule="exact"/>
        <w:ind w:left="504" w:right="1120" w:hanging="504"/>
      </w:pPr>
      <w:r>
        <w:rPr>
          <w:i/>
          <w:iCs/>
        </w:rPr>
        <w:t xml:space="preserve">Gibson</w:t>
      </w:r>
      <w:r>
        <w:rPr>
          <w:i/>
          <w:iCs/>
        </w:rPr>
        <w:t xml:space="preserve"> </w:t>
      </w:r>
      <w:r>
        <w:rPr>
          <w:i/>
          <w:iCs/>
        </w:rPr>
        <w:t xml:space="preserve">v.</w:t>
      </w:r>
      <w:r>
        <w:rPr>
          <w:i/>
          <w:iCs/>
        </w:rPr>
        <w:t xml:space="preserve"> </w:t>
      </w:r>
      <w:r>
        <w:rPr>
          <w:i/>
          <w:iCs/>
        </w:rPr>
        <w:t xml:space="preserve">Fla.</w:t>
      </w:r>
      <w:r>
        <w:rPr>
          <w:i/>
          <w:iCs/>
        </w:rPr>
        <w:t xml:space="preserve"> </w:t>
      </w:r>
      <w:r>
        <w:rPr>
          <w:i/>
          <w:iCs/>
        </w:rPr>
        <w:t xml:space="preserve">Legislative</w:t>
      </w:r>
      <w:r>
        <w:rPr>
          <w:i/>
          <w:iCs/>
        </w:rPr>
        <w:t xml:space="preserve"> </w:t>
      </w:r>
      <w:r>
        <w:rPr>
          <w:i/>
          <w:iCs/>
        </w:rPr>
        <w:t xml:space="preserve">Investigation</w:t>
      </w:r>
      <w:r>
        <w:rPr>
          <w:i/>
          <w:iCs/>
        </w:rPr>
        <w:t xml:space="preserve"> </w:t>
      </w:r>
      <w:r>
        <w:rPr>
          <w:i/>
          <w:iCs/>
        </w:rPr>
        <w:t xml:space="preserve">Comm.</w:t>
      </w:r>
      <w:r>
        <w:t xml:space="preserve">,</w:t>
      </w:r>
      <w:r>
        <w:t xml:space="preserve"> </w:t>
      </w:r>
      <w:r>
        <w:t xml:space="preserve">372</w:t>
      </w:r>
      <w:r>
        <w:t xml:space="preserve"> </w:t>
      </w:r>
      <w:r>
        <w:t xml:space="preserve">U.S.</w:t>
      </w:r>
      <w:r>
        <w:t xml:space="preserve"> </w:t>
      </w:r>
      <w:r>
        <w:t xml:space="preserve">539</w:t>
      </w:r>
      <w:r>
        <w:t xml:space="preserve"> </w:t>
      </w:r>
      <w:r>
        <w:t xml:space="preserve">(1963)</w:t>
      </w:r>
      <w:r>
        <w:t xml:space="preserve">   </w:t>
      </w:r>
      <w:r>
        <w:tab/>
      </w:r>
      <w:r>
        <w:t xml:space="preserve">20, 31, 33</w:t>
      </w:r>
    </w:p>
    <w:p>
      <w:pPr>
        <w:keepLines/>
        <w:tabs>
          <w:tab w:val="right" w:leader="dot" w:pos="9360"/>
        </w:tabs>
        <w:spacing w:before="196" w:after="0" w:line="322" w:lineRule="exact"/>
        <w:ind w:left="504" w:right="1120" w:hanging="504"/>
      </w:pPr>
      <w:r>
        <w:rPr>
          <w:i/>
          <w:iCs/>
        </w:rPr>
        <w:t xml:space="preserve">Grandbouche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First</w:t>
      </w:r>
      <w:r>
        <w:rPr>
          <w:i/>
          <w:iCs/>
        </w:rPr>
        <w:t xml:space="preserve"> </w:t>
      </w:r>
      <w:r>
        <w:rPr>
          <w:i/>
          <w:iCs/>
        </w:rPr>
        <w:t xml:space="preserve">Nat’l</w:t>
      </w:r>
      <w:r>
        <w:rPr>
          <w:i/>
          <w:iCs/>
        </w:rPr>
        <w:t xml:space="preserve"> </w:t>
      </w:r>
      <w:r>
        <w:rPr>
          <w:i/>
          <w:iCs/>
        </w:rPr>
        <w:t xml:space="preserve">Bank)</w:t>
      </w:r>
      <w:r>
        <w:t xml:space="preserve">,</w:t>
      </w:r>
      <w:r>
        <w:t xml:space="preserve"> </w:t>
      </w:r>
      <w:r>
        <w:t xml:space="preserve">701</w:t>
      </w:r>
      <w:r>
        <w:t xml:space="preserve"> </w:t>
      </w:r>
      <w:r>
        <w:t xml:space="preserve">F.2d</w:t>
      </w:r>
      <w:r>
        <w:t xml:space="preserve"> </w:t>
      </w:r>
      <w:r>
        <w:t xml:space="preserve">115</w:t>
      </w:r>
      <w:r>
        <w:t xml:space="preserve"> </w:t>
      </w:r>
      <w:r>
        <w:t xml:space="preserve">(10th</w:t>
      </w:r>
      <w:r>
        <w:t xml:space="preserve"> </w:t>
      </w:r>
      <w:r>
        <w:t xml:space="preserve">Cir.</w:t>
      </w:r>
      <w:r>
        <w:t xml:space="preserve"> </w:t>
      </w:r>
      <w:r>
        <w:t xml:space="preserve">1983)</w:t>
      </w:r>
      <w:r>
        <w:t xml:space="preserve">   </w:t>
      </w:r>
      <w:r>
        <w:tab/>
      </w:r>
      <w:r>
        <w:t xml:space="preserve">14</w:t>
      </w:r>
    </w:p>
    <w:p>
      <w:pPr>
        <w:keepLines/>
        <w:tabs>
          <w:tab w:val="right" w:leader="dot" w:pos="9360"/>
        </w:tabs>
        <w:spacing w:before="196" w:after="0" w:line="322" w:lineRule="exact"/>
        <w:ind w:left="504" w:right="1120" w:hanging="504"/>
      </w:pPr>
      <w:r>
        <w:rPr>
          <w:i/>
          <w:iCs/>
        </w:rPr>
        <w:t xml:space="preserve">Gravel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408</w:t>
      </w:r>
      <w:r>
        <w:t xml:space="preserve"> </w:t>
      </w:r>
      <w:r>
        <w:t xml:space="preserve">U.S.</w:t>
      </w:r>
      <w:r>
        <w:t xml:space="preserve"> </w:t>
      </w:r>
      <w:r>
        <w:t xml:space="preserve">606,</w:t>
      </w:r>
      <w:r>
        <w:t xml:space="preserve"> </w:t>
      </w:r>
      <w:r>
        <w:t xml:space="preserve">608</w:t>
        <w:noBreakHyphen/>
        <w:t xml:space="preserve">09</w:t>
      </w:r>
      <w:r>
        <w:t xml:space="preserve"> </w:t>
      </w:r>
      <w:r>
        <w:t xml:space="preserve">(1972)</w:t>
      </w:r>
      <w:r>
        <w:t xml:space="preserve">   </w:t>
      </w:r>
      <w:r>
        <w:tab/>
      </w:r>
      <w:r>
        <w:t xml:space="preserve">13</w:t>
      </w:r>
    </w:p>
    <w:p>
      <w:pPr>
        <w:keepLines/>
        <w:tabs>
          <w:tab w:val="right" w:leader="dot" w:pos="9360"/>
        </w:tabs>
        <w:spacing w:before="196" w:after="0" w:line="322" w:lineRule="exact"/>
        <w:ind w:left="504" w:right="1120" w:hanging="504"/>
      </w:pPr>
      <w:r>
        <w:rPr>
          <w:i/>
          <w:iCs/>
        </w:rPr>
        <w:t xml:space="preserve">Greenbaum</w:t>
      </w:r>
      <w:r>
        <w:rPr>
          <w:i/>
          <w:iCs/>
        </w:rPr>
        <w:t xml:space="preserve"> </w:t>
      </w:r>
      <w:r>
        <w:rPr>
          <w:i/>
          <w:iCs/>
        </w:rPr>
        <w:t xml:space="preserve">v.</w:t>
      </w:r>
      <w:r>
        <w:rPr>
          <w:i/>
          <w:iCs/>
        </w:rPr>
        <w:t xml:space="preserve"> </w:t>
      </w:r>
      <w:r>
        <w:rPr>
          <w:i/>
          <w:iCs/>
        </w:rPr>
        <w:t xml:space="preserve">Google,</w:t>
      </w:r>
      <w:r>
        <w:rPr>
          <w:i/>
          <w:iCs/>
        </w:rPr>
        <w:t xml:space="preserve"> </w:t>
      </w:r>
      <w:r>
        <w:rPr>
          <w:i/>
          <w:iCs/>
        </w:rPr>
        <w:t xml:space="preserve">Inc.</w:t>
      </w:r>
      <w:r>
        <w:t xml:space="preserve">,</w:t>
      </w:r>
      <w:r>
        <w:t xml:space="preserve"> </w:t>
      </w:r>
      <w:r>
        <w:t xml:space="preserve">845</w:t>
      </w:r>
      <w:r>
        <w:t xml:space="preserve"> </w:t>
      </w:r>
      <w:r>
        <w:t xml:space="preserve">N.Y.S.2d</w:t>
      </w:r>
      <w:r>
        <w:t xml:space="preserve"> </w:t>
      </w:r>
      <w:r>
        <w:t xml:space="preserve">695</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2007]</w:t>
      </w:r>
      <w:r>
        <w:t xml:space="preserve">   </w:t>
      </w:r>
      <w:r>
        <w:tab/>
      </w:r>
      <w:r>
        <w:t xml:space="preserve">17, 18</w:t>
      </w:r>
    </w:p>
    <w:p>
      <w:pPr>
        <w:keepLines/>
        <w:tabs>
          <w:tab w:val="right" w:leader="dot" w:pos="9360"/>
        </w:tabs>
        <w:spacing w:before="196" w:after="0" w:line="322" w:lineRule="exact"/>
        <w:ind w:left="504" w:right="1120" w:hanging="504"/>
      </w:pPr>
      <w:r>
        <w:rPr>
          <w:i/>
          <w:iCs/>
        </w:rPr>
        <w:t xml:space="preserve">Healy</w:t>
      </w:r>
      <w:r>
        <w:rPr>
          <w:i/>
          <w:iCs/>
        </w:rPr>
        <w:t xml:space="preserve"> </w:t>
      </w:r>
      <w:r>
        <w:rPr>
          <w:i/>
          <w:iCs/>
        </w:rPr>
        <w:t xml:space="preserve">v.</w:t>
      </w:r>
      <w:r>
        <w:rPr>
          <w:i/>
          <w:iCs/>
        </w:rPr>
        <w:t xml:space="preserve"> </w:t>
      </w:r>
      <w:r>
        <w:rPr>
          <w:i/>
          <w:iCs/>
        </w:rPr>
        <w:t xml:space="preserve">James</w:t>
      </w:r>
      <w:r>
        <w:t xml:space="preserve">,</w:t>
      </w:r>
      <w:r>
        <w:t xml:space="preserve"> </w:t>
      </w:r>
      <w:r>
        <w:t xml:space="preserve">408</w:t>
      </w:r>
      <w:r>
        <w:t xml:space="preserve"> </w:t>
      </w:r>
      <w:r>
        <w:t xml:space="preserve">U.S.</w:t>
      </w:r>
      <w:r>
        <w:t xml:space="preserve"> </w:t>
      </w:r>
      <w:r>
        <w:t xml:space="preserve">169,</w:t>
      </w:r>
      <w:r>
        <w:t xml:space="preserve"> </w:t>
      </w:r>
      <w:r>
        <w:t xml:space="preserve">183</w:t>
      </w:r>
      <w:r>
        <w:t xml:space="preserve"> </w:t>
      </w:r>
      <w:r>
        <w:t xml:space="preserve">(1972)</w:t>
      </w:r>
      <w:r>
        <w:t xml:space="preserve">   </w:t>
      </w:r>
      <w:r>
        <w:tab/>
      </w:r>
      <w:r>
        <w:t xml:space="preserve">25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Historical</w:t>
      </w:r>
      <w:r>
        <w:rPr>
          <w:i/>
          <w:iCs/>
        </w:rPr>
        <w:t xml:space="preserve"> </w:t>
      </w:r>
      <w:r>
        <w:rPr>
          <w:i/>
          <w:iCs/>
        </w:rPr>
        <w:t xml:space="preserve">Cell-Site</w:t>
      </w:r>
      <w:r>
        <w:rPr>
          <w:i/>
          <w:iCs/>
        </w:rPr>
        <w:t xml:space="preserve"> </w:t>
      </w:r>
      <w:r>
        <w:rPr>
          <w:i/>
          <w:iCs/>
        </w:rPr>
        <w:t xml:space="preserve">Info.</w:t>
      </w:r>
      <w:r>
        <w:t xml:space="preserve">,</w:t>
      </w:r>
      <w:r>
        <w:t xml:space="preserve"> </w:t>
      </w:r>
      <w:r>
        <w:t xml:space="preserve">No.</w:t>
      </w:r>
      <w:r>
        <w:t xml:space="preserve"> </w:t>
      </w:r>
      <w:r>
        <w:t xml:space="preserve">10</w:t>
      </w:r>
      <w:r>
        <w:t xml:space="preserve"> </w:t>
      </w:r>
      <w:r>
        <w:t xml:space="preserve">MC</w:t>
      </w:r>
      <w:r>
        <w:t xml:space="preserve"> </w:t>
      </w:r>
      <w:r>
        <w:t xml:space="preserve">0897,</w:t>
      </w:r>
      <w:r>
        <w:t xml:space="preserve"> </w:t>
      </w:r>
      <w:r>
        <w:t xml:space="preserve">2010</w:t>
      </w:r>
      <w:r>
        <w:t xml:space="preserve"> </w:t>
      </w:r>
      <w:r>
        <w:t xml:space="preserve">WL</w:t>
      </w:r>
      <w:r>
        <w:t xml:space="preserve"> </w:t>
      </w:r>
      <w:r>
        <w:t xml:space="preserve">5437209,</w:t>
      </w:r>
      <w:r>
        <w:t xml:space="preserve"> </w:t>
      </w:r>
      <w:r>
        <w:t xml:space="preserve">at</w:t>
      </w:r>
      <w:r>
        <w:t xml:space="preserve"> </w:t>
      </w:r>
      <w:r>
        <w:t xml:space="preserve">*3</w:t>
      </w:r>
      <w:r>
        <w:t xml:space="preserve"> </w:t>
      </w:r>
      <w:r>
        <w:t xml:space="preserve">(E.D.N.Y.</w:t>
      </w:r>
      <w:r>
        <w:t xml:space="preserve"> </w:t>
      </w:r>
      <w:r>
        <w:t xml:space="preserve">Dec.</w:t>
      </w:r>
      <w:r>
        <w:t xml:space="preserve"> </w:t>
      </w:r>
      <w:r>
        <w:t xml:space="preserve">23,</w:t>
      </w:r>
      <w:r>
        <w:t xml:space="preserve"> </w:t>
      </w:r>
      <w:r>
        <w:t xml:space="preserve">2010)</w:t>
      </w:r>
      <w:r>
        <w:t xml:space="preserve">   </w:t>
      </w:r>
      <w:r>
        <w:tab/>
      </w:r>
      <w:r>
        <w:t xml:space="preserve">45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Directing</w:t>
      </w:r>
      <w:r>
        <w:rPr>
          <w:i/>
          <w:iCs/>
        </w:rPr>
        <w:t xml:space="preserve"> </w:t>
      </w:r>
      <w:r>
        <w:rPr>
          <w:i/>
          <w:iCs/>
        </w:rPr>
        <w:t xml:space="preserve">a</w:t>
      </w:r>
      <w:r>
        <w:rPr>
          <w:i/>
          <w:iCs/>
        </w:rPr>
        <w:t xml:space="preserve"> </w:t>
      </w:r>
      <w:r>
        <w:rPr>
          <w:i/>
          <w:iCs/>
        </w:rPr>
        <w:t xml:space="preserve">Provider</w:t>
      </w:r>
      <w:r>
        <w:rPr>
          <w:i/>
          <w:iCs/>
        </w:rPr>
        <w:t xml:space="preserve"> </w:t>
      </w:r>
      <w:r>
        <w:rPr>
          <w:i/>
          <w:iCs/>
        </w:rPr>
        <w:t xml:space="preserve">of</w:t>
      </w:r>
      <w:r>
        <w:rPr>
          <w:i/>
          <w:iCs/>
        </w:rPr>
        <w:t xml:space="preserve"> </w:t>
      </w:r>
      <w:r>
        <w:rPr>
          <w:i/>
          <w:iCs/>
        </w:rPr>
        <w:t xml:space="preserve">Elec.</w:t>
      </w:r>
      <w:r>
        <w:rPr>
          <w:i/>
          <w:iCs/>
        </w:rPr>
        <w:t xml:space="preserve"> </w:t>
      </w:r>
      <w:r>
        <w:rPr>
          <w:i/>
          <w:iCs/>
        </w:rPr>
        <w:t xml:space="preserve">Commc’n</w:t>
      </w:r>
      <w:r>
        <w:rPr>
          <w:i/>
          <w:iCs/>
        </w:rPr>
        <w:t xml:space="preserve"> </w:t>
      </w:r>
      <w:r>
        <w:rPr>
          <w:i/>
          <w:iCs/>
        </w:rPr>
        <w:t xml:space="preserve">Serv.</w:t>
      </w:r>
      <w:r>
        <w:rPr>
          <w:i/>
          <w:iCs/>
        </w:rPr>
        <w:t xml:space="preserve"> </w:t>
      </w:r>
      <w:r>
        <w:rPr>
          <w:i/>
          <w:iCs/>
        </w:rPr>
        <w:t xml:space="preserve">to</w:t>
      </w:r>
      <w:r>
        <w:rPr>
          <w:i/>
          <w:iCs/>
        </w:rPr>
        <w:t xml:space="preserve"> </w:t>
      </w:r>
      <w:r>
        <w:rPr>
          <w:i/>
          <w:iCs/>
        </w:rPr>
        <w:t xml:space="preserve">Disclose</w:t>
      </w:r>
      <w:r>
        <w:rPr>
          <w:i/>
          <w:iCs/>
        </w:rPr>
        <w:t xml:space="preserve"> </w:t>
      </w:r>
      <w:r>
        <w:rPr>
          <w:i/>
          <w:iCs/>
        </w:rPr>
        <w:t xml:space="preserve">Records</w:t>
      </w:r>
      <w:r>
        <w:rPr>
          <w:i/>
          <w:iCs/>
        </w:rPr>
        <w:t xml:space="preserve"> </w:t>
      </w:r>
      <w:r>
        <w:rPr>
          <w:i/>
          <w:iCs/>
        </w:rPr>
        <w:t xml:space="preserve">to</w:t>
      </w:r>
      <w:r>
        <w:rPr>
          <w:i/>
          <w:iCs/>
        </w:rPr>
        <w:t xml:space="preserve"> </w:t>
      </w:r>
      <w:r>
        <w:rPr>
          <w:i/>
          <w:iCs/>
        </w:rPr>
        <w:t xml:space="preserve">Gov’t</w:t>
      </w:r>
      <w:r>
        <w:t xml:space="preserve">,</w:t>
      </w:r>
      <w:r>
        <w:t xml:space="preserve"> </w:t>
      </w:r>
      <w:r>
        <w:t xml:space="preserve">620</w:t>
      </w:r>
      <w:r>
        <w:t xml:space="preserve"> </w:t>
      </w:r>
      <w:r>
        <w:t xml:space="preserve">F.3d</w:t>
      </w:r>
      <w:r>
        <w:t xml:space="preserve"> </w:t>
      </w:r>
      <w:r>
        <w:t xml:space="preserve">304</w:t>
      </w:r>
      <w:r>
        <w:t xml:space="preserve"> </w:t>
      </w:r>
      <w:r>
        <w:t xml:space="preserve">(3d</w:t>
      </w:r>
      <w:r>
        <w:t xml:space="preserve"> </w:t>
      </w:r>
      <w:r>
        <w:t xml:space="preserve">Cir.</w:t>
      </w:r>
      <w:r>
        <w:t xml:space="preserve"> </w:t>
      </w:r>
      <w:r>
        <w:t xml:space="preserve">2010)</w:t>
      </w:r>
      <w:r>
        <w:t xml:space="preserve">   </w:t>
      </w:r>
      <w:r>
        <w:tab/>
      </w:r>
      <w:r>
        <w:t xml:space="preserve">4, 42</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Pursuant</w:t>
      </w:r>
      <w:r>
        <w:rPr>
          <w:i/>
          <w:iCs/>
        </w:rPr>
        <w:t xml:space="preserve"> </w:t>
      </w:r>
      <w:r>
        <w:rPr>
          <w:i/>
          <w:iCs/>
        </w:rPr>
        <w:t xml:space="preserve">to</w:t>
      </w:r>
      <w:r>
        <w:rPr>
          <w:i/>
          <w:iCs/>
        </w:rPr>
        <w:t xml:space="preserve"> </w:t>
      </w:r>
      <w:r>
        <w:rPr>
          <w:i/>
          <w:iCs/>
        </w:rPr>
        <w:t xml:space="preserve">18</w:t>
      </w:r>
      <w:r>
        <w:rPr>
          <w:i/>
          <w:iCs/>
        </w:rPr>
        <w:t xml:space="preserve"> </w:t>
      </w:r>
      <w:r>
        <w:rPr>
          <w:i/>
          <w:iCs/>
        </w:rPr>
        <w:t xml:space="preserve">U.S.C.</w:t>
      </w:r>
      <w:r>
        <w:rPr>
          <w:i/>
          <w:iCs/>
        </w:rPr>
        <w:t xml:space="preserve"> </w:t>
      </w:r>
      <w:r>
        <w:rPr>
          <w:i/>
          <w:iCs/>
        </w:rPr>
        <w:t xml:space="preserve">§</w:t>
      </w:r>
      <w:r>
        <w:rPr>
          <w:i/>
          <w:iCs/>
        </w:rPr>
        <w:t xml:space="preserve"> </w:t>
      </w:r>
      <w:r>
        <w:rPr>
          <w:i/>
          <w:iCs/>
        </w:rPr>
        <w:t xml:space="preserve">2703(d)</w:t>
      </w:r>
      <w:r>
        <w:t xml:space="preserve">,</w:t>
      </w:r>
      <w:r>
        <w:t xml:space="preserve"> </w:t>
      </w:r>
      <w:r>
        <w:t xml:space="preserve">Misc.</w:t>
      </w:r>
      <w:r>
        <w:t xml:space="preserve"> </w:t>
      </w:r>
      <w:r>
        <w:t xml:space="preserve">No.</w:t>
      </w:r>
      <w:r>
        <w:t xml:space="preserve"> </w:t>
      </w:r>
      <w:r>
        <w:t xml:space="preserve">1:11-DM</w:t>
        <w:noBreakHyphen/>
        <w:t xml:space="preserve">3,</w:t>
      </w:r>
      <w:r>
        <w:t xml:space="preserve"> </w:t>
      </w:r>
      <w:r>
        <w:t xml:space="preserve">2011</w:t>
      </w:r>
      <w:r>
        <w:t xml:space="preserve"> </w:t>
      </w:r>
      <w:r>
        <w:t xml:space="preserve">WL</w:t>
      </w:r>
      <w:r>
        <w:t xml:space="preserve"> </w:t>
      </w:r>
      <w:r>
        <w:t xml:space="preserve">5508991</w:t>
      </w:r>
      <w:r>
        <w:t xml:space="preserve"> </w:t>
      </w:r>
      <w:r>
        <w:t xml:space="preserve">(E.D.</w:t>
      </w:r>
      <w:r>
        <w:t xml:space="preserve"> </w:t>
      </w:r>
      <w:r>
        <w:t xml:space="preserve">Va.</w:t>
      </w:r>
      <w:r>
        <w:t xml:space="preserve"> </w:t>
      </w:r>
      <w:r>
        <w:t xml:space="preserve">Nov.</w:t>
      </w:r>
      <w:r>
        <w:t xml:space="preserve"> </w:t>
      </w:r>
      <w:r>
        <w:t xml:space="preserve">10,</w:t>
      </w:r>
      <w:r>
        <w:t xml:space="preserve"> </w:t>
      </w:r>
      <w:r>
        <w:t xml:space="preserve">2011)</w:t>
      </w:r>
      <w:r>
        <w:t xml:space="preserve">   </w:t>
      </w:r>
      <w:r>
        <w:tab/>
      </w:r>
      <w:r>
        <w:t xml:space="preserve">10, 40</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t xml:space="preserve">,</w:t>
      </w:r>
      <w:r>
        <w:t xml:space="preserve"> </w:t>
      </w:r>
      <w:r>
        <w:t xml:space="preserve">111</w:t>
      </w:r>
      <w:r>
        <w:t xml:space="preserve"> </w:t>
      </w:r>
      <w:r>
        <w:t xml:space="preserve">F.3d</w:t>
      </w:r>
      <w:r>
        <w:t xml:space="preserve"> </w:t>
      </w:r>
      <w:r>
        <w:t xml:space="preserve">1066</w:t>
      </w:r>
      <w:r>
        <w:t xml:space="preserve"> </w:t>
      </w:r>
      <w:r>
        <w:t xml:space="preserve">(3d</w:t>
      </w:r>
      <w:r>
        <w:t xml:space="preserve"> </w:t>
      </w:r>
      <w:r>
        <w:t xml:space="preserve">Cir.</w:t>
      </w:r>
      <w:r>
        <w:t xml:space="preserve"> </w:t>
      </w:r>
      <w:r>
        <w:t xml:space="preserve">1997)</w:t>
      </w:r>
      <w:r>
        <w:t xml:space="preserve">   </w:t>
      </w:r>
      <w:r>
        <w:tab/>
      </w:r>
      <w:r>
        <w:t xml:space="preserve">14, 19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Proceeding</w:t>
      </w:r>
      <w:r>
        <w:t xml:space="preserve">,</w:t>
      </w:r>
      <w:r>
        <w:t xml:space="preserve"> </w:t>
      </w:r>
      <w:r>
        <w:t xml:space="preserve">842</w:t>
      </w:r>
      <w:r>
        <w:t xml:space="preserve"> </w:t>
      </w:r>
      <w:r>
        <w:t xml:space="preserve">F.2d</w:t>
      </w:r>
      <w:r>
        <w:t xml:space="preserve"> </w:t>
      </w:r>
      <w:r>
        <w:t xml:space="preserve">1229</w:t>
      </w:r>
      <w:r>
        <w:t xml:space="preserve"> </w:t>
      </w:r>
      <w:r>
        <w:t xml:space="preserve">(11th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t xml:space="preserve">,</w:t>
      </w:r>
      <w:r>
        <w:t xml:space="preserve"> </w:t>
      </w:r>
      <w:r>
        <w:t xml:space="preserve">829</w:t>
      </w:r>
      <w:r>
        <w:t xml:space="preserve"> </w:t>
      </w:r>
      <w:r>
        <w:t xml:space="preserve">F.2d</w:t>
      </w:r>
      <w:r>
        <w:t xml:space="preserve"> </w:t>
      </w:r>
      <w:r>
        <w:t xml:space="preserve">1291</w:t>
      </w:r>
      <w:r>
        <w:t xml:space="preserve"> </w:t>
      </w:r>
      <w:r>
        <w:t xml:space="preserve">(4th</w:t>
      </w:r>
      <w:r>
        <w:t xml:space="preserve"> </w:t>
      </w:r>
      <w:r>
        <w:t xml:space="preserve">Cir.</w:t>
      </w:r>
      <w:r>
        <w:t xml:space="preserve"> </w:t>
      </w:r>
      <w:r>
        <w:t xml:space="preserve">1987)</w:t>
      </w:r>
      <w:r>
        <w:t xml:space="preserve">   </w:t>
      </w:r>
      <w:r>
        <w:tab/>
      </w:r>
      <w:r>
        <w:t xml:space="preserve">34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Dated</w:t>
      </w:r>
      <w:r>
        <w:rPr>
          <w:i/>
          <w:iCs/>
        </w:rPr>
        <w:t xml:space="preserve"> </w:t>
      </w:r>
      <w:r>
        <w:rPr>
          <w:i/>
          <w:iCs/>
        </w:rPr>
        <w:t xml:space="preserve">Dec.</w:t>
      </w:r>
      <w:r>
        <w:rPr>
          <w:i/>
          <w:iCs/>
        </w:rPr>
        <w:t xml:space="preserve"> </w:t>
      </w:r>
      <w:r>
        <w:rPr>
          <w:i/>
          <w:iCs/>
        </w:rPr>
        <w:t xml:space="preserve">17,</w:t>
      </w:r>
      <w:r>
        <w:rPr>
          <w:i/>
          <w:iCs/>
        </w:rPr>
        <w:t xml:space="preserve"> </w:t>
      </w:r>
      <w:r>
        <w:rPr>
          <w:i/>
          <w:iCs/>
        </w:rPr>
        <w:t xml:space="preserve">1996</w:t>
      </w:r>
      <w:r>
        <w:t xml:space="preserve">,</w:t>
      </w:r>
      <w:r>
        <w:t xml:space="preserve"> </w:t>
      </w:r>
      <w:r>
        <w:t xml:space="preserve">148</w:t>
      </w:r>
      <w:r>
        <w:t xml:space="preserve"> </w:t>
      </w:r>
      <w:r>
        <w:t xml:space="preserve">F.3d</w:t>
      </w:r>
      <w:r>
        <w:t xml:space="preserve"> </w:t>
      </w:r>
      <w:r>
        <w:t xml:space="preserve">487</w:t>
      </w:r>
      <w:r>
        <w:t xml:space="preserve"> </w:t>
      </w:r>
      <w:r>
        <w:t xml:space="preserve">(5th</w:t>
      </w:r>
      <w:r>
        <w:t xml:space="preserve"> </w:t>
      </w:r>
      <w:r>
        <w:t xml:space="preserve">Cir.</w:t>
      </w:r>
      <w:r>
        <w:t xml:space="preserve"> </w:t>
      </w:r>
      <w:r>
        <w:t xml:space="preserve">1998)</w:t>
      </w:r>
      <w:r>
        <w:t xml:space="preserve">   </w:t>
      </w:r>
      <w:r>
        <w:tab/>
      </w:r>
      <w:r>
        <w:t xml:space="preserve">14, 15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No.</w:t>
      </w:r>
      <w:r>
        <w:rPr>
          <w:i/>
          <w:iCs/>
        </w:rPr>
        <w:t xml:space="preserve"> </w:t>
      </w:r>
      <w:r>
        <w:rPr>
          <w:i/>
          <w:iCs/>
        </w:rPr>
        <w:t xml:space="preserve">11116275</w:t>
      </w:r>
      <w:r>
        <w:t xml:space="preserve">,</w:t>
      </w:r>
      <w:r>
        <w:t xml:space="preserve"> </w:t>
      </w:r>
      <w:r>
        <w:t xml:space="preserve">Misc.</w:t>
      </w:r>
      <w:r>
        <w:t xml:space="preserve"> </w:t>
      </w:r>
      <w:r>
        <w:t xml:space="preserve">No.</w:t>
      </w:r>
      <w:r>
        <w:t xml:space="preserve"> </w:t>
      </w:r>
      <w:r>
        <w:t xml:space="preserve">11</w:t>
        <w:noBreakHyphen/>
        <w:t xml:space="preserve">527</w:t>
      </w:r>
      <w:r>
        <w:t xml:space="preserve"> </w:t>
      </w:r>
      <w:r>
        <w:t xml:space="preserve">(RCC),</w:t>
      </w:r>
      <w:r>
        <w:t xml:space="preserve"> </w:t>
      </w:r>
      <w:r>
        <w:t xml:space="preserve">2012</w:t>
      </w:r>
      <w:r>
        <w:t xml:space="preserve"> </w:t>
      </w:r>
      <w:r>
        <w:t xml:space="preserve">WL</w:t>
      </w:r>
      <w:r>
        <w:t xml:space="preserve"> </w:t>
      </w:r>
      <w:r>
        <w:t xml:space="preserve">691599</w:t>
      </w:r>
      <w:r>
        <w:t xml:space="preserve"> </w:t>
      </w:r>
      <w:r>
        <w:t xml:space="preserve">(D.D.C.</w:t>
      </w:r>
      <w:r>
        <w:t xml:space="preserve"> </w:t>
      </w:r>
      <w:r>
        <w:t xml:space="preserve">Feb.</w:t>
      </w:r>
      <w:r>
        <w:t xml:space="preserve"> </w:t>
      </w:r>
      <w:r>
        <w:t xml:space="preserve">23,</w:t>
      </w:r>
      <w:r>
        <w:t xml:space="preserve"> </w:t>
      </w:r>
      <w:r>
        <w:t xml:space="preserve">2012)</w:t>
      </w:r>
      <w:r>
        <w:t xml:space="preserve">   </w:t>
      </w:r>
      <w:r>
        <w:tab/>
      </w:r>
      <w:r>
        <w:t xml:space="preserve">15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to</w:t>
      </w:r>
      <w:r>
        <w:rPr>
          <w:i/>
          <w:iCs/>
        </w:rPr>
        <w:t xml:space="preserve"> </w:t>
      </w:r>
      <w:r>
        <w:rPr>
          <w:i/>
          <w:iCs/>
        </w:rPr>
        <w:t xml:space="preserve">Amazon.com</w:t>
      </w:r>
      <w:r>
        <w:rPr>
          <w:i/>
          <w:iCs/>
        </w:rPr>
        <w:t xml:space="preserve"> </w:t>
      </w:r>
      <w:r>
        <w:rPr>
          <w:i/>
          <w:iCs/>
        </w:rPr>
        <w:t xml:space="preserve">Dated</w:t>
      </w:r>
      <w:r>
        <w:rPr>
          <w:i/>
          <w:iCs/>
        </w:rPr>
        <w:t xml:space="preserve"> </w:t>
      </w:r>
      <w:r>
        <w:rPr>
          <w:i/>
          <w:iCs/>
        </w:rPr>
        <w:t xml:space="preserve">Aug.</w:t>
      </w:r>
      <w:r>
        <w:rPr>
          <w:i/>
          <w:iCs/>
        </w:rPr>
        <w:t xml:space="preserve"> </w:t>
      </w:r>
      <w:r>
        <w:rPr>
          <w:i/>
          <w:iCs/>
        </w:rPr>
        <w:t xml:space="preserve">7,</w:t>
      </w:r>
      <w:r>
        <w:rPr>
          <w:i/>
          <w:iCs/>
        </w:rPr>
        <w:t xml:space="preserve"> </w:t>
      </w:r>
      <w:r>
        <w:rPr>
          <w:i/>
          <w:iCs/>
        </w:rPr>
        <w:t xml:space="preserve">2006</w:t>
      </w:r>
      <w:r>
        <w:t xml:space="preserve">,</w:t>
      </w:r>
      <w:r>
        <w:t xml:space="preserve"> </w:t>
      </w:r>
      <w:r>
        <w:t xml:space="preserve">246</w:t>
      </w:r>
      <w:r>
        <w:t xml:space="preserve"> </w:t>
      </w:r>
      <w:r>
        <w:t xml:space="preserve">F.R.D.</w:t>
      </w:r>
      <w:r>
        <w:t xml:space="preserve"> </w:t>
      </w:r>
      <w:r>
        <w:t xml:space="preserve">570</w:t>
      </w:r>
      <w:r>
        <w:t xml:space="preserve"> </w:t>
      </w:r>
      <w:r>
        <w:t xml:space="preserve">(W.D.</w:t>
      </w:r>
      <w:r>
        <w:t xml:space="preserve"> </w:t>
      </w:r>
      <w:r>
        <w:t xml:space="preserve">Wis.</w:t>
      </w:r>
      <w:r>
        <w:t xml:space="preserve"> </w:t>
      </w:r>
      <w:r>
        <w:t xml:space="preserve">2007)</w:t>
      </w:r>
      <w:r>
        <w:t xml:space="preserve">   </w:t>
      </w:r>
      <w:r>
        <w:tab/>
      </w:r>
      <w:r>
        <w:t xml:space="preserve">28, 32</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Shapiro</w:t>
      </w:r>
      <w:r>
        <w:rPr>
          <w:i/>
          <w:iCs/>
        </w:rPr>
        <w:t xml:space="preserve"> </w:t>
      </w:r>
      <w:r>
        <w:rPr>
          <w:i/>
          <w:iCs/>
        </w:rPr>
        <w:t xml:space="preserve">v</w:t>
      </w:r>
      <w:r>
        <w:rPr>
          <w:i/>
          <w:iCs/>
        </w:rPr>
        <w:t xml:space="preserve"> </w:t>
      </w:r>
      <w:r>
        <w:rPr>
          <w:i/>
          <w:iCs/>
        </w:rPr>
        <w:t xml:space="preserve">Chase</w:t>
      </w:r>
      <w:r>
        <w:rPr>
          <w:i/>
          <w:iCs/>
        </w:rPr>
        <w:t xml:space="preserve"> </w:t>
      </w:r>
      <w:r>
        <w:rPr>
          <w:i/>
          <w:iCs/>
        </w:rPr>
        <w:t xml:space="preserve">Manhattan</w:t>
      </w:r>
      <w:r>
        <w:rPr>
          <w:i/>
          <w:iCs/>
        </w:rPr>
        <w:t xml:space="preserve"> </w:t>
      </w:r>
      <w:r>
        <w:rPr>
          <w:i/>
          <w:iCs/>
        </w:rPr>
        <w:t xml:space="preserve">Bank,</w:t>
      </w:r>
      <w:r>
        <w:rPr>
          <w:i/>
          <w:iCs/>
        </w:rPr>
        <w:t xml:space="preserve"> </w:t>
      </w:r>
      <w:r>
        <w:rPr>
          <w:i/>
          <w:iCs/>
        </w:rPr>
        <w:t xml:space="preserve">N.A.</w:t>
      </w:r>
      <w:r>
        <w:t xml:space="preserve">,</w:t>
      </w:r>
      <w:r>
        <w:t xml:space="preserve"> </w:t>
      </w:r>
      <w:r>
        <w:t xml:space="preserve">84</w:t>
      </w:r>
      <w:r>
        <w:t xml:space="preserve"> </w:t>
      </w:r>
      <w:r>
        <w:t xml:space="preserve">Misc.</w:t>
      </w:r>
      <w:r>
        <w:t xml:space="preserve"> </w:t>
      </w:r>
      <w:r>
        <w:t xml:space="preserve">2d</w:t>
      </w:r>
      <w:r>
        <w:t xml:space="preserve"> </w:t>
      </w:r>
      <w:r>
        <w:t xml:space="preserve">938</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1975]</w:t>
      </w:r>
      <w:r>
        <w:t xml:space="preserve">   </w:t>
      </w:r>
      <w:r>
        <w:tab/>
      </w:r>
      <w:r>
        <w:t xml:space="preserve">18</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Installation</w:t>
      </w:r>
      <w:r>
        <w:rPr>
          <w:i/>
          <w:iCs/>
        </w:rPr>
        <w:t xml:space="preserve"> </w:t>
      </w:r>
      <w:r>
        <w:rPr>
          <w:i/>
          <w:iCs/>
        </w:rPr>
        <w:t xml:space="preserve">&amp;</w:t>
      </w:r>
      <w:r>
        <w:rPr>
          <w:i/>
          <w:iCs/>
        </w:rPr>
        <w:t xml:space="preserve"> </w:t>
      </w:r>
      <w:r>
        <w:rPr>
          <w:i/>
          <w:iCs/>
        </w:rPr>
        <w:t xml:space="preserve">Use</w:t>
      </w:r>
      <w:r>
        <w:rPr>
          <w:i/>
          <w:iCs/>
        </w:rPr>
        <w:t xml:space="preserve"> </w:t>
      </w:r>
      <w:r>
        <w:rPr>
          <w:i/>
          <w:iCs/>
        </w:rPr>
        <w:t xml:space="preserve">of</w:t>
      </w:r>
      <w:r>
        <w:rPr>
          <w:i/>
          <w:iCs/>
        </w:rPr>
        <w:t xml:space="preserve"> </w:t>
      </w:r>
      <w:r>
        <w:rPr>
          <w:i/>
          <w:iCs/>
        </w:rPr>
        <w:t xml:space="preserve">a</w:t>
      </w:r>
      <w:r>
        <w:rPr>
          <w:i/>
          <w:iCs/>
        </w:rPr>
        <w:t xml:space="preserve"> </w:t>
      </w:r>
      <w:r>
        <w:rPr>
          <w:i/>
          <w:iCs/>
        </w:rPr>
        <w:t xml:space="preserve">Pen</w:t>
      </w:r>
      <w:r>
        <w:rPr>
          <w:i/>
          <w:iCs/>
        </w:rPr>
        <w:t xml:space="preserve"> </w:t>
      </w:r>
      <w:r>
        <w:rPr>
          <w:i/>
          <w:iCs/>
        </w:rPr>
        <w:t xml:space="preserve">Register</w:t>
      </w:r>
      <w:r>
        <w:rPr>
          <w:i/>
          <w:iCs/>
        </w:rPr>
        <w:t xml:space="preserve"> </w:t>
      </w:r>
      <w:r>
        <w:rPr>
          <w:i/>
          <w:iCs/>
        </w:rPr>
        <w:t xml:space="preserve">&amp;</w:t>
      </w:r>
      <w:r>
        <w:rPr>
          <w:i/>
          <w:iCs/>
        </w:rPr>
        <w:t xml:space="preserve"> </w:t>
      </w:r>
      <w:r>
        <w:rPr>
          <w:i/>
          <w:iCs/>
        </w:rPr>
        <w:t xml:space="preserve">a</w:t>
      </w:r>
      <w:r>
        <w:rPr>
          <w:i/>
          <w:iCs/>
        </w:rPr>
        <w:t xml:space="preserve"> </w:t>
      </w:r>
      <w:r>
        <w:rPr>
          <w:i/>
          <w:iCs/>
        </w:rPr>
        <w:t xml:space="preserve">Caller</w:t>
      </w:r>
      <w:r>
        <w:rPr>
          <w:i/>
          <w:iCs/>
        </w:rPr>
        <w:t xml:space="preserve"> </w:t>
      </w:r>
      <w:r>
        <w:rPr>
          <w:i/>
          <w:iCs/>
        </w:rPr>
        <w:t xml:space="preserve">ID</w:t>
      </w:r>
      <w:r>
        <w:rPr>
          <w:i/>
          <w:iCs/>
        </w:rPr>
        <w:t xml:space="preserve"> </w:t>
      </w:r>
      <w:r>
        <w:rPr>
          <w:i/>
          <w:iCs/>
        </w:rPr>
        <w:t xml:space="preserve">Sys.</w:t>
      </w:r>
      <w:r>
        <w:rPr>
          <w:i/>
          <w:iCs/>
        </w:rPr>
        <w:t xml:space="preserve"> </w:t>
      </w:r>
      <w:r>
        <w:rPr>
          <w:i/>
          <w:iCs/>
        </w:rPr>
        <w:t xml:space="preserve">on</w:t>
      </w:r>
      <w:r>
        <w:rPr>
          <w:i/>
          <w:iCs/>
        </w:rPr>
        <w:t xml:space="preserve"> </w:t>
      </w:r>
      <w:r>
        <w:rPr>
          <w:i/>
          <w:iCs/>
        </w:rPr>
        <w:t xml:space="preserve">Tel.</w:t>
      </w:r>
      <w:r>
        <w:rPr>
          <w:i/>
          <w:iCs/>
        </w:rPr>
        <w:t xml:space="preserve"> </w:t>
      </w:r>
      <w:r>
        <w:rPr>
          <w:i/>
          <w:iCs/>
        </w:rPr>
        <w:t xml:space="preserve">Nos.</w:t>
      </w:r>
      <w:r>
        <w:t xml:space="preserve">,</w:t>
      </w:r>
      <w:r>
        <w:t xml:space="preserve"> </w:t>
      </w:r>
      <w:r>
        <w:t xml:space="preserve">402</w:t>
      </w:r>
      <w:r>
        <w:t xml:space="preserve"> </w:t>
      </w:r>
      <w:r>
        <w:t xml:space="preserve">F.</w:t>
      </w:r>
      <w:r>
        <w:t xml:space="preserve"> </w:t>
      </w:r>
      <w:r>
        <w:t xml:space="preserve">Supp.</w:t>
      </w:r>
      <w:r>
        <w:t xml:space="preserve"> </w:t>
      </w:r>
      <w:r>
        <w:t xml:space="preserve">2d</w:t>
      </w:r>
      <w:r>
        <w:t xml:space="preserve"> </w:t>
      </w:r>
      <w:r>
        <w:t xml:space="preserve">597</w:t>
      </w:r>
      <w:r>
        <w:t xml:space="preserve"> </w:t>
      </w:r>
      <w:r>
        <w:t xml:space="preserve">(D.</w:t>
      </w:r>
      <w:r>
        <w:t xml:space="preserve"> </w:t>
      </w:r>
      <w:r>
        <w:t xml:space="preserve">Md.</w:t>
      </w:r>
      <w:r>
        <w:t xml:space="preserve"> </w:t>
      </w:r>
      <w:r>
        <w:t xml:space="preserve">2005)</w:t>
      </w:r>
      <w:r>
        <w:t xml:space="preserve">   </w:t>
      </w:r>
      <w:r>
        <w:tab/>
      </w:r>
      <w:r>
        <w:t xml:space="preserve">43</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Historical</w:t>
      </w:r>
      <w:r>
        <w:rPr>
          <w:i/>
          <w:iCs/>
        </w:rPr>
        <w:t xml:space="preserve"> </w:t>
      </w:r>
      <w:r>
        <w:rPr>
          <w:i/>
          <w:iCs/>
        </w:rPr>
        <w:t xml:space="preserve">Cell-Site</w:t>
      </w:r>
      <w:r>
        <w:t xml:space="preserve">,</w:t>
      </w:r>
      <w:r>
        <w:t xml:space="preserve"> </w:t>
      </w:r>
      <w:r>
        <w:t xml:space="preserve">809</w:t>
      </w:r>
      <w:r>
        <w:t xml:space="preserve"> </w:t>
      </w:r>
      <w:r>
        <w:t xml:space="preserve">F.Supp.2d</w:t>
      </w:r>
      <w:r>
        <w:t xml:space="preserve"> </w:t>
      </w:r>
      <w:r>
        <w:t xml:space="preserve">113</w:t>
      </w:r>
      <w:r>
        <w:t xml:space="preserve"> </w:t>
      </w:r>
      <w:r>
        <w:t xml:space="preserve">(E.D.N.Y.</w:t>
      </w:r>
      <w:r>
        <w:t xml:space="preserve"> </w:t>
      </w:r>
      <w:r>
        <w:t xml:space="preserve">2011)</w:t>
      </w:r>
      <w:r>
        <w:t xml:space="preserve">   </w:t>
      </w:r>
      <w:r>
        <w:tab/>
      </w:r>
      <w:r>
        <w:t xml:space="preserve">39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Historical</w:t>
      </w:r>
      <w:r>
        <w:rPr>
          <w:i/>
          <w:iCs/>
        </w:rPr>
        <w:t xml:space="preserve"> </w:t>
      </w:r>
      <w:r>
        <w:rPr>
          <w:i/>
          <w:iCs/>
        </w:rPr>
        <w:t xml:space="preserve">Cell</w:t>
      </w:r>
      <w:r>
        <w:rPr>
          <w:i/>
          <w:iCs/>
        </w:rPr>
        <w:t xml:space="preserve"> </w:t>
      </w:r>
      <w:r>
        <w:rPr>
          <w:i/>
          <w:iCs/>
        </w:rPr>
        <w:t xml:space="preserve">Site</w:t>
      </w:r>
      <w:r>
        <w:rPr>
          <w:i/>
          <w:iCs/>
        </w:rPr>
        <w:t xml:space="preserve"> </w:t>
      </w:r>
      <w:r>
        <w:rPr>
          <w:i/>
          <w:iCs/>
        </w:rPr>
        <w:t xml:space="preserve">Data</w:t>
      </w:r>
      <w:r>
        <w:t xml:space="preserve">,</w:t>
      </w:r>
      <w:r>
        <w:t xml:space="preserve"> </w:t>
      </w:r>
      <w:r>
        <w:t xml:space="preserve">747</w:t>
      </w:r>
      <w:r>
        <w:t xml:space="preserve"> </w:t>
      </w:r>
      <w:r>
        <w:t xml:space="preserve">F.</w:t>
      </w:r>
      <w:r>
        <w:t xml:space="preserve"> </w:t>
      </w:r>
      <w:r>
        <w:t xml:space="preserve">Supp.</w:t>
      </w:r>
      <w:r>
        <w:t xml:space="preserve"> </w:t>
      </w:r>
      <w:r>
        <w:t xml:space="preserve">2d</w:t>
      </w:r>
      <w:r>
        <w:t xml:space="preserve"> </w:t>
      </w:r>
      <w:r>
        <w:t xml:space="preserve">827</w:t>
      </w:r>
      <w:r>
        <w:t xml:space="preserve"> </w:t>
      </w:r>
      <w:r>
        <w:t xml:space="preserve">(S.D.Tex.</w:t>
      </w:r>
      <w:r>
        <w:t xml:space="preserve"> </w:t>
      </w:r>
      <w:r>
        <w:t xml:space="preserve">2010)</w:t>
      </w:r>
      <w:r>
        <w:t xml:space="preserve">   </w:t>
      </w:r>
      <w:r>
        <w:tab/>
      </w:r>
      <w:r>
        <w:t xml:space="preserve">39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Verizon</w:t>
      </w:r>
      <w:r>
        <w:rPr>
          <w:i/>
          <w:iCs/>
        </w:rPr>
        <w:t xml:space="preserve"> </w:t>
      </w:r>
      <w:r>
        <w:rPr>
          <w:i/>
          <w:iCs/>
        </w:rPr>
        <w:t xml:space="preserve">Internet</w:t>
      </w:r>
      <w:r>
        <w:rPr>
          <w:i/>
          <w:iCs/>
        </w:rPr>
        <w:t xml:space="preserve"> </w:t>
      </w:r>
      <w:r>
        <w:rPr>
          <w:i/>
          <w:iCs/>
        </w:rPr>
        <w:t xml:space="preserve">Servs.,</w:t>
      </w:r>
      <w:r>
        <w:rPr>
          <w:i/>
          <w:iCs/>
        </w:rPr>
        <w:t xml:space="preserve"> </w:t>
      </w:r>
      <w:r>
        <w:rPr>
          <w:i/>
          <w:iCs/>
        </w:rPr>
        <w:t xml:space="preserve">Inc.</w:t>
      </w:r>
      <w:r>
        <w:t xml:space="preserve">,</w:t>
      </w:r>
      <w:r>
        <w:t xml:space="preserve"> </w:t>
      </w:r>
      <w:r>
        <w:t xml:space="preserve">257</w:t>
      </w:r>
      <w:r>
        <w:t xml:space="preserve"> </w:t>
      </w:r>
      <w:r>
        <w:t xml:space="preserve">F.</w:t>
      </w:r>
      <w:r>
        <w:t xml:space="preserve"> </w:t>
      </w:r>
      <w:r>
        <w:t xml:space="preserve">Supp.</w:t>
      </w:r>
      <w:r>
        <w:t xml:space="preserve"> </w:t>
      </w:r>
      <w:r>
        <w:t xml:space="preserve">2d</w:t>
      </w:r>
      <w:r>
        <w:t xml:space="preserve"> </w:t>
      </w:r>
      <w:r>
        <w:t xml:space="preserve">244</w:t>
      </w:r>
      <w:r>
        <w:t xml:space="preserve"> </w:t>
      </w:r>
      <w:r>
        <w:t xml:space="preserve">(D.D.C.</w:t>
      </w:r>
      <w:r>
        <w:t xml:space="preserve"> </w:t>
      </w:r>
      <w:r>
        <w:t xml:space="preserve">2003),</w:t>
      </w:r>
      <w:r>
        <w:t xml:space="preserve"> </w:t>
      </w:r>
      <w:r>
        <w:t xml:space="preserve">reversed</w:t>
      </w:r>
      <w:r>
        <w:t xml:space="preserve"> </w:t>
      </w:r>
      <w:r>
        <w:t xml:space="preserve">on</w:t>
      </w:r>
      <w:r>
        <w:t xml:space="preserve"> </w:t>
      </w:r>
      <w:r>
        <w:t xml:space="preserve">other</w:t>
      </w:r>
      <w:r>
        <w:t xml:space="preserve"> </w:t>
      </w:r>
      <w:r>
        <w:t xml:space="preserve">grounds,</w:t>
      </w:r>
      <w:r>
        <w:t xml:space="preserve"> </w:t>
      </w:r>
      <w:r>
        <w:t xml:space="preserve">RIAA</w:t>
      </w:r>
      <w:r>
        <w:t xml:space="preserve"> </w:t>
      </w:r>
      <w:r>
        <w:t xml:space="preserve">v.</w:t>
      </w:r>
      <w:r>
        <w:t xml:space="preserve"> </w:t>
      </w:r>
      <w:r>
        <w:t xml:space="preserve">Verizon</w:t>
      </w:r>
      <w:r>
        <w:t xml:space="preserve"> </w:t>
      </w:r>
      <w:r>
        <w:t xml:space="preserve">Internet</w:t>
      </w:r>
      <w:r>
        <w:t xml:space="preserve"> </w:t>
      </w:r>
      <w:r>
        <w:t xml:space="preserve">Servs.,</w:t>
      </w:r>
      <w:r>
        <w:t xml:space="preserve"> </w:t>
      </w:r>
      <w:r>
        <w:t xml:space="preserve">Inc.,</w:t>
      </w:r>
      <w:r>
        <w:t xml:space="preserve"> </w:t>
      </w:r>
      <w:r>
        <w:t xml:space="preserve">351</w:t>
      </w:r>
      <w:r>
        <w:t xml:space="preserve"> </w:t>
      </w:r>
      <w:r>
        <w:t xml:space="preserve">F.3d</w:t>
      </w:r>
      <w:r>
        <w:t xml:space="preserve"> </w:t>
      </w:r>
      <w:r>
        <w:t xml:space="preserve">1229</w:t>
      </w:r>
      <w:r>
        <w:t xml:space="preserve"> </w:t>
      </w:r>
      <w:r>
        <w:t xml:space="preserve">(D.C.</w:t>
      </w:r>
      <w:r>
        <w:t xml:space="preserve"> </w:t>
      </w:r>
      <w:r>
        <w:t xml:space="preserve">Cir.</w:t>
      </w:r>
      <w:r>
        <w:t xml:space="preserve"> </w:t>
      </w:r>
      <w:r>
        <w:t xml:space="preserve">2003)</w:t>
      </w:r>
      <w:r>
        <w:t xml:space="preserve">   </w:t>
      </w:r>
      <w:r>
        <w:tab/>
      </w:r>
      <w:r>
        <w:t xml:space="preserve">19</w:t>
      </w:r>
    </w:p>
    <w:p>
      <w:pPr>
        <w:keepLines/>
        <w:tabs>
          <w:tab w:val="right" w:leader="dot" w:pos="9360"/>
        </w:tabs>
        <w:spacing w:before="196" w:after="0" w:line="322" w:lineRule="exact"/>
        <w:ind w:left="504" w:right="1120" w:hanging="504"/>
      </w:pPr>
      <w:r>
        <w:rPr>
          <w:i/>
          <w:iCs/>
        </w:rPr>
        <w:t xml:space="preserve">Katz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389</w:t>
      </w:r>
      <w:r>
        <w:t xml:space="preserve"> </w:t>
      </w:r>
      <w:r>
        <w:t xml:space="preserve">U.S.</w:t>
      </w:r>
      <w:r>
        <w:t xml:space="preserve"> </w:t>
      </w:r>
      <w:r>
        <w:t xml:space="preserve">347,</w:t>
      </w:r>
      <w:r>
        <w:t xml:space="preserve"> </w:t>
      </w:r>
      <w:r>
        <w:t xml:space="preserve">352</w:t>
      </w:r>
      <w:r>
        <w:t xml:space="preserve"> </w:t>
      </w:r>
      <w:r>
        <w:t xml:space="preserve">(1967)</w:t>
      </w:r>
      <w:r>
        <w:t xml:space="preserve">   </w:t>
      </w:r>
      <w:r>
        <w:tab/>
      </w:r>
      <w:r>
        <w:t xml:space="preserve">44</w:t>
      </w:r>
    </w:p>
    <w:p>
      <w:pPr>
        <w:keepLines/>
        <w:tabs>
          <w:tab w:val="right" w:leader="dot" w:pos="9360"/>
        </w:tabs>
        <w:spacing w:before="196" w:after="0" w:line="322" w:lineRule="exact"/>
        <w:ind w:left="504" w:right="1120" w:hanging="504"/>
      </w:pPr>
      <w:r>
        <w:rPr>
          <w:i/>
          <w:iCs/>
        </w:rPr>
        <w:t xml:space="preserve">Kyllo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533</w:t>
      </w:r>
      <w:r>
        <w:t xml:space="preserve"> </w:t>
      </w:r>
      <w:r>
        <w:t xml:space="preserve">U.S.</w:t>
      </w:r>
      <w:r>
        <w:t xml:space="preserve"> </w:t>
      </w:r>
      <w:r>
        <w:t xml:space="preserve">27</w:t>
      </w:r>
      <w:r>
        <w:t xml:space="preserve"> </w:t>
      </w:r>
      <w:r>
        <w:t xml:space="preserve">at</w:t>
      </w:r>
      <w:r>
        <w:t xml:space="preserve"> </w:t>
      </w:r>
      <w:r>
        <w:t xml:space="preserve">34</w:t>
      </w:r>
      <w:r>
        <w:t xml:space="preserve"> </w:t>
      </w:r>
      <w:r>
        <w:t xml:space="preserve">(2001)</w:t>
      </w:r>
      <w:r>
        <w:t xml:space="preserve">   </w:t>
      </w:r>
      <w:r>
        <w:tab/>
      </w:r>
      <w:r>
        <w:t xml:space="preserve">46</w:t>
      </w:r>
    </w:p>
    <w:p>
      <w:pPr>
        <w:keepLines/>
        <w:tabs>
          <w:tab w:val="right" w:leader="dot" w:pos="9360"/>
        </w:tabs>
        <w:spacing w:before="196" w:after="0" w:line="322" w:lineRule="exact"/>
        <w:ind w:left="504" w:right="1120" w:hanging="504"/>
      </w:pPr>
      <w:r>
        <w:rPr>
          <w:i/>
          <w:iCs/>
        </w:rPr>
        <w:t xml:space="preserve">Lamont</w:t>
      </w:r>
      <w:r>
        <w:rPr>
          <w:i/>
          <w:iCs/>
        </w:rPr>
        <w:t xml:space="preserve"> </w:t>
      </w:r>
      <w:r>
        <w:rPr>
          <w:i/>
          <w:iCs/>
        </w:rPr>
        <w:t xml:space="preserve">v.</w:t>
      </w:r>
      <w:r>
        <w:rPr>
          <w:i/>
          <w:iCs/>
        </w:rPr>
        <w:t xml:space="preserve"> </w:t>
      </w:r>
      <w:r>
        <w:rPr>
          <w:i/>
          <w:iCs/>
        </w:rPr>
        <w:t xml:space="preserve">Postmaster</w:t>
      </w:r>
      <w:r>
        <w:rPr>
          <w:i/>
          <w:iCs/>
        </w:rPr>
        <w:t xml:space="preserve"> </w:t>
      </w:r>
      <w:r>
        <w:rPr>
          <w:i/>
          <w:iCs/>
        </w:rPr>
        <w:t xml:space="preserve">General</w:t>
      </w:r>
      <w:r>
        <w:t xml:space="preserve">,</w:t>
      </w:r>
      <w:r>
        <w:t xml:space="preserve"> </w:t>
      </w:r>
      <w:r>
        <w:t xml:space="preserve">381</w:t>
      </w:r>
      <w:r>
        <w:t xml:space="preserve"> </w:t>
      </w:r>
      <w:r>
        <w:t xml:space="preserve">U.S.</w:t>
      </w:r>
      <w:r>
        <w:t xml:space="preserve"> </w:t>
      </w:r>
      <w:r>
        <w:t xml:space="preserve">301</w:t>
      </w:r>
      <w:r>
        <w:t xml:space="preserve"> </w:t>
      </w:r>
      <w:r>
        <w:t xml:space="preserve">(1965)</w:t>
      </w:r>
      <w:r>
        <w:t xml:space="preserve">   </w:t>
      </w:r>
      <w:r>
        <w:tab/>
      </w:r>
      <w:r>
        <w:t xml:space="preserve">27</w:t>
      </w:r>
    </w:p>
    <w:p>
      <w:pPr>
        <w:keepLines/>
        <w:tabs>
          <w:tab w:val="right" w:leader="dot" w:pos="9360"/>
        </w:tabs>
        <w:spacing w:before="196" w:after="0" w:line="322" w:lineRule="exact"/>
        <w:ind w:left="504" w:right="1120" w:hanging="504"/>
      </w:pPr>
      <w:r>
        <w:rPr>
          <w:i/>
          <w:iCs/>
        </w:rPr>
        <w:t xml:space="preserve">Local</w:t>
      </w:r>
      <w:r>
        <w:rPr>
          <w:i/>
          <w:iCs/>
        </w:rPr>
        <w:t xml:space="preserve"> </w:t>
      </w:r>
      <w:r>
        <w:rPr>
          <w:i/>
          <w:iCs/>
        </w:rPr>
        <w:t xml:space="preserve">1814,</w:t>
      </w:r>
      <w:r>
        <w:rPr>
          <w:i/>
          <w:iCs/>
        </w:rPr>
        <w:t xml:space="preserve"> </w:t>
      </w:r>
      <w:r>
        <w:rPr>
          <w:i/>
          <w:iCs/>
        </w:rPr>
        <w:t xml:space="preserve">Int’l</w:t>
      </w:r>
      <w:r>
        <w:rPr>
          <w:i/>
          <w:iCs/>
        </w:rPr>
        <w:t xml:space="preserve"> </w:t>
      </w:r>
      <w:r>
        <w:rPr>
          <w:i/>
          <w:iCs/>
        </w:rPr>
        <w:t xml:space="preserve">Longshoremen’s</w:t>
      </w:r>
      <w:r>
        <w:rPr>
          <w:i/>
          <w:iCs/>
        </w:rPr>
        <w:t xml:space="preserve"> </w:t>
      </w:r>
      <w:r>
        <w:rPr>
          <w:i/>
          <w:iCs/>
        </w:rPr>
        <w:t xml:space="preserve">Ass’n,</w:t>
      </w:r>
      <w:r>
        <w:rPr>
          <w:i/>
          <w:iCs/>
        </w:rPr>
        <w:t xml:space="preserve"> </w:t>
      </w:r>
      <w:r>
        <w:rPr>
          <w:i/>
          <w:iCs/>
        </w:rPr>
        <w:t xml:space="preserve">AFL-CIO</w:t>
      </w:r>
      <w:r>
        <w:rPr>
          <w:i/>
          <w:iCs/>
        </w:rPr>
        <w:t xml:space="preserve"> </w:t>
      </w:r>
      <w:r>
        <w:rPr>
          <w:i/>
          <w:iCs/>
        </w:rPr>
        <w:t xml:space="preserve">v.</w:t>
      </w:r>
      <w:r>
        <w:rPr>
          <w:i/>
          <w:iCs/>
        </w:rPr>
        <w:t xml:space="preserve"> </w:t>
      </w:r>
      <w:r>
        <w:rPr>
          <w:i/>
          <w:iCs/>
        </w:rPr>
        <w:t xml:space="preserve">Waterfront</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N.Y.</w:t>
      </w:r>
      <w:r>
        <w:rPr>
          <w:i/>
          <w:iCs/>
        </w:rPr>
        <w:t xml:space="preserve"> </w:t>
      </w:r>
      <w:r>
        <w:rPr>
          <w:i/>
          <w:iCs/>
        </w:rPr>
        <w:t xml:space="preserve">Harbor</w:t>
      </w:r>
      <w:r>
        <w:t xml:space="preserve">,</w:t>
      </w:r>
      <w:r>
        <w:t xml:space="preserve"> </w:t>
      </w:r>
      <w:r>
        <w:t xml:space="preserve">667</w:t>
      </w:r>
      <w:r>
        <w:t xml:space="preserve"> </w:t>
      </w:r>
      <w:r>
        <w:t xml:space="preserve">F.2d</w:t>
      </w:r>
      <w:r>
        <w:t xml:space="preserve"> </w:t>
      </w:r>
      <w:r>
        <w:t xml:space="preserve">267</w:t>
      </w:r>
      <w:r>
        <w:t xml:space="preserve"> </w:t>
      </w:r>
      <w:r>
        <w:t xml:space="preserve">(2d</w:t>
      </w:r>
      <w:r>
        <w:t xml:space="preserve"> </w:t>
      </w:r>
      <w:r>
        <w:t xml:space="preserve">Cir.</w:t>
      </w:r>
      <w:r>
        <w:t xml:space="preserve"> </w:t>
      </w:r>
      <w:r>
        <w:t xml:space="preserve">1981)</w:t>
      </w:r>
      <w:r>
        <w:t xml:space="preserve">   </w:t>
      </w:r>
      <w:r>
        <w:tab/>
      </w:r>
      <w:r>
        <w:t xml:space="preserve">14, 16, 34</w:t>
      </w:r>
    </w:p>
    <w:p>
      <w:pPr>
        <w:keepLines/>
        <w:tabs>
          <w:tab w:val="right" w:leader="dot" w:pos="9360"/>
        </w:tabs>
        <w:spacing w:before="196" w:after="0" w:line="322" w:lineRule="exact"/>
        <w:ind w:left="504" w:right="1120" w:hanging="504"/>
      </w:pPr>
      <w:r>
        <w:rPr>
          <w:i/>
          <w:iCs/>
        </w:rPr>
        <w:t xml:space="preserve">Mandel</w:t>
      </w:r>
      <w:r>
        <w:rPr>
          <w:i/>
          <w:iCs/>
        </w:rPr>
        <w:t xml:space="preserve"> </w:t>
      </w:r>
      <w:r>
        <w:rPr>
          <w:i/>
          <w:iCs/>
        </w:rPr>
        <w:t xml:space="preserve">v.</w:t>
      </w:r>
      <w:r>
        <w:rPr>
          <w:i/>
          <w:iCs/>
        </w:rPr>
        <w:t xml:space="preserve"> </w:t>
      </w:r>
      <w:r>
        <w:rPr>
          <w:i/>
          <w:iCs/>
        </w:rPr>
        <w:t xml:space="preserve">Bradley</w:t>
      </w:r>
      <w:r>
        <w:t xml:space="preserve">,</w:t>
      </w:r>
      <w:r>
        <w:t xml:space="preserve"> </w:t>
      </w:r>
      <w:r>
        <w:t xml:space="preserve">432</w:t>
      </w:r>
      <w:r>
        <w:t xml:space="preserve"> </w:t>
      </w:r>
      <w:r>
        <w:t xml:space="preserve">U.S.</w:t>
      </w:r>
      <w:r>
        <w:t xml:space="preserve"> </w:t>
      </w:r>
      <w:r>
        <w:t xml:space="preserve">173</w:t>
      </w:r>
      <w:r>
        <w:t xml:space="preserve"> </w:t>
      </w:r>
      <w:r>
        <w:t xml:space="preserve">(1977)</w:t>
      </w:r>
      <w:r>
        <w:t xml:space="preserve"> </w:t>
      </w:r>
      <w:r>
        <w:t xml:space="preserve">(per</w:t>
      </w:r>
      <w:r>
        <w:t xml:space="preserve"> </w:t>
      </w:r>
      <w:r>
        <w:t xml:space="preserve">curiam)</w:t>
      </w:r>
      <w:r>
        <w:t xml:space="preserve">   </w:t>
      </w:r>
      <w:r>
        <w:tab/>
      </w:r>
      <w:r>
        <w:t xml:space="preserve">13</w:t>
      </w:r>
    </w:p>
    <w:p>
      <w:pPr>
        <w:keepLines/>
        <w:tabs>
          <w:tab w:val="right" w:leader="dot" w:pos="9360"/>
        </w:tabs>
        <w:spacing w:before="196" w:after="0" w:line="322" w:lineRule="exact"/>
        <w:ind w:left="504" w:right="1120" w:hanging="504"/>
      </w:pPr>
      <w:r>
        <w:rPr>
          <w:i/>
          <w:iCs/>
        </w:rPr>
        <w:t xml:space="preserve">McIntyre</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514</w:t>
      </w:r>
      <w:r>
        <w:t xml:space="preserve"> </w:t>
      </w:r>
      <w:r>
        <w:t xml:space="preserve">U.S.</w:t>
      </w:r>
      <w:r>
        <w:t xml:space="preserve"> </w:t>
      </w:r>
      <w:r>
        <w:t xml:space="preserve">334</w:t>
      </w:r>
      <w:r>
        <w:t xml:space="preserve"> </w:t>
      </w:r>
      <w:r>
        <w:t xml:space="preserve">(1995)</w:t>
      </w:r>
      <w:r>
        <w:t xml:space="preserve">   </w:t>
      </w:r>
      <w:r>
        <w:tab/>
      </w:r>
      <w:r>
        <w:t xml:space="preserve">22, 30</w:t>
      </w:r>
    </w:p>
    <w:p>
      <w:pPr>
        <w:keepLines/>
        <w:tabs>
          <w:tab w:val="right" w:leader="dot" w:pos="9360"/>
        </w:tabs>
        <w:spacing w:before="196" w:after="0" w:line="322" w:lineRule="exact"/>
        <w:ind w:left="504" w:right="1120" w:hanging="504"/>
      </w:pPr>
      <w:r>
        <w:rPr>
          <w:i/>
          <w:iCs/>
        </w:rPr>
        <w:t xml:space="preserve">McVicker</w:t>
      </w:r>
      <w:r>
        <w:rPr>
          <w:i/>
          <w:iCs/>
        </w:rPr>
        <w:t xml:space="preserve"> </w:t>
      </w:r>
      <w:r>
        <w:rPr>
          <w:i/>
          <w:iCs/>
        </w:rPr>
        <w:t xml:space="preserve">v.</w:t>
      </w:r>
      <w:r>
        <w:rPr>
          <w:i/>
          <w:iCs/>
        </w:rPr>
        <w:t xml:space="preserve"> </w:t>
      </w:r>
      <w:r>
        <w:rPr>
          <w:i/>
          <w:iCs/>
        </w:rPr>
        <w:t xml:space="preserve">King</w:t>
      </w:r>
      <w:r>
        <w:t xml:space="preserve">,</w:t>
      </w:r>
      <w:r>
        <w:t xml:space="preserve"> </w:t>
      </w:r>
      <w:r>
        <w:t xml:space="preserve">266</w:t>
      </w:r>
      <w:r>
        <w:t xml:space="preserve"> </w:t>
      </w:r>
      <w:r>
        <w:t xml:space="preserve">F.R.D.</w:t>
      </w:r>
      <w:r>
        <w:t xml:space="preserve"> </w:t>
      </w:r>
      <w:r>
        <w:t xml:space="preserve">92</w:t>
      </w:r>
      <w:r>
        <w:t xml:space="preserve"> </w:t>
      </w:r>
      <w:r>
        <w:t xml:space="preserve">(W.D.</w:t>
      </w:r>
      <w:r>
        <w:t xml:space="preserve"> </w:t>
      </w:r>
      <w:r>
        <w:t xml:space="preserve">Pa.</w:t>
      </w:r>
      <w:r>
        <w:t xml:space="preserve"> </w:t>
      </w:r>
      <w:r>
        <w:t xml:space="preserve">2010)</w:t>
      </w:r>
      <w:r>
        <w:t xml:space="preserve">   </w:t>
      </w:r>
      <w:r>
        <w:tab/>
      </w:r>
      <w:r>
        <w:t xml:space="preserve">19</w:t>
      </w:r>
    </w:p>
    <w:p>
      <w:pPr>
        <w:keepLines/>
        <w:tabs>
          <w:tab w:val="right" w:leader="dot" w:pos="9360"/>
        </w:tabs>
        <w:spacing w:before="196" w:after="0" w:line="322" w:lineRule="exact"/>
        <w:ind w:left="504" w:right="1120" w:hanging="504"/>
      </w:pPr>
      <w:r>
        <w:rPr>
          <w:i/>
          <w:iCs/>
        </w:rPr>
        <w:t xml:space="preserve">New</w:t>
      </w:r>
      <w:r>
        <w:rPr>
          <w:i/>
          <w:iCs/>
        </w:rPr>
        <w:t xml:space="preserve"> </w:t>
      </w:r>
      <w:r>
        <w:rPr>
          <w:i/>
          <w:iCs/>
        </w:rPr>
        <w:t xml:space="preserve">Jersey</w:t>
      </w:r>
      <w:r>
        <w:rPr>
          <w:i/>
          <w:iCs/>
        </w:rPr>
        <w:t xml:space="preserve"> </w:t>
      </w:r>
      <w:r>
        <w:rPr>
          <w:i/>
          <w:iCs/>
        </w:rPr>
        <w:t xml:space="preserve">v.</w:t>
      </w:r>
      <w:r>
        <w:rPr>
          <w:i/>
          <w:iCs/>
        </w:rPr>
        <w:t xml:space="preserve"> </w:t>
      </w:r>
      <w:r>
        <w:rPr>
          <w:i/>
          <w:iCs/>
        </w:rPr>
        <w:t xml:space="preserve">Reid</w:t>
      </w:r>
      <w:r>
        <w:t xml:space="preserve">,</w:t>
      </w:r>
      <w:r>
        <w:t xml:space="preserve"> </w:t>
      </w:r>
      <w:r>
        <w:t xml:space="preserve">194</w:t>
      </w:r>
      <w:r>
        <w:t xml:space="preserve"> </w:t>
      </w:r>
      <w:r>
        <w:t xml:space="preserve">N.J.</w:t>
      </w:r>
      <w:r>
        <w:t xml:space="preserve"> </w:t>
      </w:r>
      <w:r>
        <w:t xml:space="preserve">386,</w:t>
      </w:r>
      <w:r>
        <w:t xml:space="preserve"> </w:t>
      </w:r>
      <w:r>
        <w:t xml:space="preserve">399</w:t>
        <w:noBreakHyphen/>
        <w:t xml:space="preserve">400</w:t>
      </w:r>
      <w:r>
        <w:t xml:space="preserve"> </w:t>
      </w:r>
      <w:r>
        <w:t xml:space="preserve">(2008)</w:t>
      </w:r>
      <w:r>
        <w:t xml:space="preserve">   </w:t>
      </w:r>
      <w:r>
        <w:tab/>
      </w:r>
      <w:r>
        <w:t xml:space="preserve">48</w:t>
      </w:r>
    </w:p>
    <w:p>
      <w:pPr>
        <w:keepLines/>
        <w:tabs>
          <w:tab w:val="right" w:leader="dot" w:pos="9360"/>
        </w:tabs>
        <w:spacing w:before="196" w:after="0" w:line="322" w:lineRule="exact"/>
        <w:ind w:left="504" w:right="1120" w:hanging="504"/>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Jascalevich</w:t>
      </w:r>
      <w:r>
        <w:t xml:space="preserve">,</w:t>
      </w:r>
      <w:r>
        <w:t xml:space="preserve"> </w:t>
      </w:r>
      <w:r>
        <w:t xml:space="preserve">439</w:t>
      </w:r>
      <w:r>
        <w:t xml:space="preserve"> </w:t>
      </w:r>
      <w:r>
        <w:t xml:space="preserve">U.S.</w:t>
      </w:r>
      <w:r>
        <w:t xml:space="preserve"> </w:t>
      </w:r>
      <w:r>
        <w:t xml:space="preserve">1331</w:t>
      </w:r>
      <w:r>
        <w:t xml:space="preserve"> </w:t>
      </w:r>
      <w:r>
        <w:t xml:space="preserve">(1978)</w:t>
      </w:r>
      <w:r>
        <w:t xml:space="preserve">   </w:t>
      </w:r>
      <w:r>
        <w:tab/>
      </w:r>
      <w:r>
        <w:t xml:space="preserve">35</w:t>
      </w:r>
    </w:p>
    <w:p>
      <w:pPr>
        <w:keepLines/>
        <w:tabs>
          <w:tab w:val="right" w:leader="dot" w:pos="9360"/>
        </w:tabs>
        <w:spacing w:before="196" w:after="0" w:line="322" w:lineRule="exact"/>
        <w:ind w:left="504" w:right="1120" w:hanging="504"/>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27</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Arcara</w:t>
      </w:r>
      <w:r>
        <w:rPr>
          <w:i/>
          <w:iCs/>
        </w:rPr>
        <w:t xml:space="preserve"> </w:t>
      </w:r>
      <w:r>
        <w:rPr>
          <w:i/>
          <w:iCs/>
        </w:rPr>
        <w:t xml:space="preserve">v.</w:t>
      </w:r>
      <w:r>
        <w:rPr>
          <w:i/>
          <w:iCs/>
        </w:rPr>
        <w:t xml:space="preserve"> </w:t>
      </w:r>
      <w:r>
        <w:rPr>
          <w:i/>
          <w:iCs/>
        </w:rPr>
        <w:t xml:space="preserve">Cloud</w:t>
      </w:r>
      <w:r>
        <w:rPr>
          <w:i/>
          <w:iCs/>
        </w:rPr>
        <w:t xml:space="preserve"> </w:t>
      </w:r>
      <w:r>
        <w:rPr>
          <w:i/>
          <w:iCs/>
        </w:rPr>
        <w:t xml:space="preserve">Books,</w:t>
      </w:r>
      <w:r>
        <w:rPr>
          <w:i/>
          <w:iCs/>
        </w:rPr>
        <w:t xml:space="preserve"> </w:t>
      </w:r>
      <w:r>
        <w:rPr>
          <w:i/>
          <w:iCs/>
        </w:rPr>
        <w:t xml:space="preserve">Inc.</w:t>
      </w:r>
      <w:r>
        <w:t xml:space="preserve">,</w:t>
      </w:r>
      <w:r>
        <w:t xml:space="preserve"> </w:t>
      </w:r>
      <w:r>
        <w:t xml:space="preserve">68</w:t>
      </w:r>
      <w:r>
        <w:t xml:space="preserve"> </w:t>
      </w:r>
      <w:r>
        <w:t xml:space="preserve">N.Y.2d</w:t>
      </w:r>
      <w:r>
        <w:t xml:space="preserve"> </w:t>
      </w:r>
      <w:r>
        <w:t xml:space="preserve">553,</w:t>
      </w:r>
      <w:r>
        <w:t xml:space="preserve"> </w:t>
      </w:r>
      <w:r>
        <w:t xml:space="preserve">558</w:t>
      </w:r>
      <w:r>
        <w:t xml:space="preserve"> </w:t>
      </w:r>
      <w:r>
        <w:t xml:space="preserve">(1986)</w:t>
      </w:r>
      <w:r>
        <w:t xml:space="preserve">   </w:t>
      </w:r>
      <w:r>
        <w:tab/>
      </w:r>
      <w:r>
        <w:t xml:space="preserve">20</w:t>
      </w:r>
    </w:p>
    <w:p>
      <w:pPr>
        <w:keepLines/>
        <w:tabs>
          <w:tab w:val="right" w:leader="dot" w:pos="9360"/>
        </w:tabs>
        <w:spacing w:before="196" w:after="0" w:line="322" w:lineRule="exact"/>
        <w:ind w:left="504" w:right="1540" w:hanging="504"/>
      </w:pPr>
      <w:r>
        <w:rPr>
          <w:i/>
          <w:iCs/>
        </w:rPr>
        <w:t xml:space="preserve">People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376</w:t>
      </w:r>
      <w:r>
        <w:t xml:space="preserve"> </w:t>
      </w:r>
      <w:r>
        <w:t xml:space="preserve">N.Y.S.2d</w:t>
      </w:r>
      <w:r>
        <w:t xml:space="preserve"> </w:t>
      </w:r>
      <w:r>
        <w:t xml:space="preserve">954,</w:t>
      </w:r>
      <w:r>
        <w:t xml:space="preserve"> </w:t>
      </w:r>
      <w:r>
        <w:t xml:space="preserve">979</w:t>
      </w:r>
      <w:r>
        <w:t xml:space="preserve"> </w:t>
      </w:r>
      <w:r>
        <w:t xml:space="preserve">(Sup.</w:t>
      </w:r>
      <w:r>
        <w:t xml:space="preserve"> </w:t>
      </w:r>
      <w:r>
        <w:t xml:space="preserve">Ct.</w:t>
      </w:r>
      <w:r>
        <w:t xml:space="preserve"> </w:t>
      </w:r>
      <w:r>
        <w:t xml:space="preserve">N.Y.</w:t>
      </w:r>
      <w:r>
        <w:t xml:space="preserve"> </w:t>
      </w:r>
      <w:r>
        <w:t xml:space="preserve">County</w:t>
      </w:r>
      <w:r>
        <w:t xml:space="preserve"> </w:t>
      </w:r>
      <w:r>
        <w:t xml:space="preserve">1975)</w:t>
      </w:r>
      <w:r>
        <w:t xml:space="preserve">   </w:t>
      </w:r>
      <w:r>
        <w:tab/>
      </w:r>
      <w:r>
        <w:t xml:space="preserve">21, 27, 31, 33</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Di</w:t>
      </w:r>
      <w:r>
        <w:rPr>
          <w:i/>
          <w:iCs/>
        </w:rPr>
        <w:t xml:space="preserve"> </w:t>
      </w:r>
      <w:r>
        <w:rPr>
          <w:i/>
          <w:iCs/>
        </w:rPr>
        <w:t xml:space="preserve">Raffaele</w:t>
      </w:r>
      <w:r>
        <w:t xml:space="preserve">,</w:t>
      </w:r>
      <w:r>
        <w:t xml:space="preserve"> </w:t>
      </w:r>
      <w:r>
        <w:t xml:space="preserve">55</w:t>
      </w:r>
      <w:r>
        <w:t xml:space="preserve"> </w:t>
      </w:r>
      <w:r>
        <w:t xml:space="preserve">N.Y2d</w:t>
      </w:r>
      <w:r>
        <w:t xml:space="preserve"> </w:t>
      </w:r>
      <w:r>
        <w:t xml:space="preserve">234</w:t>
      </w:r>
      <w:r>
        <w:t xml:space="preserve"> </w:t>
      </w:r>
      <w:r>
        <w:t xml:space="preserve">(1984)</w:t>
      </w:r>
      <w:r>
        <w:t xml:space="preserve">   </w:t>
      </w:r>
      <w:r>
        <w:tab/>
      </w:r>
      <w:r>
        <w:t xml:space="preserve">42</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Hall</w:t>
      </w:r>
      <w:r>
        <w:t xml:space="preserve">,</w:t>
      </w:r>
      <w:r>
        <w:t xml:space="preserve"> </w:t>
      </w:r>
      <w:r>
        <w:t xml:space="preserve">86</w:t>
      </w:r>
      <w:r>
        <w:t xml:space="preserve"> </w:t>
      </w:r>
      <w:r>
        <w:t xml:space="preserve">A.D.3d</w:t>
      </w:r>
      <w:r>
        <w:t xml:space="preserve"> </w:t>
      </w:r>
      <w:r>
        <w:t xml:space="preserve">450</w:t>
      </w:r>
      <w:r>
        <w:t xml:space="preserve"> </w:t>
      </w:r>
      <w:r>
        <w:t xml:space="preserve">[1st</w:t>
      </w:r>
      <w:r>
        <w:t xml:space="preserve"> </w:t>
      </w:r>
      <w:r>
        <w:t xml:space="preserve">Dept</w:t>
      </w:r>
      <w:r>
        <w:t xml:space="preserve"> </w:t>
      </w:r>
      <w:r>
        <w:t xml:space="preserve">2011]</w:t>
      </w:r>
      <w:r>
        <w:t xml:space="preserve">   </w:t>
      </w:r>
      <w:r>
        <w:tab/>
      </w:r>
      <w:r>
        <w:t xml:space="preserve">40</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Laws</w:t>
      </w:r>
      <w:r>
        <w:t xml:space="preserve">,</w:t>
      </w:r>
      <w:r>
        <w:t xml:space="preserve"> </w:t>
      </w:r>
      <w:r>
        <w:t xml:space="preserve">623</w:t>
      </w:r>
      <w:r>
        <w:t xml:space="preserve"> </w:t>
      </w:r>
      <w:r>
        <w:t xml:space="preserve">N.Y.S.2d</w:t>
      </w:r>
      <w:r>
        <w:t xml:space="preserve"> </w:t>
      </w:r>
      <w:r>
        <w:t xml:space="preserve">216</w:t>
      </w:r>
      <w:r>
        <w:t xml:space="preserve"> </w:t>
      </w:r>
      <w:r>
        <w:t xml:space="preserve">[1st</w:t>
      </w:r>
      <w:r>
        <w:t xml:space="preserve"> </w:t>
      </w:r>
      <w:r>
        <w:t xml:space="preserve">Dept.</w:t>
      </w:r>
      <w:r>
        <w:t xml:space="preserve"> </w:t>
      </w:r>
      <w:r>
        <w:t xml:space="preserve">1995]</w:t>
      </w:r>
      <w:r>
        <w:t xml:space="preserve">   </w:t>
      </w:r>
      <w:r>
        <w:tab/>
      </w:r>
      <w:r>
        <w:t xml:space="preserve">12</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P.J.</w:t>
      </w:r>
      <w:r>
        <w:rPr>
          <w:i/>
          <w:iCs/>
        </w:rPr>
        <w:t xml:space="preserve"> </w:t>
      </w:r>
      <w:r>
        <w:rPr>
          <w:i/>
          <w:iCs/>
        </w:rPr>
        <w:t xml:space="preserve">Video</w:t>
      </w:r>
      <w:r>
        <w:t xml:space="preserve">,</w:t>
      </w:r>
      <w:r>
        <w:t xml:space="preserve"> </w:t>
      </w:r>
      <w:r>
        <w:t xml:space="preserve">68</w:t>
      </w:r>
      <w:r>
        <w:t xml:space="preserve"> </w:t>
      </w:r>
      <w:r>
        <w:t xml:space="preserve">N.Y.2d</w:t>
      </w:r>
      <w:r>
        <w:t xml:space="preserve"> </w:t>
      </w:r>
      <w:r>
        <w:t xml:space="preserve">296,</w:t>
      </w:r>
      <w:r>
        <w:t xml:space="preserve"> </w:t>
      </w:r>
      <w:r>
        <w:t xml:space="preserve">304</w:t>
        <w:noBreakHyphen/>
        <w:t xml:space="preserve">05</w:t>
      </w:r>
      <w:r>
        <w:t xml:space="preserve"> </w:t>
      </w:r>
      <w:r>
        <w:t xml:space="preserve">(1986)</w:t>
      </w:r>
      <w:r>
        <w:t xml:space="preserve">   </w:t>
      </w:r>
      <w:r>
        <w:tab/>
      </w:r>
      <w:r>
        <w:t xml:space="preserve">47, 48</w:t>
      </w:r>
    </w:p>
    <w:p>
      <w:pPr>
        <w:keepLines/>
        <w:tabs>
          <w:tab w:val="right" w:leader="dot" w:pos="9360"/>
        </w:tabs>
        <w:spacing w:before="196" w:after="0" w:line="322" w:lineRule="exact"/>
        <w:ind w:left="504" w:right="5320" w:hanging="504"/>
      </w:pPr>
      <w:r>
        <w:rPr>
          <w:i/>
          <w:iCs/>
        </w:rPr>
        <w:t xml:space="preserve">People</w:t>
      </w:r>
      <w:r>
        <w:rPr>
          <w:i/>
          <w:iCs/>
        </w:rPr>
        <w:t xml:space="preserve"> </w:t>
      </w:r>
      <w:r>
        <w:rPr>
          <w:i/>
          <w:iCs/>
        </w:rPr>
        <w:t xml:space="preserve">v.</w:t>
      </w:r>
      <w:r>
        <w:rPr>
          <w:i/>
          <w:iCs/>
        </w:rPr>
        <w:t xml:space="preserve"> </w:t>
      </w:r>
      <w:r>
        <w:rPr>
          <w:i/>
          <w:iCs/>
        </w:rPr>
        <w:t xml:space="preserve">Weaver</w:t>
      </w:r>
      <w:r>
        <w:t xml:space="preserve">,</w:t>
      </w:r>
      <w:r>
        <w:t xml:space="preserve"> </w:t>
      </w:r>
      <w:r>
        <w:t xml:space="preserve">12</w:t>
      </w:r>
      <w:r>
        <w:t xml:space="preserve"> </w:t>
      </w:r>
      <w:r>
        <w:t xml:space="preserve">N.Y.3d</w:t>
      </w:r>
      <w:r>
        <w:t xml:space="preserve"> </w:t>
      </w:r>
      <w:r>
        <w:t xml:space="preserve">433</w:t>
      </w:r>
      <w:r>
        <w:t xml:space="preserve"> </w:t>
      </w:r>
      <w:r>
        <w:t xml:space="preserve">[2009]</w:t>
      </w:r>
      <w:r>
        <w:t xml:space="preserve">   </w:t>
      </w:r>
      <w:r>
        <w:tab/>
      </w:r>
      <w:r>
        <w:t xml:space="preserve">25, 26, 36, 37, 38, 39, 40, 41, 45, 46, 47, 48, 49</w:t>
      </w:r>
    </w:p>
    <w:p>
      <w:pPr>
        <w:keepLines/>
        <w:tabs>
          <w:tab w:val="right" w:leader="dot" w:pos="9360"/>
        </w:tabs>
        <w:spacing w:before="196" w:after="0" w:line="322" w:lineRule="exact"/>
        <w:ind w:left="504" w:right="1120" w:hanging="504"/>
      </w:pPr>
      <w:r>
        <w:rPr>
          <w:i/>
          <w:iCs/>
        </w:rPr>
        <w:t xml:space="preserve">Perlman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247</w:t>
      </w:r>
      <w:r>
        <w:t xml:space="preserve"> </w:t>
      </w:r>
      <w:r>
        <w:t xml:space="preserve">U.S.</w:t>
      </w:r>
      <w:r>
        <w:t xml:space="preserve"> </w:t>
      </w:r>
      <w:r>
        <w:t xml:space="preserve">7</w:t>
      </w:r>
      <w:r>
        <w:t xml:space="preserve"> </w:t>
      </w:r>
      <w:r>
        <w:t xml:space="preserve">(1918)</w:t>
      </w:r>
      <w:r>
        <w:t xml:space="preserve">   </w:t>
      </w:r>
      <w:r>
        <w:tab/>
      </w:r>
      <w:r>
        <w:t xml:space="preserve">13</w:t>
      </w:r>
    </w:p>
    <w:p>
      <w:pPr>
        <w:keepLines/>
        <w:tabs>
          <w:tab w:val="right" w:leader="dot" w:pos="9360"/>
        </w:tabs>
        <w:spacing w:before="196" w:after="0" w:line="322" w:lineRule="exact"/>
        <w:ind w:left="504" w:right="1120" w:hanging="504"/>
      </w:pPr>
      <w:r>
        <w:rPr>
          <w:i/>
          <w:iCs/>
        </w:rPr>
        <w:t xml:space="preserve">Pollard</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283</w:t>
      </w:r>
      <w:r>
        <w:t xml:space="preserve"> </w:t>
      </w:r>
      <w:r>
        <w:t xml:space="preserve">F.</w:t>
      </w:r>
      <w:r>
        <w:t xml:space="preserve"> </w:t>
      </w:r>
      <w:r>
        <w:t xml:space="preserve">Supp.</w:t>
      </w:r>
      <w:r>
        <w:t xml:space="preserve"> </w:t>
      </w:r>
      <w:r>
        <w:t xml:space="preserve">248</w:t>
      </w:r>
      <w:r>
        <w:t xml:space="preserve"> </w:t>
      </w:r>
      <w:r>
        <w:t xml:space="preserve">(E.D.</w:t>
      </w:r>
      <w:r>
        <w:t xml:space="preserve"> </w:t>
      </w:r>
      <w:r>
        <w:t xml:space="preserve">Ark.</w:t>
      </w:r>
      <w:r>
        <w:t xml:space="preserve"> </w:t>
      </w:r>
      <w:r>
        <w:t xml:space="preserve">1968)</w:t>
      </w:r>
      <w:r>
        <w:t xml:space="preserve"> </w:t>
      </w:r>
      <w:r>
        <w:t xml:space="preserve">(three-judge</w:t>
      </w:r>
      <w:r>
        <w:t xml:space="preserve"> </w:t>
      </w:r>
      <w:r>
        <w:t xml:space="preserve">court),</w:t>
      </w:r>
      <w:r>
        <w:t xml:space="preserve"> </w:t>
      </w:r>
      <w:r>
        <w:t xml:space="preserve">aff’d</w:t>
      </w:r>
      <w:r>
        <w:t xml:space="preserve"> </w:t>
      </w:r>
      <w:r>
        <w:t xml:space="preserve">per</w:t>
      </w:r>
      <w:r>
        <w:t xml:space="preserve"> </w:t>
      </w:r>
      <w:r>
        <w:t xml:space="preserve">curiam,</w:t>
      </w:r>
      <w:r>
        <w:t xml:space="preserve"> </w:t>
      </w:r>
      <w:r>
        <w:t xml:space="preserve">393</w:t>
      </w:r>
      <w:r>
        <w:t xml:space="preserve"> </w:t>
      </w:r>
      <w:r>
        <w:t xml:space="preserve">U.S.</w:t>
      </w:r>
      <w:r>
        <w:t xml:space="preserve"> </w:t>
      </w:r>
      <w:r>
        <w:t xml:space="preserve">14</w:t>
      </w:r>
      <w:r>
        <w:t xml:space="preserve"> </w:t>
      </w:r>
      <w:r>
        <w:t xml:space="preserve">(1968)</w:t>
      </w:r>
      <w:r>
        <w:t xml:space="preserve">   </w:t>
      </w:r>
      <w:r>
        <w:tab/>
      </w:r>
      <w:r>
        <w:t xml:space="preserve">13</w:t>
      </w:r>
    </w:p>
    <w:p>
      <w:pPr>
        <w:keepLines/>
        <w:tabs>
          <w:tab w:val="right" w:leader="dot" w:pos="9360"/>
        </w:tabs>
        <w:spacing w:before="196" w:after="0" w:line="322" w:lineRule="exact"/>
        <w:ind w:left="504" w:right="1120" w:hanging="504"/>
      </w:pPr>
      <w:r>
        <w:rPr>
          <w:i/>
          <w:iCs/>
        </w:rPr>
        <w:t xml:space="preserve">Pub.</w:t>
      </w:r>
      <w:r>
        <w:rPr>
          <w:i/>
          <w:iCs/>
        </w:rPr>
        <w:t xml:space="preserve"> </w:t>
      </w:r>
      <w:r>
        <w:rPr>
          <w:i/>
          <w:iCs/>
        </w:rPr>
        <w:t xml:space="preserve">Relations</w:t>
      </w:r>
      <w:r>
        <w:rPr>
          <w:i/>
          <w:iCs/>
        </w:rPr>
        <w:t xml:space="preserve"> </w:t>
      </w:r>
      <w:r>
        <w:rPr>
          <w:i/>
          <w:iCs/>
        </w:rPr>
        <w:t xml:space="preserve">Soc’y</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Runner</w:t>
      </w:r>
      <w:r>
        <w:rPr>
          <w:i/>
          <w:iCs/>
        </w:rPr>
        <w:t xml:space="preserve"> </w:t>
      </w:r>
      <w:r>
        <w:rPr>
          <w:i/>
          <w:iCs/>
        </w:rPr>
        <w:t xml:space="preserve">High</w:t>
      </w:r>
      <w:r>
        <w:rPr>
          <w:i/>
          <w:iCs/>
        </w:rPr>
        <w:t xml:space="preserve"> </w:t>
      </w:r>
      <w:r>
        <w:rPr>
          <w:i/>
          <w:iCs/>
        </w:rPr>
        <w:t xml:space="preserve">Speed</w:t>
      </w:r>
      <w:r>
        <w:rPr>
          <w:i/>
          <w:iCs/>
        </w:rPr>
        <w:t xml:space="preserve"> </w:t>
      </w:r>
      <w:r>
        <w:rPr>
          <w:i/>
          <w:iCs/>
        </w:rPr>
        <w:t xml:space="preserve">Online</w:t>
      </w:r>
      <w:r>
        <w:t xml:space="preserve">,</w:t>
      </w:r>
      <w:r>
        <w:t xml:space="preserve"> </w:t>
      </w:r>
      <w:r>
        <w:t xml:space="preserve">799</w:t>
      </w:r>
      <w:r>
        <w:t xml:space="preserve"> </w:t>
      </w:r>
      <w:r>
        <w:t xml:space="preserve">N.Y.S.2d</w:t>
      </w:r>
      <w:r>
        <w:t xml:space="preserve"> </w:t>
      </w:r>
      <w:r>
        <w:t xml:space="preserve">847</w:t>
      </w:r>
      <w:r>
        <w:t xml:space="preserve"> </w:t>
      </w:r>
      <w:r>
        <w:t xml:space="preserve">[Sup.</w:t>
      </w:r>
      <w:r>
        <w:t xml:space="preserve"> </w:t>
      </w:r>
      <w:r>
        <w:t xml:space="preserve">Ct.</w:t>
      </w:r>
      <w:r>
        <w:t xml:space="preserve"> </w:t>
      </w:r>
      <w:r>
        <w:t xml:space="preserve">N.Y.</w:t>
      </w:r>
      <w:r>
        <w:t xml:space="preserve"> </w:t>
      </w:r>
      <w:r>
        <w:t xml:space="preserve">County</w:t>
      </w:r>
      <w:r>
        <w:t xml:space="preserve"> </w:t>
      </w:r>
      <w:r>
        <w:t xml:space="preserve">2005]</w:t>
      </w:r>
      <w:r>
        <w:t xml:space="preserve">   </w:t>
      </w:r>
      <w:r>
        <w:tab/>
      </w:r>
      <w:r>
        <w:t xml:space="preserve">17</w:t>
      </w:r>
    </w:p>
    <w:p>
      <w:pPr>
        <w:keepLines/>
        <w:tabs>
          <w:tab w:val="right" w:leader="dot" w:pos="9360"/>
        </w:tabs>
        <w:spacing w:before="196" w:after="0" w:line="322" w:lineRule="exact"/>
        <w:ind w:left="504" w:right="1120" w:hanging="504"/>
      </w:pPr>
      <w:r>
        <w:rPr>
          <w:i/>
          <w:iCs/>
        </w:rPr>
        <w:t xml:space="preserve">Rakas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439</w:t>
      </w:r>
      <w:r>
        <w:t xml:space="preserve"> </w:t>
      </w:r>
      <w:r>
        <w:t xml:space="preserve">U.S.</w:t>
      </w:r>
      <w:r>
        <w:t xml:space="preserve"> </w:t>
      </w:r>
      <w:r>
        <w:t xml:space="preserve">128</w:t>
      </w:r>
      <w:r>
        <w:t xml:space="preserve"> </w:t>
      </w:r>
      <w:r>
        <w:t xml:space="preserve">(1979)</w:t>
      </w:r>
      <w:r>
        <w:t xml:space="preserve">   </w:t>
      </w:r>
      <w:r>
        <w:tab/>
      </w:r>
      <w:r>
        <w:t xml:space="preserve">12</w:t>
      </w:r>
    </w:p>
    <w:p>
      <w:pPr>
        <w:keepLines/>
        <w:tabs>
          <w:tab w:val="right" w:leader="dot" w:pos="9360"/>
        </w:tabs>
        <w:spacing w:before="196" w:after="0" w:line="322" w:lineRule="exact"/>
        <w:ind w:left="504" w:right="1120" w:hanging="504"/>
      </w:pPr>
      <w:r>
        <w:rPr>
          <w:i/>
          <w:iCs/>
        </w:rPr>
        <w:t xml:space="preserve">Register.com,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Verio,</w:t>
      </w:r>
      <w:r>
        <w:rPr>
          <w:i/>
          <w:iCs/>
        </w:rPr>
        <w:t xml:space="preserve"> </w:t>
      </w:r>
      <w:r>
        <w:rPr>
          <w:i/>
          <w:iCs/>
        </w:rPr>
        <w:t xml:space="preserve">Inc.</w:t>
      </w:r>
      <w:r>
        <w:t xml:space="preserve">,</w:t>
      </w:r>
      <w:r>
        <w:t xml:space="preserve"> </w:t>
      </w:r>
      <w:r>
        <w:t xml:space="preserve">356</w:t>
      </w:r>
      <w:r>
        <w:t xml:space="preserve"> </w:t>
      </w:r>
      <w:r>
        <w:t xml:space="preserve">F.3d</w:t>
      </w:r>
      <w:r>
        <w:t xml:space="preserve"> </w:t>
      </w:r>
      <w:r>
        <w:t xml:space="preserve">393</w:t>
      </w:r>
      <w:r>
        <w:t xml:space="preserve"> </w:t>
      </w:r>
      <w:r>
        <w:t xml:space="preserve">(2d</w:t>
      </w:r>
      <w:r>
        <w:t xml:space="preserve"> </w:t>
      </w:r>
      <w:r>
        <w:t xml:space="preserve">Cir.</w:t>
      </w:r>
      <w:r>
        <w:t xml:space="preserve"> </w:t>
      </w:r>
      <w:r>
        <w:t xml:space="preserve">2004)</w:t>
      </w:r>
      <w:r>
        <w:t xml:space="preserve">   </w:t>
      </w:r>
      <w:r>
        <w:tab/>
      </w:r>
      <w:r>
        <w:t xml:space="preserve">7, 23</w:t>
      </w:r>
    </w:p>
    <w:p>
      <w:pPr>
        <w:keepLines/>
        <w:tabs>
          <w:tab w:val="right" w:leader="dot" w:pos="9360"/>
        </w:tabs>
        <w:spacing w:before="196" w:after="0" w:line="322" w:lineRule="exact"/>
        <w:ind w:left="504" w:right="1120" w:hanging="504"/>
      </w:pPr>
      <w:r>
        <w:rPr>
          <w:i/>
          <w:iCs/>
        </w:rPr>
        <w:t xml:space="preserve">RIAA</w:t>
      </w:r>
      <w:r>
        <w:rPr>
          <w:i/>
          <w:iCs/>
        </w:rPr>
        <w:t xml:space="preserve"> </w:t>
      </w:r>
      <w:r>
        <w:rPr>
          <w:i/>
          <w:iCs/>
        </w:rPr>
        <w:t xml:space="preserve">v.</w:t>
      </w:r>
      <w:r>
        <w:rPr>
          <w:i/>
          <w:iCs/>
        </w:rPr>
        <w:t xml:space="preserve"> </w:t>
      </w:r>
      <w:r>
        <w:rPr>
          <w:i/>
          <w:iCs/>
        </w:rPr>
        <w:t xml:space="preserve">Verizon</w:t>
      </w:r>
      <w:r>
        <w:rPr>
          <w:i/>
          <w:iCs/>
        </w:rPr>
        <w:t xml:space="preserve"> </w:t>
      </w:r>
      <w:r>
        <w:rPr>
          <w:i/>
          <w:iCs/>
        </w:rPr>
        <w:t xml:space="preserve">Internet</w:t>
      </w:r>
      <w:r>
        <w:rPr>
          <w:i/>
          <w:iCs/>
        </w:rPr>
        <w:t xml:space="preserve"> </w:t>
      </w:r>
      <w:r>
        <w:rPr>
          <w:i/>
          <w:iCs/>
        </w:rPr>
        <w:t xml:space="preserve">Servs.,</w:t>
      </w:r>
      <w:r>
        <w:rPr>
          <w:i/>
          <w:iCs/>
        </w:rPr>
        <w:t xml:space="preserve"> </w:t>
      </w:r>
      <w:r>
        <w:rPr>
          <w:i/>
          <w:iCs/>
        </w:rPr>
        <w:t xml:space="preserve">Inc.</w:t>
      </w:r>
      <w:r>
        <w:t xml:space="preserve">,</w:t>
      </w:r>
      <w:r>
        <w:t xml:space="preserve"> </w:t>
      </w:r>
      <w:r>
        <w:t xml:space="preserve">351</w:t>
      </w:r>
      <w:r>
        <w:t xml:space="preserve"> </w:t>
      </w:r>
      <w:r>
        <w:t xml:space="preserve">F.3d</w:t>
      </w:r>
      <w:r>
        <w:t xml:space="preserve"> </w:t>
      </w:r>
      <w:r>
        <w:t xml:space="preserve">1229</w:t>
      </w:r>
      <w:r>
        <w:t xml:space="preserve"> </w:t>
      </w:r>
      <w:r>
        <w:t xml:space="preserve">(D.C.</w:t>
      </w:r>
      <w:r>
        <w:t xml:space="preserve"> </w:t>
      </w:r>
      <w:r>
        <w:t xml:space="preserve">Cir.</w:t>
      </w:r>
      <w:r>
        <w:t xml:space="preserve"> </w:t>
      </w:r>
      <w:r>
        <w:t xml:space="preserve">2003)</w:t>
      </w:r>
      <w:r>
        <w:t xml:space="preserve">   </w:t>
      </w:r>
      <w:r>
        <w:tab/>
      </w:r>
      <w:r>
        <w:t xml:space="preserve">19</w:t>
      </w:r>
    </w:p>
    <w:p>
      <w:pPr>
        <w:keepLines/>
        <w:tabs>
          <w:tab w:val="right" w:leader="dot" w:pos="9360"/>
        </w:tabs>
        <w:spacing w:before="196" w:after="0" w:line="322" w:lineRule="exact"/>
        <w:ind w:left="504" w:right="1120" w:hanging="504"/>
      </w:pPr>
      <w:r>
        <w:rPr>
          <w:i/>
          <w:iCs/>
        </w:rPr>
        <w:t xml:space="preserve">Santa</w:t>
      </w:r>
      <w:r>
        <w:rPr>
          <w:i/>
          <w:iCs/>
        </w:rPr>
        <w:t xml:space="preserve"> </w:t>
      </w:r>
      <w:r>
        <w:rPr>
          <w:i/>
          <w:iCs/>
        </w:rPr>
        <w:t xml:space="preserve">Monica</w:t>
      </w:r>
      <w:r>
        <w:rPr>
          <w:i/>
          <w:iCs/>
        </w:rPr>
        <w:t xml:space="preserve"> </w:t>
      </w:r>
      <w:r>
        <w:rPr>
          <w:i/>
          <w:iCs/>
        </w:rPr>
        <w:t xml:space="preserve">Food</w:t>
      </w:r>
      <w:r>
        <w:rPr>
          <w:i/>
          <w:iCs/>
        </w:rPr>
        <w:t xml:space="preserve"> </w:t>
      </w:r>
      <w:r>
        <w:rPr>
          <w:i/>
          <w:iCs/>
        </w:rPr>
        <w:t xml:space="preserve">Not</w:t>
      </w:r>
      <w:r>
        <w:rPr>
          <w:i/>
          <w:iCs/>
        </w:rPr>
        <w:t xml:space="preserve"> </w:t>
      </w:r>
      <w:r>
        <w:rPr>
          <w:i/>
          <w:iCs/>
        </w:rPr>
        <w:t xml:space="preserve">Bombs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Monica</w:t>
      </w:r>
      <w:r>
        <w:t xml:space="preserve">,</w:t>
      </w:r>
      <w:r>
        <w:t xml:space="preserve"> </w:t>
      </w:r>
      <w:r>
        <w:t xml:space="preserve">450</w:t>
      </w:r>
      <w:r>
        <w:t xml:space="preserve"> </w:t>
      </w:r>
      <w:r>
        <w:t xml:space="preserve">F.3d</w:t>
      </w:r>
      <w:r>
        <w:t xml:space="preserve"> </w:t>
      </w:r>
      <w:r>
        <w:t xml:space="preserve">1022,</w:t>
      </w:r>
      <w:r>
        <w:t xml:space="preserve"> </w:t>
      </w:r>
      <w:r>
        <w:t xml:space="preserve">1047</w:t>
        <w:noBreakHyphen/>
        <w:t xml:space="preserve">48</w:t>
      </w:r>
      <w:r>
        <w:t xml:space="preserve"> </w:t>
      </w:r>
      <w:r>
        <w:t xml:space="preserve">(9th</w:t>
      </w:r>
      <w:r>
        <w:t xml:space="preserve"> </w:t>
      </w:r>
      <w:r>
        <w:t xml:space="preserve">Cir.</w:t>
      </w:r>
      <w:r>
        <w:t xml:space="preserve"> </w:t>
      </w:r>
      <w:r>
        <w:t xml:space="preserve">2006)</w:t>
      </w:r>
      <w:r>
        <w:t xml:space="preserve">   </w:t>
      </w:r>
      <w:r>
        <w:tab/>
      </w:r>
      <w:r>
        <w:t xml:space="preserve">24</w:t>
      </w:r>
    </w:p>
    <w:p>
      <w:pPr>
        <w:keepLines/>
        <w:tabs>
          <w:tab w:val="right" w:leader="dot" w:pos="9360"/>
        </w:tabs>
        <w:spacing w:before="196" w:after="0" w:line="322" w:lineRule="exact"/>
        <w:ind w:left="504" w:right="1120" w:hanging="504"/>
      </w:pPr>
      <w:r>
        <w:rPr>
          <w:i/>
          <w:iCs/>
        </w:rPr>
        <w:t xml:space="preserve">Shelton</w:t>
      </w:r>
      <w:r>
        <w:rPr>
          <w:i/>
          <w:iCs/>
        </w:rPr>
        <w:t xml:space="preserve"> </w:t>
      </w:r>
      <w:r>
        <w:rPr>
          <w:i/>
          <w:iCs/>
        </w:rPr>
        <w:t xml:space="preserve">v.</w:t>
      </w:r>
      <w:r>
        <w:rPr>
          <w:i/>
          <w:iCs/>
        </w:rPr>
        <w:t xml:space="preserve"> </w:t>
      </w:r>
      <w:r>
        <w:rPr>
          <w:i/>
          <w:iCs/>
        </w:rPr>
        <w:t xml:space="preserve">Tucker</w:t>
      </w:r>
      <w:r>
        <w:t xml:space="preserve">,</w:t>
      </w:r>
      <w:r>
        <w:t xml:space="preserve"> </w:t>
      </w:r>
      <w:r>
        <w:t xml:space="preserve">364</w:t>
      </w:r>
      <w:r>
        <w:t xml:space="preserve"> </w:t>
      </w:r>
      <w:r>
        <w:t xml:space="preserve">U.S.</w:t>
      </w:r>
      <w:r>
        <w:t xml:space="preserve"> </w:t>
      </w:r>
      <w:r>
        <w:t xml:space="preserve">479</w:t>
      </w:r>
      <w:r>
        <w:t xml:space="preserve"> </w:t>
      </w:r>
      <w:r>
        <w:t xml:space="preserve">(1960)</w:t>
      </w:r>
      <w:r>
        <w:t xml:space="preserve">   </w:t>
      </w:r>
      <w:r>
        <w:tab/>
      </w:r>
      <w:r>
        <w:t xml:space="preserve">34</w:t>
      </w:r>
    </w:p>
    <w:p>
      <w:pPr>
        <w:keepLines/>
        <w:tabs>
          <w:tab w:val="right" w:leader="dot" w:pos="9360"/>
        </w:tabs>
        <w:spacing w:before="196" w:after="0" w:line="322" w:lineRule="exact"/>
        <w:ind w:left="504" w:right="1120" w:hanging="504"/>
      </w:pPr>
      <w:r>
        <w:rPr>
          <w:i/>
          <w:iCs/>
        </w:rPr>
        <w:t xml:space="preserve">Singleton</w:t>
      </w:r>
      <w:r>
        <w:rPr>
          <w:i/>
          <w:iCs/>
        </w:rPr>
        <w:t xml:space="preserve"> </w:t>
      </w:r>
      <w:r>
        <w:rPr>
          <w:i/>
          <w:iCs/>
        </w:rPr>
        <w:t xml:space="preserve">v.</w:t>
      </w:r>
      <w:r>
        <w:rPr>
          <w:i/>
          <w:iCs/>
        </w:rPr>
        <w:t xml:space="preserve"> </w:t>
      </w:r>
      <w:r>
        <w:rPr>
          <w:i/>
          <w:iCs/>
        </w:rPr>
        <w:t xml:space="preserve">Wulff</w:t>
      </w:r>
      <w:r>
        <w:t xml:space="preserve">,</w:t>
      </w:r>
      <w:r>
        <w:t xml:space="preserve"> </w:t>
      </w:r>
      <w:r>
        <w:t xml:space="preserve">428</w:t>
      </w:r>
      <w:r>
        <w:t xml:space="preserve"> </w:t>
      </w:r>
      <w:r>
        <w:t xml:space="preserve">U.S.</w:t>
      </w:r>
      <w:r>
        <w:t xml:space="preserve"> </w:t>
      </w:r>
      <w:r>
        <w:t xml:space="preserve">106</w:t>
      </w:r>
      <w:r>
        <w:t xml:space="preserve"> </w:t>
      </w:r>
      <w:r>
        <w:t xml:space="preserve">(1976)</w:t>
      </w:r>
      <w:r>
        <w:t xml:space="preserve">   </w:t>
      </w:r>
      <w:r>
        <w:tab/>
      </w:r>
      <w:r>
        <w:t xml:space="preserve">19</w:t>
      </w:r>
    </w:p>
    <w:p>
      <w:pPr>
        <w:keepLines/>
        <w:tabs>
          <w:tab w:val="right" w:leader="dot" w:pos="9360"/>
        </w:tabs>
        <w:spacing w:before="196" w:after="0" w:line="322"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442</w:t>
      </w:r>
      <w:r>
        <w:t xml:space="preserve"> </w:t>
      </w:r>
      <w:r>
        <w:t xml:space="preserve">U.S.</w:t>
      </w:r>
      <w:r>
        <w:t xml:space="preserve"> </w:t>
      </w:r>
      <w:r>
        <w:t xml:space="preserve">735</w:t>
      </w:r>
      <w:r>
        <w:t xml:space="preserve"> </w:t>
      </w:r>
      <w:r>
        <w:t xml:space="preserve">(1979)</w:t>
      </w:r>
      <w:r>
        <w:t xml:space="preserve">   </w:t>
      </w:r>
      <w:r>
        <w:tab/>
      </w:r>
      <w:r>
        <w:t xml:space="preserve">42</w:t>
      </w:r>
    </w:p>
    <w:p>
      <w:pPr>
        <w:keepLines/>
        <w:tabs>
          <w:tab w:val="right" w:leader="dot" w:pos="9360"/>
        </w:tabs>
        <w:spacing w:before="196" w:after="0" w:line="322" w:lineRule="exact"/>
        <w:ind w:left="504" w:right="1120" w:hanging="504"/>
      </w:pPr>
      <w:r>
        <w:rPr>
          <w:i/>
          <w:iCs/>
        </w:rPr>
        <w:t xml:space="preserve">Sony</w:t>
      </w:r>
      <w:r>
        <w:rPr>
          <w:i/>
          <w:iCs/>
        </w:rPr>
        <w:t xml:space="preserve"> </w:t>
      </w:r>
      <w:r>
        <w:rPr>
          <w:i/>
          <w:iCs/>
        </w:rPr>
        <w:t xml:space="preserve">Music</w:t>
      </w:r>
      <w:r>
        <w:rPr>
          <w:i/>
          <w:iCs/>
        </w:rPr>
        <w:t xml:space="preserve"> </w:t>
      </w:r>
      <w:r>
        <w:rPr>
          <w:i/>
          <w:iCs/>
        </w:rPr>
        <w:t xml:space="preserve">Entm’t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Does</w:t>
      </w:r>
      <w:r>
        <w:rPr>
          <w:i/>
          <w:iCs/>
        </w:rPr>
        <w:t xml:space="preserve"> </w:t>
      </w:r>
      <w:r>
        <w:rPr>
          <w:i/>
          <w:iCs/>
        </w:rPr>
        <w:t xml:space="preserve">1</w:t>
        <w:noBreakHyphen/>
        <w:t xml:space="preserve">40</w:t>
      </w:r>
      <w:r>
        <w:t xml:space="preserve">,</w:t>
      </w:r>
      <w:r>
        <w:t xml:space="preserve"> </w:t>
      </w:r>
      <w:r>
        <w:t xml:space="preserve">326</w:t>
      </w:r>
      <w:r>
        <w:t xml:space="preserve"> </w:t>
      </w:r>
      <w:r>
        <w:t xml:space="preserve">F.</w:t>
      </w:r>
      <w:r>
        <w:t xml:space="preserve"> </w:t>
      </w:r>
      <w:r>
        <w:t xml:space="preserve">Supp.</w:t>
      </w:r>
      <w:r>
        <w:t xml:space="preserve"> </w:t>
      </w:r>
      <w:r>
        <w:t xml:space="preserve">2d</w:t>
      </w:r>
      <w:r>
        <w:t xml:space="preserve"> </w:t>
      </w:r>
      <w:r>
        <w:t xml:space="preserve">556</w:t>
      </w:r>
      <w:r>
        <w:t xml:space="preserve"> </w:t>
      </w:r>
      <w:r>
        <w:t xml:space="preserve">(S.D.N.Y.</w:t>
      </w:r>
      <w:r>
        <w:t xml:space="preserve"> </w:t>
      </w:r>
      <w:r>
        <w:t xml:space="preserve">2004)</w:t>
      </w:r>
      <w:r>
        <w:t xml:space="preserve">   </w:t>
      </w:r>
      <w:r>
        <w:tab/>
      </w:r>
      <w:r>
        <w:t xml:space="preserve">7, 23</w:t>
      </w:r>
    </w:p>
    <w:p>
      <w:pPr>
        <w:keepLines/>
        <w:tabs>
          <w:tab w:val="right" w:leader="dot" w:pos="9360"/>
        </w:tabs>
        <w:spacing w:before="196" w:after="0" w:line="322" w:lineRule="exact"/>
        <w:ind w:left="504" w:right="1120" w:hanging="504"/>
      </w:pPr>
      <w:r>
        <w:rPr>
          <w:i/>
          <w:iCs/>
        </w:rPr>
        <w:t xml:space="preserve">Turner</w:t>
      </w:r>
      <w:r>
        <w:rPr>
          <w:i/>
          <w:iCs/>
        </w:rPr>
        <w:t xml:space="preserve"> </w:t>
      </w:r>
      <w:r>
        <w:rPr>
          <w:i/>
          <w:iCs/>
        </w:rPr>
        <w:t xml:space="preserve">Broad.</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w:t>
      </w:r>
      <w:r>
        <w:t xml:space="preserve"> </w:t>
      </w:r>
      <w:r>
        <w:t xml:space="preserve">512</w:t>
      </w:r>
      <w:r>
        <w:t xml:space="preserve"> </w:t>
      </w:r>
      <w:r>
        <w:t xml:space="preserve">U.S.</w:t>
      </w:r>
      <w:r>
        <w:t xml:space="preserve"> </w:t>
      </w:r>
      <w:r>
        <w:t xml:space="preserve">622,</w:t>
      </w:r>
      <w:r>
        <w:t xml:space="preserve"> </w:t>
      </w:r>
      <w:r>
        <w:t xml:space="preserve">641</w:t>
        <w:noBreakHyphen/>
        <w:t xml:space="preserve">42</w:t>
      </w:r>
      <w:r>
        <w:t xml:space="preserve"> </w:t>
      </w:r>
      <w:r>
        <w:t xml:space="preserve">(1994)</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Bursey</w:t>
      </w:r>
      <w:r>
        <w:t xml:space="preserve">,</w:t>
      </w:r>
      <w:r>
        <w:t xml:space="preserve"> </w:t>
      </w:r>
      <w:r>
        <w:t xml:space="preserve">466</w:t>
      </w:r>
      <w:r>
        <w:t xml:space="preserve"> </w:t>
      </w:r>
      <w:r>
        <w:t xml:space="preserve">F.2d</w:t>
      </w:r>
      <w:r>
        <w:t xml:space="preserve"> </w:t>
      </w:r>
      <w:r>
        <w:t xml:space="preserve">1059</w:t>
      </w:r>
      <w:r>
        <w:t xml:space="preserve"> </w:t>
      </w:r>
      <w:r>
        <w:t xml:space="preserve">(9th</w:t>
      </w:r>
      <w:r>
        <w:t xml:space="preserve"> </w:t>
      </w:r>
      <w:r>
        <w:t xml:space="preserve">Cir.</w:t>
      </w:r>
      <w:r>
        <w:t xml:space="preserve"> </w:t>
      </w:r>
      <w:r>
        <w:t xml:space="preserve">1972)</w:t>
      </w:r>
      <w:r>
        <w:t xml:space="preserve">   </w:t>
      </w:r>
      <w:r>
        <w:tab/>
      </w:r>
      <w:r>
        <w:t xml:space="preserve">33, 34</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Christie</w:t>
      </w:r>
      <w:r>
        <w:t xml:space="preserve">,</w:t>
      </w:r>
      <w:r>
        <w:t xml:space="preserve"> </w:t>
      </w:r>
      <w:r>
        <w:t xml:space="preserve">624</w:t>
      </w:r>
      <w:r>
        <w:t xml:space="preserve"> </w:t>
      </w:r>
      <w:r>
        <w:t xml:space="preserve">F.3d</w:t>
      </w:r>
      <w:r>
        <w:t xml:space="preserve"> </w:t>
      </w:r>
      <w:r>
        <w:t xml:space="preserve">558</w:t>
      </w:r>
      <w:r>
        <w:t xml:space="preserve"> </w:t>
      </w:r>
      <w:r>
        <w:t xml:space="preserve">(3d</w:t>
      </w:r>
      <w:r>
        <w:t xml:space="preserve"> </w:t>
      </w:r>
      <w:r>
        <w:t xml:space="preserve">Cir.</w:t>
      </w:r>
      <w:r>
        <w:t xml:space="preserve"> </w:t>
      </w:r>
      <w:r>
        <w:t xml:space="preserve">2010)</w:t>
      </w:r>
      <w:r>
        <w:t xml:space="preserve">   </w:t>
      </w:r>
      <w:r>
        <w:tab/>
      </w:r>
      <w:r>
        <w:t xml:space="preserve">40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Forrester</w:t>
      </w:r>
      <w:r>
        <w:t xml:space="preserve">,</w:t>
      </w:r>
      <w:r>
        <w:t xml:space="preserve"> </w:t>
      </w:r>
      <w:r>
        <w:t xml:space="preserve">512</w:t>
      </w:r>
      <w:r>
        <w:t xml:space="preserve"> </w:t>
      </w:r>
      <w:r>
        <w:t xml:space="preserve">F.3d</w:t>
      </w:r>
      <w:r>
        <w:t xml:space="preserve"> </w:t>
      </w:r>
      <w:r>
        <w:t xml:space="preserve">500</w:t>
      </w:r>
      <w:r>
        <w:t xml:space="preserve"> </w:t>
      </w:r>
      <w:r>
        <w:t xml:space="preserve">(9th</w:t>
      </w:r>
      <w:r>
        <w:t xml:space="preserve"> </w:t>
      </w:r>
      <w:r>
        <w:t xml:space="preserve">Cir.</w:t>
      </w:r>
      <w:r>
        <w:t xml:space="preserve"> </w:t>
      </w:r>
      <w:r>
        <w:t xml:space="preserve">2008)</w:t>
      </w:r>
      <w:r>
        <w:t xml:space="preserve">   </w:t>
      </w:r>
      <w:r>
        <w:tab/>
      </w:r>
      <w:r>
        <w:t xml:space="preserve">40</w:t>
      </w:r>
    </w:p>
    <w:p>
      <w:pPr>
        <w:keepLines/>
        <w:tabs>
          <w:tab w:val="right" w:leader="dot" w:pos="9360"/>
        </w:tabs>
        <w:spacing w:before="196" w:after="0" w:line="322" w:lineRule="exact"/>
        <w:ind w:left="504" w:right="350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Jones</w:t>
      </w:r>
      <w:r>
        <w:t xml:space="preserve">,</w:t>
      </w:r>
      <w:r>
        <w:t xml:space="preserve"> </w:t>
      </w:r>
      <w:r>
        <w:t xml:space="preserve">132</w:t>
      </w:r>
      <w:r>
        <w:t xml:space="preserve"> </w:t>
      </w:r>
      <w:r>
        <w:t xml:space="preserve">S.</w:t>
      </w:r>
      <w:r>
        <w:t xml:space="preserve"> </w:t>
      </w:r>
      <w:r>
        <w:t xml:space="preserve">Ct.</w:t>
      </w:r>
      <w:r>
        <w:t xml:space="preserve"> </w:t>
      </w:r>
      <w:r>
        <w:t xml:space="preserve">945</w:t>
      </w:r>
      <w:r>
        <w:t xml:space="preserve"> </w:t>
      </w:r>
      <w:r>
        <w:t xml:space="preserve">(2012)</w:t>
      </w:r>
      <w:r>
        <w:t xml:space="preserve">   </w:t>
      </w:r>
      <w:r>
        <w:tab/>
      </w:r>
      <w:r>
        <w:t xml:space="preserve">4, 21, 25, 26, 28, 38, 39, 40, 46</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Karo</w:t>
      </w:r>
      <w:r>
        <w:t xml:space="preserve">,</w:t>
      </w:r>
      <w:r>
        <w:t xml:space="preserve"> </w:t>
      </w:r>
      <w:r>
        <w:t xml:space="preserve">468</w:t>
      </w:r>
      <w:r>
        <w:t xml:space="preserve"> </w:t>
      </w:r>
      <w:r>
        <w:t xml:space="preserve">U.S.</w:t>
      </w:r>
      <w:r>
        <w:t xml:space="preserve"> </w:t>
      </w:r>
      <w:r>
        <w:t xml:space="preserve">705,</w:t>
      </w:r>
      <w:r>
        <w:t xml:space="preserve"> </w:t>
      </w:r>
      <w:r>
        <w:t xml:space="preserve">714</w:t>
        <w:noBreakHyphen/>
        <w:t xml:space="preserve">15</w:t>
      </w:r>
      <w:r>
        <w:t xml:space="preserve"> </w:t>
      </w:r>
      <w:r>
        <w:t xml:space="preserve">(1984)</w:t>
      </w:r>
      <w:r>
        <w:t xml:space="preserve">   </w:t>
      </w:r>
      <w:r>
        <w:tab/>
      </w:r>
      <w:r>
        <w:t xml:space="preserve">37</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Miller</w:t>
      </w:r>
      <w:r>
        <w:t xml:space="preserve">,</w:t>
      </w:r>
      <w:r>
        <w:t xml:space="preserve"> </w:t>
      </w:r>
      <w:r>
        <w:t xml:space="preserve">425</w:t>
      </w:r>
      <w:r>
        <w:t xml:space="preserve"> </w:t>
      </w:r>
      <w:r>
        <w:t xml:space="preserve">U.S.</w:t>
      </w:r>
      <w:r>
        <w:t xml:space="preserve"> </w:t>
      </w:r>
      <w:r>
        <w:t xml:space="preserve">435</w:t>
      </w:r>
      <w:r>
        <w:t xml:space="preserve"> </w:t>
      </w:r>
      <w:r>
        <w:t xml:space="preserve">(1976)</w:t>
      </w:r>
      <w:r>
        <w:t xml:space="preserve">   </w:t>
      </w:r>
      <w:r>
        <w:tab/>
      </w:r>
      <w:r>
        <w:t xml:space="preserve">16, 42</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Perrine</w:t>
      </w:r>
      <w:r>
        <w:t xml:space="preserve">,</w:t>
      </w:r>
      <w:r>
        <w:t xml:space="preserve"> </w:t>
      </w:r>
      <w:r>
        <w:t xml:space="preserve">518</w:t>
      </w:r>
      <w:r>
        <w:t xml:space="preserve"> </w:t>
      </w:r>
      <w:r>
        <w:t xml:space="preserve">F.3d</w:t>
      </w:r>
      <w:r>
        <w:t xml:space="preserve"> </w:t>
      </w:r>
      <w:r>
        <w:t xml:space="preserve">1196</w:t>
      </w:r>
      <w:r>
        <w:t xml:space="preserve"> </w:t>
      </w:r>
      <w:r>
        <w:t xml:space="preserve">(10th</w:t>
      </w:r>
      <w:r>
        <w:t xml:space="preserve"> </w:t>
      </w:r>
      <w:r>
        <w:t xml:space="preserve">Cir.</w:t>
      </w:r>
      <w:r>
        <w:t xml:space="preserve"> </w:t>
      </w:r>
      <w:r>
        <w:t xml:space="preserve">2008)</w:t>
      </w:r>
      <w:r>
        <w:t xml:space="preserve">   </w:t>
      </w:r>
      <w:r>
        <w:tab/>
      </w:r>
      <w:r>
        <w:t xml:space="preserve">40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Rumely</w:t>
      </w:r>
      <w:r>
        <w:t xml:space="preserve">,</w:t>
      </w:r>
      <w:r>
        <w:t xml:space="preserve"> </w:t>
      </w:r>
      <w:r>
        <w:t xml:space="preserve">345</w:t>
      </w:r>
      <w:r>
        <w:t xml:space="preserve"> </w:t>
      </w:r>
      <w:r>
        <w:t xml:space="preserve">U.S.</w:t>
      </w:r>
      <w:r>
        <w:t xml:space="preserve"> </w:t>
      </w:r>
      <w:r>
        <w:t xml:space="preserve">41</w:t>
      </w:r>
      <w:r>
        <w:t xml:space="preserve"> </w:t>
      </w:r>
      <w:r>
        <w:t xml:space="preserve">(1953)</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Warshak</w:t>
      </w:r>
      <w:r>
        <w:t xml:space="preserve">,</w:t>
      </w:r>
      <w:r>
        <w:t xml:space="preserve"> </w:t>
      </w:r>
      <w:r>
        <w:t xml:space="preserve">631</w:t>
      </w:r>
      <w:r>
        <w:t xml:space="preserve"> </w:t>
      </w:r>
      <w:r>
        <w:t xml:space="preserve">F.3d</w:t>
      </w:r>
      <w:r>
        <w:t xml:space="preserve"> </w:t>
      </w:r>
      <w:r>
        <w:t xml:space="preserve">266</w:t>
      </w:r>
      <w:r>
        <w:t xml:space="preserve"> </w:t>
      </w:r>
      <w:r>
        <w:t xml:space="preserve">(6th</w:t>
      </w:r>
      <w:r>
        <w:t xml:space="preserve"> </w:t>
      </w:r>
      <w:r>
        <w:t xml:space="preserve">Cir.</w:t>
      </w:r>
      <w:r>
        <w:t xml:space="preserve"> </w:t>
      </w:r>
      <w:r>
        <w:t xml:space="preserve">2010)</w:t>
      </w:r>
      <w:r>
        <w:t xml:space="preserve">   </w:t>
      </w:r>
      <w:r>
        <w:tab/>
      </w:r>
      <w:r>
        <w:t xml:space="preserve">4, 44, 47</w:t>
      </w:r>
    </w:p>
    <w:p>
      <w:pPr>
        <w:keepLines/>
        <w:tabs>
          <w:tab w:val="right" w:leader="dot" w:pos="9360"/>
        </w:tabs>
        <w:spacing w:before="196" w:after="0" w:line="322" w:lineRule="exact"/>
        <w:ind w:left="504" w:right="1120" w:hanging="504"/>
      </w:pPr>
      <w:r>
        <w:rPr>
          <w:i/>
          <w:iCs/>
        </w:rPr>
        <w:t xml:space="preserve">Velsicol</w:t>
      </w:r>
      <w:r>
        <w:rPr>
          <w:i/>
          <w:iCs/>
        </w:rPr>
        <w:t xml:space="preserve"> </w:t>
      </w:r>
      <w:r>
        <w:rPr>
          <w:i/>
          <w:iCs/>
        </w:rPr>
        <w:t xml:space="preserve">Chem.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Parsons</w:t>
      </w:r>
      <w:r>
        <w:t xml:space="preserve">,</w:t>
      </w:r>
      <w:r>
        <w:t xml:space="preserve"> </w:t>
      </w:r>
      <w:r>
        <w:t xml:space="preserve">561</w:t>
      </w:r>
      <w:r>
        <w:t xml:space="preserve"> </w:t>
      </w:r>
      <w:r>
        <w:t xml:space="preserve">F.2d</w:t>
      </w:r>
      <w:r>
        <w:t xml:space="preserve"> </w:t>
      </w:r>
      <w:r>
        <w:t xml:space="preserve">671</w:t>
      </w:r>
      <w:r>
        <w:t xml:space="preserve"> </w:t>
      </w:r>
      <w:r>
        <w:t xml:space="preserve">(7th</w:t>
      </w:r>
      <w:r>
        <w:t xml:space="preserve"> </w:t>
      </w:r>
      <w:r>
        <w:t xml:space="preserve">Cir.</w:t>
      </w:r>
      <w:r>
        <w:t xml:space="preserve"> </w:t>
      </w:r>
      <w:r>
        <w:t xml:space="preserve">1977)</w:t>
      </w:r>
      <w:r>
        <w:t xml:space="preserve">   </w:t>
      </w:r>
      <w:r>
        <w:tab/>
      </w:r>
      <w:r>
        <w:t xml:space="preserve">14</w:t>
      </w:r>
    </w:p>
    <w:p>
      <w:pPr>
        <w:keepLines/>
        <w:tabs>
          <w:tab w:val="right" w:leader="dot" w:pos="9360"/>
        </w:tabs>
        <w:spacing w:before="196" w:after="0" w:line="322" w:lineRule="exact"/>
        <w:ind w:left="504" w:right="1120" w:hanging="504"/>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(1975)</w:t>
      </w:r>
      <w:r>
        <w:t xml:space="preserve">   </w:t>
      </w:r>
      <w:r>
        <w:tab/>
      </w:r>
      <w:r>
        <w:t xml:space="preserve">12, 20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Aaron</w:t>
      </w:r>
      <w:r>
        <w:t xml:space="preserve"> </w:t>
      </w:r>
      <w:r>
        <w:t xml:space="preserve">Smith</w:t>
      </w:r>
      <w:r>
        <w:t xml:space="preserve"> </w:t>
      </w:r>
      <w:r>
        <w:t xml:space="preserve">and</w:t>
      </w:r>
      <w:r>
        <w:t xml:space="preserve"> </w:t>
      </w:r>
      <w:r>
        <w:t xml:space="preserve">Joanna</w:t>
      </w:r>
      <w:r>
        <w:t xml:space="preserve"> </w:t>
      </w:r>
      <w:r>
        <w:t xml:space="preserve">Brenner,</w:t>
      </w:r>
      <w:r>
        <w:t xml:space="preserve"> </w:t>
      </w:r>
      <w:r>
        <w:t xml:space="preserve">Twitter</w:t>
      </w:r>
      <w:r>
        <w:t xml:space="preserve"> </w:t>
      </w:r>
      <w:r>
        <w:t xml:space="preserve">Use</w:t>
      </w:r>
      <w:r>
        <w:t xml:space="preserve"> </w:t>
      </w:r>
      <w:r>
        <w:t xml:space="preserve">2012,</w:t>
      </w:r>
      <w:r>
        <w:t xml:space="preserve"> </w:t>
      </w:r>
      <w:r>
        <w:t xml:space="preserve">Pew</w:t>
      </w:r>
      <w:r>
        <w:t xml:space="preserve"> </w:t>
      </w:r>
      <w:r>
        <w:t xml:space="preserve">Internet</w:t>
      </w:r>
      <w:r>
        <w:t xml:space="preserve"> </w:t>
      </w:r>
      <w:r>
        <w:t xml:space="preserve">&amp;</w:t>
      </w:r>
      <w:r>
        <w:t xml:space="preserve"> </w:t>
      </w:r>
      <w:r>
        <w:t xml:space="preserve">American</w:t>
      </w:r>
      <w:r>
        <w:t xml:space="preserve"> </w:t>
      </w:r>
      <w:r>
        <w:t xml:space="preserve">Life</w:t>
      </w:r>
      <w:r>
        <w:t xml:space="preserve"> </w:t>
      </w:r>
      <w:r>
        <w:t xml:space="preserve">Project</w:t>
      </w:r>
      <w:r>
        <w:t xml:space="preserve"> </w:t>
      </w:r>
      <w:r>
        <w:t xml:space="preserve">(May</w:t>
      </w:r>
      <w:r>
        <w:t xml:space="preserve"> </w:t>
      </w:r>
      <w:r>
        <w:t xml:space="preserve">2012),</w:t>
      </w:r>
      <w:r>
        <w:t xml:space="preserve"> </w:t>
      </w:r>
      <w:r>
        <w:t xml:space="preserve">http://​pewinternet.​org/​Reports/​2012/​Twitter-​Use-⁠2012.​aspx</w:t>
      </w:r>
      <w:r>
        <w:t xml:space="preserve">   </w:t>
      </w:r>
      <w:r>
        <w:tab/>
      </w:r>
      <w:r>
        <w:t xml:space="preserve">5</w:t>
      </w:r>
    </w:p>
    <w:p>
      <w:pPr>
        <w:keepLines/>
        <w:tabs>
          <w:tab w:val="right" w:leader="dot" w:pos="9360"/>
        </w:tabs>
        <w:spacing w:before="196" w:after="0" w:line="322" w:lineRule="exact"/>
        <w:ind w:left="504" w:right="1120" w:hanging="504"/>
      </w:pPr>
      <w:r>
        <w:t xml:space="preserve">Matthew</w:t>
      </w:r>
      <w:r>
        <w:t xml:space="preserve"> </w:t>
      </w:r>
      <w:r>
        <w:t xml:space="preserve">Tokson,</w:t>
      </w:r>
      <w:r>
        <w:t xml:space="preserve"> </w:t>
      </w:r>
      <w:r>
        <w:t xml:space="preserve">Automation</w:t>
      </w:r>
      <w:r>
        <w:t xml:space="preserve"> </w:t>
      </w:r>
      <w:r>
        <w:t xml:space="preserve">and</w:t>
      </w:r>
      <w:r>
        <w:t xml:space="preserve"> </w:t>
      </w:r>
      <w:r>
        <w:t xml:space="preserve">the</w:t>
      </w:r>
      <w:r>
        <w:t xml:space="preserve"> </w:t>
      </w:r>
      <w:r>
        <w:t xml:space="preserve">Fourth</w:t>
      </w:r>
      <w:r>
        <w:t xml:space="preserve"> </w:t>
      </w:r>
      <w:r>
        <w:t xml:space="preserve">Amendment,</w:t>
      </w:r>
      <w:r>
        <w:t xml:space="preserve"> </w:t>
      </w:r>
      <w:r>
        <w:t xml:space="preserve">96</w:t>
      </w:r>
      <w:r>
        <w:t xml:space="preserve"> </w:t>
      </w:r>
      <w:r>
        <w:t xml:space="preserve">Iowa</w:t>
      </w:r>
      <w:r>
        <w:t xml:space="preserve"> </w:t>
      </w:r>
      <w:r>
        <w:t xml:space="preserve">L.</w:t>
      </w:r>
      <w:r>
        <w:t xml:space="preserve"> </w:t>
      </w:r>
      <w:r>
        <w:t xml:space="preserve">Rev.</w:t>
      </w:r>
      <w:r>
        <w:t xml:space="preserve"> </w:t>
      </w:r>
      <w:r>
        <w:t xml:space="preserve">581,</w:t>
      </w:r>
      <w:r>
        <w:t xml:space="preserve"> </w:t>
      </w:r>
      <w:r>
        <w:t xml:space="preserve">586</w:t>
      </w:r>
      <w:r>
        <w:t xml:space="preserve"> </w:t>
      </w:r>
      <w:r>
        <w:t xml:space="preserve">(2011)</w:t>
      </w:r>
      <w:r>
        <w:t xml:space="preserve">   </w:t>
      </w:r>
      <w:r>
        <w:tab/>
      </w:r>
      <w:r>
        <w:t xml:space="preserve">43, 46</w:t>
      </w:r>
    </w:p>
    <w:p>
      <w:pPr>
        <w:keepLines/>
        <w:tabs>
          <w:tab w:val="right" w:leader="dot" w:pos="9360"/>
        </w:tabs>
        <w:spacing w:before="196" w:after="0" w:line="322" w:lineRule="exact"/>
        <w:ind w:left="504" w:right="1120" w:hanging="504"/>
      </w:pPr>
      <w:r>
        <w:t xml:space="preserve">Stephen</w:t>
      </w:r>
      <w:r>
        <w:t xml:space="preserve"> </w:t>
      </w:r>
      <w:r>
        <w:t xml:space="preserve">E.</w:t>
      </w:r>
      <w:r>
        <w:t xml:space="preserve"> </w:t>
      </w:r>
      <w:r>
        <w:t xml:space="preserve">Henderson,</w:t>
      </w:r>
      <w:r>
        <w:t xml:space="preserve"> </w:t>
      </w:r>
      <w:r>
        <w:t xml:space="preserve">Learning</w:t>
      </w:r>
      <w:r>
        <w:t xml:space="preserve"> </w:t>
      </w:r>
      <w:r>
        <w:t xml:space="preserve">From</w:t>
      </w:r>
      <w:r>
        <w:t xml:space="preserve"> </w:t>
      </w:r>
      <w:r>
        <w:t xml:space="preserve">All</w:t>
      </w:r>
      <w:r>
        <w:t xml:space="preserve"> </w:t>
      </w:r>
      <w:r>
        <w:t xml:space="preserve">Fifty</w:t>
      </w:r>
      <w:r>
        <w:t xml:space="preserve"> </w:t>
      </w:r>
      <w:r>
        <w:t xml:space="preserve">States:</w:t>
      </w:r>
      <w:r>
        <w:t xml:space="preserve"> </w:t>
      </w:r>
      <w:r>
        <w:t xml:space="preserve">How</w:t>
      </w:r>
      <w:r>
        <w:t xml:space="preserve"> </w:t>
      </w:r>
      <w:r>
        <w:t xml:space="preserve">to</w:t>
      </w:r>
      <w:r>
        <w:t xml:space="preserve"> </w:t>
      </w:r>
      <w:r>
        <w:t xml:space="preserve">Apply</w:t>
      </w:r>
      <w:r>
        <w:t xml:space="preserve"> </w:t>
      </w:r>
      <w:r>
        <w:t xml:space="preserve">the</w:t>
      </w:r>
      <w:r>
        <w:t xml:space="preserve"> </w:t>
      </w:r>
      <w:r>
        <w:t xml:space="preserve">Fourth</w:t>
      </w:r>
      <w:r>
        <w:t xml:space="preserve"> </w:t>
      </w:r>
      <w:r>
        <w:t xml:space="preserve">Amendment</w:t>
      </w:r>
      <w:r>
        <w:t xml:space="preserve"> </w:t>
      </w:r>
      <w:r>
        <w:t xml:space="preserve">and</w:t>
      </w:r>
      <w:r>
        <w:t xml:space="preserve"> </w:t>
      </w:r>
      <w:r>
        <w:t xml:space="preserve">Its</w:t>
      </w:r>
      <w:r>
        <w:t xml:space="preserve"> </w:t>
      </w:r>
      <w:r>
        <w:t xml:space="preserve">State</w:t>
      </w:r>
      <w:r>
        <w:t xml:space="preserve"> </w:t>
      </w:r>
      <w:r>
        <w:t xml:space="preserve">Analogs</w:t>
      </w:r>
      <w:r>
        <w:t xml:space="preserve"> </w:t>
      </w:r>
      <w:r>
        <w:t xml:space="preserve">to</w:t>
      </w:r>
      <w:r>
        <w:t xml:space="preserve"> </w:t>
      </w:r>
      <w:r>
        <w:t xml:space="preserve">Protect</w:t>
      </w:r>
      <w:r>
        <w:t xml:space="preserve"> </w:t>
      </w:r>
      <w:r>
        <w:t xml:space="preserve">Third</w:t>
      </w:r>
      <w:r>
        <w:t xml:space="preserve"> </w:t>
      </w:r>
      <w:r>
        <w:t xml:space="preserve">Party</w:t>
      </w:r>
      <w:r>
        <w:t xml:space="preserve"> </w:t>
      </w:r>
      <w:r>
        <w:t xml:space="preserve">Information</w:t>
      </w:r>
      <w:r>
        <w:t xml:space="preserve"> </w:t>
      </w:r>
      <w:r>
        <w:t xml:space="preserve">From</w:t>
      </w:r>
      <w:r>
        <w:t xml:space="preserve"> </w:t>
      </w:r>
      <w:r>
        <w:t xml:space="preserve">Unreasonable</w:t>
      </w:r>
      <w:r>
        <w:t xml:space="preserve"> </w:t>
      </w:r>
      <w:r>
        <w:t xml:space="preserve">Search,</w:t>
      </w:r>
      <w:r>
        <w:t xml:space="preserve"> </w:t>
      </w:r>
      <w:r>
        <w:t xml:space="preserve">55</w:t>
      </w:r>
      <w:r>
        <w:t xml:space="preserve"> </w:t>
      </w:r>
      <w:r>
        <w:t xml:space="preserve">Cath.</w:t>
      </w:r>
      <w:r>
        <w:t xml:space="preserve"> </w:t>
      </w:r>
      <w:r>
        <w:t xml:space="preserve">U.</w:t>
      </w:r>
      <w:r>
        <w:t xml:space="preserve"> </w:t>
      </w:r>
      <w:r>
        <w:t xml:space="preserve">L.</w:t>
      </w:r>
      <w:r>
        <w:t xml:space="preserve"> </w:t>
      </w:r>
      <w:r>
        <w:t xml:space="preserve">Rev.</w:t>
      </w:r>
      <w:r>
        <w:t xml:space="preserve"> </w:t>
      </w:r>
      <w:r>
        <w:t xml:space="preserve">373,</w:t>
      </w:r>
      <w:r>
        <w:t xml:space="preserve"> </w:t>
      </w:r>
      <w:r>
        <w:t xml:space="preserve">412</w:t>
      </w:r>
      <w:r>
        <w:t xml:space="preserve"> </w:t>
      </w:r>
      <w:r>
        <w:t xml:space="preserve">(2006)</w:t>
      </w:r>
      <w:r>
        <w:t xml:space="preserve">   </w:t>
      </w:r>
      <w:r>
        <w:tab/>
      </w:r>
      <w:r>
        <w:t xml:space="preserve">46, 48</w:t>
      </w:r>
    </w:p>
    <w:p>
      <w:pPr>
        <w:keepLines/>
        <w:tabs>
          <w:tab w:val="right" w:leader="dot" w:pos="9360"/>
        </w:tabs>
        <w:spacing w:before="196" w:after="0" w:line="322" w:lineRule="exact"/>
        <w:ind w:left="504" w:right="1120" w:hanging="504"/>
      </w:pPr>
      <w:r>
        <w:t xml:space="preserve">Top</w:t>
      </w:r>
      <w:r>
        <w:t xml:space="preserve"> </w:t>
      </w:r>
      <w:r>
        <w:t xml:space="preserve">500</w:t>
      </w:r>
      <w:r>
        <w:t xml:space="preserve"> </w:t>
      </w:r>
      <w:r>
        <w:t xml:space="preserve">Global</w:t>
      </w:r>
      <w:r>
        <w:t xml:space="preserve"> </w:t>
      </w:r>
      <w:r>
        <w:t xml:space="preserve">Sites,</w:t>
      </w:r>
      <w:r>
        <w:t xml:space="preserve"> </w:t>
      </w:r>
      <w:r>
        <w:t xml:space="preserve">Alexa,</w:t>
      </w:r>
      <w:r>
        <w:t xml:space="preserve"> </w:t>
      </w:r>
      <w:r>
        <w:t xml:space="preserve">http://​www.​alexa.​com/​topsites</w:t>
      </w:r>
      <w:r>
        <w:t xml:space="preserve"> </w:t>
      </w:r>
      <w:r>
        <w:t xml:space="preserve">(last</w:t>
      </w:r>
      <w:r>
        <w:t xml:space="preserve"> </w:t>
      </w:r>
      <w:r>
        <w:t xml:space="preserve">visited</w:t>
      </w:r>
      <w:r>
        <w:t xml:space="preserve"> </w:t>
      </w:r>
      <w:r>
        <w:t xml:space="preserve">Aug.</w:t>
      </w:r>
      <w:r>
        <w:t xml:space="preserve"> </w:t>
      </w:r>
      <w:r>
        <w:t xml:space="preserve">22,</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t xml:space="preserve">Twitter</w:t>
      </w:r>
      <w:r>
        <w:t xml:space="preserve"> </w:t>
      </w:r>
      <w:r>
        <w:t xml:space="preserve">Reaches</w:t>
      </w:r>
      <w:r>
        <w:t xml:space="preserve"> </w:t>
      </w:r>
      <w:r>
        <w:t xml:space="preserve">500</w:t>
      </w:r>
      <w:r>
        <w:t xml:space="preserve"> </w:t>
      </w:r>
      <w:r>
        <w:t xml:space="preserve">Million</w:t>
      </w:r>
      <w:r>
        <w:t xml:space="preserve"> </w:t>
      </w:r>
      <w:r>
        <w:t xml:space="preserve">User</w:t>
      </w:r>
      <w:r>
        <w:t xml:space="preserve"> </w:t>
      </w:r>
      <w:r>
        <w:t xml:space="preserve">Mark,</w:t>
      </w:r>
      <w:r>
        <w:t xml:space="preserve"> </w:t>
      </w:r>
      <w:r>
        <w:t xml:space="preserve">Washington</w:t>
      </w:r>
      <w:r>
        <w:t xml:space="preserve"> </w:t>
      </w:r>
      <w:r>
        <w:t xml:space="preserve">Post,</w:t>
      </w:r>
      <w:r>
        <w:t xml:space="preserve"> </w:t>
      </w:r>
      <w:r>
        <w:t xml:space="preserve">July</w:t>
      </w:r>
      <w:r>
        <w:t xml:space="preserve"> </w:t>
      </w:r>
      <w:r>
        <w:t xml:space="preserve">30,</w:t>
      </w:r>
      <w:r>
        <w:t xml:space="preserve"> </w:t>
      </w:r>
      <w:r>
        <w:t xml:space="preserve">2012</w:t>
      </w:r>
      <w:r>
        <w:t xml:space="preserve">   </w:t>
      </w:r>
      <w:r>
        <w:tab/>
      </w:r>
      <w:r>
        <w:t xml:space="preserve">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INTRODUCTION</w:t>
      </w:r>
    </w:p>
    <w:p>
      <w:pPr>
        <w:pStyle w:val="BodyText"/>
      </w:pPr>
      <w:r>
        <w:t xml:space="preserve">This case arises out of the New York County District Attorney’s attempt to subpoena from Twitter more than three months of information about the communications, locations, and movements of Malcolm Harris, an avid Twitter user who is being prosecuted for disorderly conduct in connection with an Occupy Wall Street protest. The D.A.’s subpoena seeks “[a]ny and all user information” and “all tweets,” which encompasses not only the content of Harris’s tweets, but his personal email address and the date, time, and Internet Protocol address corresponding to each time Harris logged in to his Twitter account over the three-and-a-half month period, regardless of whether he posted any tweets during those times or whether any of his tweets were related to the D.A.’s pending prosecution. The D.A.’s attempt to obtain all of this information through a subpoena, without first obtaining a warrant, violates Harris’s First and Fourth Amendment rights, as well as his corresponding rights under the New York Constitution.</w:t>
      </w:r>
    </w:p>
    <w:p>
      <w:pPr>
        <w:pStyle w:val="BodyText"/>
      </w:pPr>
      <w:r>
        <w:t xml:space="preserve">The lower court’s denial of the motions of Twitter and Harris to quash the subpoena failed to recognize the First Amendment interests implicated by the overbroad subpoena or the Fourth Amendment interests implicated by the demand for the non-public location and movement information that can be derived from Harris’s Internet Protocol addresses. Indeed, despite the fact that the subpoena directly targets Harris’s speech on Twitter, the court’s decision does not address any of the First Amendment issues raised by the subpoena. Equally troubling, the court held that Harris—and by implication, the hundreds of thousands of other Twitter users residing in New York—does not even have standing to challenge the subpoena because it is issued to a third party, Twitter, not to Harris. That holding is at odds with numerous decisions from the United States Supreme Court and lower courts around the country that make clear that individuals whose First Amendment rights are implicated by government requests for information to third parties have standing to bring motions to quash those third-party requests before their information is disclosed, even if their constitutional challenges are ultimately not successful on the merits. A rule that individuals lose all constitutional protection in information disclosed to third parties would have a devastating effect on free speech and privacy rights, particularly in the digital age where many intimate details of our lives—our thoughts, our movements, our communications, our shopping and browsing habits—are stored by third-party Internet service providers.</w:t>
      </w:r>
    </w:p>
    <w:p>
      <w:pPr>
        <w:pStyle w:val="BodyText"/>
      </w:pPr>
      <w:r>
        <w:t xml:space="preserve">Amici Curiae the American Civil Liberties Union, the New York Civil Liberties Union, the Electronic Frontier Foundation, and Public Citizen (collectively, “Amici”) respectfully submit this memorandum to bring these standing cases to the Court’s attention and to urge the Court to ensure that detailed information concerning individuals’ Internet communications and their locations and movements over time cannot be obtained by the government without first obtaining a warrant and satisfying First and Fourth Amendment scrutiny.</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(the “ACLU”) is a nationwide, nonprofit, nonpartisan organization with over 500,000 members, dedicated to the principles of liberty and equality embodied in the Constitution and our nation’s civil rights laws. The New York Civil Liberties Union is the ACLU’s New York affiliate. Founded in 1920, the ACLU has vigorously defended free speech and privacy rights for over ninety years in state and federal courts, in New York and across the country, to protect the constitutional guarantees afforded to free expression and privacy by the U.S. Constitution and the New York Constitution. The ACLU has also been at the forefront of efforts to ensure that the Internet remains a free and open forum for the exchange of information and ideas and to ensure that the right to privacy remains robust in the face of new technologies.</w:t>
      </w:r>
    </w:p>
    <w:p>
      <w:pPr>
        <w:pStyle w:val="BodyText"/>
      </w:pPr>
      <w:r>
        <w:t xml:space="preserve">The Electronic Frontier Foundation (“EFF”) is a non-profit, member-supported organization based in San Francisco, California, that works to protect free speech and privacy rights in an age of increasingly sophisticated technology. As part of that mission, EFF has served as counsel or amicus curiae in many cases addressing civil liberties issues raised by emerging technologies. See</w:t>
      </w:r>
      <w:r>
        <w:t xml:space="preserve"> </w:t>
      </w:r>
      <w:r>
        <w:rPr>
          <w:i/>
          <w:iCs/>
        </w:rPr>
        <w:t xml:space="preserve">United States v. Jones</w:t>
      </w:r>
      <w:r>
        <w:t xml:space="preserve">, 132 S. Ct. 945 (2012); City of Ontario v. Quon, 130 S. Ct. 2619 (2010);</w:t>
      </w:r>
      <w:r>
        <w:t xml:space="preserve"> </w:t>
      </w:r>
      <w:r>
        <w:rPr>
          <w:i/>
          <w:iCs/>
        </w:rPr>
        <w:t xml:space="preserve">United States v. Warshak</w:t>
      </w:r>
      <w:r>
        <w:t xml:space="preserve">, 631 F.3d 266 (6th Cir. 2010); In re Application of U.S. for an Order Directing a Provider</w:t>
      </w:r>
      <w:r>
        <w:t xml:space="preserve"> </w:t>
      </w:r>
      <w:r>
        <w:t xml:space="preserve">of Elec. Commc’n Serv. to Disclose Records to Gov’t, 620 F.3d 304 (3d Cir. 2010).</w:t>
      </w:r>
    </w:p>
    <w:p>
      <w:pPr>
        <w:pStyle w:val="BodyText"/>
      </w:pPr>
      <w:r>
        <w:t xml:space="preserve">Public Citizen, Inc., is a public interest organization based in Washington, D.C. It has more than 300,000 members and supporters. Since its founding in 1971, Public Citizen has encouraged public participation in civic affairs, and has brought and defended numerous cases involving the First Amendment rights of citizens who participate in civic affairs and public debates. See generally http://​www.​citizen.​org/​litigation/​briefs/​internet.​htm. In particular, over the past twelve years, Public Citizen has represented Doe defendants or Internet forum hosts or appeared as amicus curiae in cases in which subpoenas have sought to identify hundreds of authors of anonymous Internet messages.</w:t>
      </w:r>
    </w:p>
    <w:p>
      <w:pPr>
        <w:keepNext/>
        <w:keepLines/>
        <w:spacing w:before="420" w:after="308" w:line="322" w:lineRule="exact"/>
        <w:ind w:left="0" w:firstLine="0"/>
        <w:jc w:val="center"/>
      </w:pP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308" w:after="252" w:line="322" w:lineRule="exact"/>
        <w:ind w:left="1440" w:hanging="720"/>
        <w:jc w:val="left"/>
      </w:pPr>
      <w:r>
        <w:rPr>
          <w:b/>
          <w:bCs/>
        </w:rPr>
        <w:t xml:space="preserve">A.</w:t>
      </w:r>
      <w:r>
        <w:rPr>
          <w:b/>
          <w:bCs/>
        </w:rPr>
        <w:tab/>
      </w:r>
      <w:r>
        <w:rPr>
          <w:b/>
          <w:bCs/>
        </w:rPr>
        <w:t xml:space="preserve">Twitter.</w:t>
      </w:r>
    </w:p>
    <w:p>
      <w:pPr>
        <w:pStyle w:val="BodyTextNote"/>
      </w:pPr>
      <w:r>
        <w:t xml:space="preserve">Twitter is an Internet service that permits individuals to express their thoughts, views, and opinions with other people around the world, on any subject, in messages of 140 characters or less. Twitter is one of the fastest growing forms of communication in the world, with over 500 million reported registered users as of July 2012, including individuals, corporations, governmental entities, and elected officials.</w:t>
      </w:r>
      <w:r>
        <w:rPr>
          <w:rStyle w:val="FootnoteReference"/>
        </w:rPr>
        <w:footnoteReference w:id="9"/>
      </w:r>
      <w:r>
        <w:t xml:space="preserve"> </w:t>
      </w:r>
      <w:r>
        <w:t xml:space="preserve">By some estimates it is the ninth largest website in the world.</w:t>
      </w:r>
      <w:r>
        <w:rPr>
          <w:rStyle w:val="FootnoteReference"/>
        </w:rPr>
        <w:footnoteReference w:id="10"/>
      </w:r>
      <w:r>
        <w:t xml:space="preserve"> </w:t>
      </w:r>
      <w:r>
        <w:t xml:space="preserve">It has become a ubiquitous medium for disseminating the news, organizing protests, opining on current affairs, or simply uttering one’s thoughts of the moment. Twitter has been an especially vital form of communication for individuals who either do not have means of access to more traditional media or who live in repressive societies where freedom of speech is not protected, most recently in Syria, Egypt, and Saudi Arabia.</w:t>
      </w:r>
      <w:r>
        <w:rPr>
          <w:rStyle w:val="FootnoteReference"/>
        </w:rPr>
        <w:footnoteReference w:id="11"/>
      </w:r>
    </w:p>
    <w:p>
      <w:pPr>
        <w:pStyle w:val="BodyText"/>
      </w:pPr>
      <w:r>
        <w:t xml:space="preserve">To publish material on Twitter, an individual needs to sign up for a Twitter account. Once that account is opened, a subscriber can publish messages using the account (“tweets”), sign up to receive others’ tweets (those one is “following”), and have others follow his or her tweets (one’s “followers”). By default, tweets are publicly available. Twitter users have the ability later to delete tweets that they previously posted. Tweets also become no longer visible to the public once a certain number of tweets have been made from an account.</w:t>
      </w:r>
    </w:p>
    <w:p>
      <w:pPr>
        <w:pStyle w:val="BodyText"/>
      </w:pPr>
      <w:r>
        <w:t xml:space="preserve">In addition to the contents of a tweet, the time and date of each tweet also appears publicly. The location from where the tweet was made, however, is not publicly available by default. In addition to public tweets, Twitter users may also use Twitter to communicate privately with other Twitter users via Twitter’s “Direct Messages” feature, which is the functional equivalent of a private email message service. All information regarding direct messages, including their content, their sender and recipient, and their time and date, is not publicly available.</w:t>
      </w:r>
    </w:p>
    <w:p>
      <w:pPr>
        <w:pStyle w:val="BodyText"/>
      </w:pPr>
      <w:r>
        <w:t xml:space="preserve">A Twitter user’s account will contain additional information that is not public, such as “log session” information—e.g., the date, time, and duration of each session in which a user is logged into Twitter—and the Internet Protocol (“IP”) addresses for the computer or device used to access Twitter. An IP address is a unique numerical address that identifies individual computers or other devices as they interact over the Internet, allowing information to be transmitted from one to the other. IP addresses can be used to determine the geographic location of a computer and, thus, its user, when they are connected to the Internet on a specific date and time. As the Second Circuit has explained:</w:t>
      </w:r>
    </w:p>
    <w:p>
      <w:pPr>
        <w:pStyle w:val="XdQuoteOnly"/>
      </w:pPr>
      <w:r>
        <w:t xml:space="preserve">The Internet is comprised of numerous interconnected communications and computer networks connecting a wide range of end-users to each other. Every end-user’s computer that is connected to the Internet is assigned a unique Internet Protocol number (“IP address”), such as 123.456.78.90, that identifies its location (i.e., a particular computer-to-network connection) and serves as the routing address for email, pictures, requests to view a web page, and other data sent across the Internet from other end-users.</w:t>
      </w:r>
    </w:p>
    <w:p>
      <w:pPr>
        <w:pStyle w:val="BodyTextNote"/>
      </w:pPr>
      <w:r>
        <w:rPr>
          <w:i/>
          <w:iCs/>
        </w:rPr>
        <w:t xml:space="preserve">Register.com,</w:t>
      </w:r>
      <w:r>
        <w:rPr>
          <w:i/>
          <w:iCs/>
        </w:rPr>
        <w:t xml:space="preserve"> </w:t>
      </w:r>
      <w:r>
        <w:rPr>
          <w:i/>
          <w:iCs/>
        </w:rPr>
        <w:t xml:space="preserve">Inc. v. Verio, Inc.</w:t>
      </w:r>
      <w:r>
        <w:t xml:space="preserve">, 356 F.3d 393, 409 (2d Cir. 2004) (citation omitted); see also</w:t>
      </w:r>
      <w:r>
        <w:t xml:space="preserve"> </w:t>
      </w:r>
      <w:r>
        <w:rPr>
          <w:i/>
          <w:iCs/>
        </w:rPr>
        <w:t xml:space="preserve">Sony Music</w:t>
      </w:r>
      <w:r>
        <w:rPr>
          <w:i/>
          <w:iCs/>
        </w:rPr>
        <w:t xml:space="preserve"> </w:t>
      </w:r>
      <w:r>
        <w:rPr>
          <w:i/>
          <w:iCs/>
        </w:rPr>
        <w:t xml:space="preserve">Entm’t Inc. v. Does 1</w:t>
      </w:r>
      <w:r>
        <w:noBreakHyphen/>
      </w:r>
      <w:r>
        <w:rPr>
          <w:i/>
          <w:iCs/>
        </w:rPr>
        <w:t xml:space="preserve">40</w:t>
      </w:r>
      <w:r>
        <w:t xml:space="preserve">, 326 F. Supp. 2d 556, 567 (S.D.N.Y. 2004) (detailing that IP addresses can be matched with publicly available databases to “indicate the ‘likely’ locations of the residences or other venues where defendants used their Internet-connected computers”).</w:t>
      </w:r>
      <w:r>
        <w:rPr>
          <w:rStyle w:val="FootnoteReference"/>
        </w:rPr>
        <w:footnoteReference w:id="12"/>
      </w:r>
    </w:p>
    <w:p>
      <w:pPr>
        <w:pStyle w:val="BodyText"/>
      </w:pPr>
      <w:r>
        <w:t xml:space="preserve">An IP address is also particularly sensitive information because, to the extent an IP address alone does not reveal physical location, once law enforcement learns a user’s IP address, it can easily serve one more subpoena to the Internet Service Provider (“ISP”) that has assigned that IP address to a particular subscriber to obtain the user’s true identity, home or business address, telephone number(s), credit card information, and other sensitive and private information.</w:t>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D.A.’s</w:t>
      </w:r>
      <w:r>
        <w:rPr>
          <w:b/>
          <w:bCs/>
        </w:rPr>
        <w:t xml:space="preserve"> </w:t>
      </w:r>
      <w:r>
        <w:rPr>
          <w:b/>
          <w:bCs/>
        </w:rPr>
        <w:t xml:space="preserve">Subpoena</w:t>
      </w:r>
      <w:r>
        <w:rPr>
          <w:b/>
          <w:bCs/>
        </w:rPr>
        <w:t xml:space="preserve"> </w:t>
      </w:r>
      <w:r>
        <w:rPr>
          <w:b/>
          <w:bCs/>
        </w:rPr>
        <w:t xml:space="preserve">To</w:t>
      </w:r>
      <w:r>
        <w:rPr>
          <w:b/>
          <w:bCs/>
        </w:rPr>
        <w:t xml:space="preserve"> </w:t>
      </w:r>
      <w:r>
        <w:rPr>
          <w:b/>
          <w:bCs/>
        </w:rPr>
        <w:t xml:space="preserve">Twitter.</w:t>
      </w:r>
    </w:p>
    <w:p>
      <w:pPr>
        <w:pStyle w:val="BodyTextNote"/>
      </w:pPr>
      <w:r>
        <w:t xml:space="preserve">This matter arises out of the New York County District Attorney’s (the “D.A.”) prosecution of Malcolm Harris, one of the hundreds of individuals accused of committing disorderly conduct by being on the Brooklyn Bridge during an Occupy Wall Street-related protest in October 2011. In connection with that case, on January 26, 2012, the D.A. issued a broadly worded trial subpoena to Twitter (the “Twitter Subpoena”) seeking “[a]ny and all user information, including email address, as well as any and all tweets posted for the period of 9/15/2011</w:t>
      </w:r>
      <w:r>
        <w:noBreakHyphen/>
      </w:r>
      <w:r>
        <w:t xml:space="preserve">12/31/2011,” for the account associated with</w:t>
      </w:r>
      <w:r>
        <w:t xml:space="preserve"> </w:t>
      </w:r>
      <w:r>
        <w:t xml:space="preserve">@destructuremal</w:t>
      </w:r>
      <w:r>
        <w:t xml:space="preserve">, which was Harris’s account. Ex. A.</w:t>
      </w:r>
      <w:r>
        <w:rPr>
          <w:rStyle w:val="FootnoteReference"/>
        </w:rPr>
        <w:footnoteReference w:id="13"/>
      </w:r>
      <w:r>
        <w:t xml:space="preserve"> </w:t>
      </w:r>
      <w:r>
        <w:t xml:space="preserve">That request covers not only the subscriber information that Harris submitted when he registered for Twitter, including his personal email address, but also the content of all of his tweets, the date, time, and the IP address that corresponds to each time he used Twitter over the three-and-a-half month period, and the duration of each of Harris’s Twitter sessions, regardless of whether he posted any tweets during those log-in sessions and regardless of whether any of his tweets were related to the issues involved in the pending prosecution. The plain terms of the Twitter Subpoena—“[a]ny and all user information”—also appear to encompass information concerning Harris’s use of Twitter’s direct message feature. Some of the information demanded, like IP addresses, email addresses, and direct message information, was never publicly available; other information, like the content of Harris’s tweets from the requested period, was once publicly available via Twitter, but no longer was at the time of the subpoena.</w:t>
      </w:r>
    </w:p>
    <w:p>
      <w:pPr>
        <w:keepNext/>
        <w:keepLines/>
        <w:spacing w:before="308" w:after="252" w:line="322" w:lineRule="exact"/>
        <w:ind w:left="1440" w:hanging="720"/>
        <w:jc w:val="left"/>
      </w:pPr>
      <w:r>
        <w:rPr>
          <w:b/>
          <w:bCs/>
        </w:rPr>
        <w:t xml:space="preserve">C.</w:t>
      </w:r>
      <w:r>
        <w:rPr>
          <w:b/>
          <w:bCs/>
        </w:rPr>
        <w:tab/>
      </w:r>
      <w:r>
        <w:rPr>
          <w:b/>
          <w:bCs/>
        </w:rPr>
        <w:t xml:space="preserve">Procedural</w:t>
      </w:r>
      <w:r>
        <w:rPr>
          <w:b/>
          <w:bCs/>
        </w:rPr>
        <w:t xml:space="preserve"> </w:t>
      </w:r>
      <w:r>
        <w:rPr>
          <w:b/>
          <w:bCs/>
        </w:rPr>
        <w:t xml:space="preserve">Background.</w:t>
      </w:r>
    </w:p>
    <w:p>
      <w:pPr>
        <w:pStyle w:val="BodyText"/>
      </w:pPr>
      <w:r>
        <w:t xml:space="preserve">The D.A. did not notify Harris of the issuance of the Twitter Subpoena. In fact, without any authority, the D.A. “directed” Twitter not to inform Harris of the existence of the trial subpoena. Ex. A. Harris learned of the Subpoena only because Twitter notified him of it following discussions with the D.A., pursuant to Twitter’s policy of informing its customers of such subpoenas unless it is legally restricted from doing so.</w:t>
      </w:r>
    </w:p>
    <w:p>
      <w:pPr>
        <w:pStyle w:val="BodyText"/>
      </w:pPr>
      <w:r>
        <w:t xml:space="preserve">Upon receiving notice, Harris filed a motion to quash the Twitter Subpoena on February 6, 2012. The D.A. filed a brief in opposition, alleging that it needed the requested information to refute Harris’s anticipated trial defense that the police either led or escorted him onto the non-pedestrian part of the Brooklyn Bridge. More specifically, the D.A. asserted that the requested information would establish that Harris is the owner of the</w:t>
      </w:r>
      <w:r>
        <w:t xml:space="preserve"> </w:t>
      </w:r>
      <w:r>
        <w:t xml:space="preserve">@destructuremal</w:t>
      </w:r>
      <w:r>
        <w:t xml:space="preserve"> </w:t>
      </w:r>
      <w:r>
        <w:t xml:space="preserve">Twitter account and that he posted tweets from that account contradicting his anticipated defense on the day of the incident. Aff. in Supp. of People’s Resp. to Def.’s Mot. to Quash, at ¶¶ 9-⁠11.</w:t>
      </w:r>
    </w:p>
    <w:p>
      <w:pPr>
        <w:pStyle w:val="BodyText"/>
      </w:pPr>
      <w:r>
        <w:t xml:space="preserve">On April 20, 2012, the lower court denied Harris’s motion, holding that he had no standing to challenge the Twitter Subpoena. Decision and Order at 3</w:t>
      </w:r>
      <w:r>
        <w:noBreakHyphen/>
      </w:r>
      <w:r>
        <w:t xml:space="preserve">6, April 20, 2012 (“April 20 Order”). The court also proceeded to consider the validity of the Subpoena, concluding that it complied with the Stored Communications Act (the “SCA”), id. at 8</w:t>
      </w:r>
      <w:r>
        <w:noBreakHyphen/>
      </w:r>
      <w:r>
        <w:t xml:space="preserve">10, and sua sponte issuing an order pursuant to 18 U.S.C. § 2703(d)</w:t>
      </w:r>
      <w:r>
        <w:t xml:space="preserve"> </w:t>
      </w:r>
      <w:r>
        <w:t xml:space="preserve">requiring Twitter to provide the information requested in the Twitter Subpoena within twenty days of receiving notice of the Order, id. at 12.</w:t>
      </w:r>
    </w:p>
    <w:p>
      <w:pPr>
        <w:pStyle w:val="BodyText"/>
      </w:pPr>
      <w:r>
        <w:t xml:space="preserve">Harris filed a motion to reargue on April 30, 2012. On May 7, 2012, prior to its compliance deadline, Twitter separately filed its own motion to quash the new § 2703(d)</w:t>
      </w:r>
      <w:r>
        <w:t xml:space="preserve"> </w:t>
      </w:r>
      <w:r>
        <w:t xml:space="preserve">order issued by the lower court. Amici subsequently filed an amicus brief with the court.</w:t>
      </w:r>
    </w:p>
    <w:p>
      <w:pPr>
        <w:pStyle w:val="BodyText"/>
      </w:pPr>
      <w:r>
        <w:t xml:space="preserve">The lower court issued its decision denying Twitter’s motion on June 30, 2012. In its decision, the court upheld its earlier decision that Harris did not have standing to challenge the Subpoena. As before, the court premised this ruling on its belief that Harris did not have a “proprietary interest” in the information requested from Twitter. Decision and Order at 6, June 30, 2012 (“June 30 Order”). The court also concluded that Harris had no standing because he did not have a reasonable expectation of privacy in his Twitter activities. Id. at 6</w:t>
      </w:r>
      <w:r>
        <w:noBreakHyphen/>
      </w:r>
      <w:r>
        <w:t xml:space="preserve">7. The court did not address the First Amendment issues raised by the Subpoena or its April 20 Order or, as explained below, their impact on the standing analysis.</w:t>
      </w:r>
    </w:p>
    <w:p>
      <w:pPr>
        <w:pStyle w:val="BodyText"/>
      </w:pPr>
      <w:r>
        <w:t xml:space="preserve">On the merits, the lower court again held that the disclosure demand did not violate the Fourth Amendment, the Stored Communications Act, or any provision of New York law. With respect to the Fourth Amendment, the court concluded that there was no violation because (1) there is no physical intrusion onto Harris’s property and (2) Harris does not have a reasonable expectation of privacy in his tweets that were “intentionally broadcast to the world.” Id. at 7. The court’s analysis did not address whether there is an expectation of privacy concerning the non-public subscriber information requested by the Subpoena. As with its standing analysis, the court did not address whether the Subpoena or its April 20 Order violate Harris’s First Amendment rights.</w:t>
      </w:r>
    </w:p>
    <w:p>
      <w:pPr>
        <w:pStyle w:val="BodyText"/>
      </w:pPr>
      <w:r>
        <w:t xml:space="preserve">Twitter timely appealed the court’s decision to this Court.</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HARRIS</w:t>
      </w:r>
      <w:r>
        <w:rPr>
          <w:b/>
          <w:bCs/>
        </w:rPr>
        <w:t xml:space="preserve"> </w:t>
      </w:r>
      <w:r>
        <w:rPr>
          <w:b/>
          <w:bCs/>
        </w:rPr>
        <w:t xml:space="preserve">HAS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MOVE</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THE</w:t>
      </w:r>
      <w:r>
        <w:rPr>
          <w:b/>
          <w:bCs/>
        </w:rPr>
        <w:t xml:space="preserve"> </w:t>
      </w:r>
      <w:r>
        <w:rPr>
          <w:b/>
          <w:bCs/>
        </w:rPr>
        <w:t xml:space="preserve">THIRD-PARTY</w:t>
      </w:r>
      <w:r>
        <w:rPr>
          <w:b/>
          <w:bCs/>
        </w:rPr>
        <w:t xml:space="preserve"> </w:t>
      </w:r>
      <w:r>
        <w:rPr>
          <w:b/>
          <w:bCs/>
        </w:rPr>
        <w:t xml:space="preserve">SUBPOENA</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IMPLICATES</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RIGHTS.</w:t>
      </w:r>
    </w:p>
    <w:p>
      <w:pPr>
        <w:pStyle w:val="BodyTextNote"/>
      </w:pPr>
      <w:r>
        <w:t xml:space="preserve">The lower court held that Harris did not have standing to challenge the Twitter Subpoena on the ground that individuals have no privacy interest in information possessed by third parties (in this case, Twitter). April 20 Order at 4</w:t>
      </w:r>
      <w:r>
        <w:noBreakHyphen/>
      </w:r>
      <w:r>
        <w:t xml:space="preserve">6; June 30 Order at 5</w:t>
      </w:r>
      <w:r>
        <w:noBreakHyphen/>
      </w:r>
      <w:r>
        <w:t xml:space="preserve">7. That conclusion is at odds with case law from the United States Supreme Court and numerous lower courts holding that individuals whose constitutional rights are implicated by third-party subpoenas have standing to challenge their validity. Because Harris’s First Amendment rights are implicated by the Twitter Subpoena, he has standing to challenge it, even if this Court ultimately holds that Harris should not prevail on the merits of those claims.</w:t>
      </w:r>
      <w:r>
        <w:rPr>
          <w:rStyle w:val="FootnoteReference"/>
        </w:rPr>
        <w:footnoteReference w:id="14"/>
      </w:r>
    </w:p>
    <w:p>
      <w:pPr>
        <w:keepNext/>
        <w:keepLines/>
        <w:spacing w:before="308" w:after="252" w:line="322" w:lineRule="exact"/>
        <w:ind w:left="1440" w:hanging="720"/>
        <w:jc w:val="left"/>
      </w:pPr>
      <w:r>
        <w:rPr>
          <w:b/>
          <w:bCs/>
        </w:rPr>
        <w:t xml:space="preserve">A.</w:t>
      </w:r>
      <w:r>
        <w:rPr>
          <w:b/>
          <w:bCs/>
        </w:rPr>
        <w:tab/>
      </w:r>
      <w:r>
        <w:rPr>
          <w:b/>
          <w:bCs/>
        </w:rPr>
        <w:t xml:space="preserve">Twitter</w:t>
      </w:r>
      <w:r>
        <w:rPr>
          <w:b/>
          <w:bCs/>
        </w:rPr>
        <w:t xml:space="preserve"> </w:t>
      </w:r>
      <w:r>
        <w:rPr>
          <w:b/>
          <w:bCs/>
        </w:rPr>
        <w:t xml:space="preserve">Users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Third-Party</w:t>
      </w:r>
      <w:r>
        <w:rPr>
          <w:b/>
          <w:bCs/>
        </w:rPr>
        <w:t xml:space="preserve"> </w:t>
      </w:r>
      <w:r>
        <w:rPr>
          <w:b/>
          <w:bCs/>
        </w:rPr>
        <w:t xml:space="preserve">Disclosure</w:t>
      </w:r>
      <w:r>
        <w:rPr>
          <w:b/>
          <w:bCs/>
        </w:rPr>
        <w:t xml:space="preserve"> </w:t>
      </w:r>
      <w:r>
        <w:rPr>
          <w:b/>
          <w:bCs/>
        </w:rPr>
        <w:t xml:space="preserve">Requests</w:t>
      </w:r>
      <w:r>
        <w:rPr>
          <w:b/>
          <w:bCs/>
        </w:rPr>
        <w:t xml:space="preserve"> </w:t>
      </w:r>
      <w:r>
        <w:rPr>
          <w:b/>
          <w:bCs/>
        </w:rPr>
        <w:t xml:space="preserve">That</w:t>
      </w:r>
      <w:r>
        <w:rPr>
          <w:b/>
          <w:bCs/>
        </w:rPr>
        <w:t xml:space="preserve"> </w:t>
      </w:r>
      <w:r>
        <w:rPr>
          <w:b/>
          <w:bCs/>
        </w:rPr>
        <w:t xml:space="preserve">Implicate</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Rights.</w:t>
      </w:r>
    </w:p>
    <w:p>
      <w:pPr>
        <w:pStyle w:val="BodyText"/>
      </w:pPr>
      <w:r>
        <w:t xml:space="preserve">“In essence the question of standing is whether the litigant is entitled to have the court decide the merits of the dispute or of particular issues.”</w:t>
      </w:r>
      <w:r>
        <w:t xml:space="preserve"> </w:t>
      </w:r>
      <w:r>
        <w:rPr>
          <w:i/>
          <w:iCs/>
        </w:rPr>
        <w:t xml:space="preserve">Warth</w:t>
      </w:r>
      <w:r>
        <w:rPr>
          <w:i/>
          <w:iCs/>
        </w:rPr>
        <w:t xml:space="preserve"> </w:t>
      </w:r>
      <w:r>
        <w:rPr>
          <w:i/>
          <w:iCs/>
        </w:rPr>
        <w:t xml:space="preserve">v. Seldin</w:t>
      </w:r>
      <w:r>
        <w:t xml:space="preserve">, 422 U.S. 490, 498 (1975). That question “in no way depends on the merits of the plaintiff’s contention that particular conduct is illegal.” Id. at 500 (emphasis added). In other words, as long as a threshold showing is made that one’s First Amendment rights are in jeopardy, an individual has standing to seek to protect those rights, regardless of the merits of those claims. Because Harris’s First Amendment rights are implicated by the Twitter Subpoena, see infra at 14</w:t>
      </w:r>
      <w:r>
        <w:noBreakHyphen/>
      </w:r>
      <w:r>
        <w:t xml:space="preserve">22, he has standing to challenge its validity, even if the Court subsequently determines on the merits that his rights were not violated in these particular circumstances.</w:t>
      </w:r>
    </w:p>
    <w:p>
      <w:pPr>
        <w:pStyle w:val="BodyTextNote"/>
      </w:pPr>
      <w:r>
        <w:t xml:space="preserve">The United States Supreme Court has repeatedly held that individuals whose constitutional rights are implicated by a government subpoena to a third party have standing to challenge the request to attempt to protect their constitutional rights before disclosure of the requested information. See, e.g.,</w:t>
      </w:r>
      <w:r>
        <w:t xml:space="preserve"> </w:t>
      </w:r>
      <w:r>
        <w:rPr>
          <w:i/>
          <w:iCs/>
        </w:rPr>
        <w:t xml:space="preserve">Gravel</w:t>
      </w:r>
      <w:r>
        <w:rPr>
          <w:i/>
          <w:iCs/>
        </w:rPr>
        <w:t xml:space="preserve"> </w:t>
      </w:r>
      <w:r>
        <w:rPr>
          <w:i/>
          <w:iCs/>
        </w:rPr>
        <w:t xml:space="preserve">v. United States</w:t>
      </w:r>
      <w:r>
        <w:t xml:space="preserve">, 408 U.S. 606, 608</w:t>
      </w:r>
      <w:r>
        <w:noBreakHyphen/>
      </w:r>
      <w:r>
        <w:t xml:space="preserve">09 (1972) (Senator Gravel</w:t>
      </w:r>
      <w:r>
        <w:t xml:space="preserve"> </w:t>
      </w:r>
      <w:r>
        <w:t xml:space="preserve">allowed to intervene to file motion to quash grand jury subpoena issued to third party to protect his rights under the Speech and Debate Clause);</w:t>
      </w:r>
      <w:r>
        <w:t xml:space="preserve"> </w:t>
      </w:r>
      <w:r>
        <w:rPr>
          <w:i/>
          <w:iCs/>
        </w:rPr>
        <w:t xml:space="preserve">Pollard</w:t>
      </w:r>
      <w:r>
        <w:rPr>
          <w:i/>
          <w:iCs/>
        </w:rPr>
        <w:t xml:space="preserve"> </w:t>
      </w:r>
      <w:r>
        <w:rPr>
          <w:i/>
          <w:iCs/>
        </w:rPr>
        <w:t xml:space="preserve">v. Roberts</w:t>
      </w:r>
      <w:r>
        <w:t xml:space="preserve">, 283 F. Supp. 248, 258</w:t>
      </w:r>
      <w:r>
        <w:noBreakHyphen/>
      </w:r>
      <w:r>
        <w:t xml:space="preserve">59 (E.D. Ark. 1968) (three-judge court), aff’d per curiam, 393 U.S. 14 (1968) (considering targets’ challenge to subpoenas directed at third-party bank, and enjoining subpoenas because enforcement would violate targets’ First Amendment rights);</w:t>
      </w:r>
      <w:r>
        <w:rPr>
          <w:rStyle w:val="FootnoteReference"/>
        </w:rPr>
        <w:footnoteReference w:id="15"/>
      </w:r>
      <w:r>
        <w:t xml:space="preserve"> </w:t>
      </w:r>
      <w:r>
        <w:rPr>
          <w:i/>
          <w:iCs/>
        </w:rPr>
        <w:t xml:space="preserve">Perlman</w:t>
      </w:r>
      <w:r>
        <w:rPr>
          <w:i/>
          <w:iCs/>
        </w:rPr>
        <w:t xml:space="preserve"> </w:t>
      </w:r>
      <w:r>
        <w:rPr>
          <w:i/>
          <w:iCs/>
        </w:rPr>
        <w:t xml:space="preserve">v. United States</w:t>
      </w:r>
      <w:r>
        <w:t xml:space="preserve">, 247 U.S. 7, 12</w:t>
      </w:r>
      <w:r>
        <w:noBreakHyphen/>
      </w:r>
      <w:r>
        <w:t xml:space="preserve">13 (1918) (permitting individual to raise constitutional objections to disclosure of documents in the possession of a third party, and to appeal denial of motion immediately). As the Court explained in</w:t>
      </w:r>
      <w:r>
        <w:t xml:space="preserve"> </w:t>
      </w:r>
      <w:r>
        <w:rPr>
          <w:i/>
          <w:iCs/>
        </w:rPr>
        <w:t xml:space="preserve">Eastland</w:t>
      </w:r>
      <w:r>
        <w:rPr>
          <w:i/>
          <w:iCs/>
        </w:rPr>
        <w:t xml:space="preserve"> </w:t>
      </w:r>
      <w:r>
        <w:rPr>
          <w:i/>
          <w:iCs/>
        </w:rPr>
        <w:t xml:space="preserve">v. U.S. Servicemen’s Fund</w:t>
      </w:r>
      <w:r>
        <w:t xml:space="preserve">, 421 U.S. 491 (1975), if individuals about whom information was being sought from a third party were not permitted to bring such an action, their constitutional rights could permanently be frustrated because they could not count on the third party-recipient to stand up for their rights. Id. at 501 n.14 (holding that the lower court properly entertained the plaintiffs’ challenge of a congressional subpoena issued to their third-party bank); see also id. at 514 (Marshall, J., concurring) (emphasizing that before disclosure, the target must be given a forum to “assert its constitutional objections to the subpoena, since a neutral third party could not be expected to resist the subpoena by placing itself in contempt”).</w:t>
      </w:r>
    </w:p>
    <w:p>
      <w:pPr>
        <w:pStyle w:val="BodyTextNote"/>
      </w:pPr>
      <w:r>
        <w:t xml:space="preserve">Courts around the country have followed suit, holding that individuals whose constitutional rights are implicated by subpoenas to third parties have standing to challenge them, even if the individuals do not presently have a possessory interest in the information sought.</w:t>
      </w:r>
      <w:r>
        <w:rPr>
          <w:rStyle w:val="FootnoteReference"/>
        </w:rPr>
        <w:footnoteReference w:id="16"/>
      </w:r>
      <w:r>
        <w:t xml:space="preserve"> </w:t>
      </w:r>
      <w:r>
        <w:t xml:space="preserve">That is true even if, as in Eastland,</w:t>
      </w:r>
      <w:r>
        <w:t xml:space="preserve"> </w:t>
      </w:r>
      <w:r>
        <w:t xml:space="preserve">the Court ultimately rejects the constitutional challenge on the merits. Id. at 507.</w:t>
      </w:r>
    </w:p>
    <w:p>
      <w:pPr>
        <w:pStyle w:val="BodyTextNote"/>
      </w:pPr>
      <w:r>
        <w:t xml:space="preserve">In reaching its initial decision on standing, the lower court relied heavily on Twitter’s Terms of Service and its Privacy Policy. April 20 Order at 3, 5. The Terms of Service and the Privacy Policy, like the similar ones of many other Internet companies, do not, however, alter the First Amendment standing analysis here. Indeed, in</w:t>
      </w:r>
      <w:r>
        <w:t xml:space="preserve"> </w:t>
      </w:r>
      <w:r>
        <w:rPr>
          <w:i/>
          <w:iCs/>
        </w:rPr>
        <w:t xml:space="preserve">In re Grand Jury Subpoena No. 11116275</w:t>
      </w:r>
      <w:r>
        <w:t xml:space="preserve">, 846 F. Supp. 2d 1 (D.D.C. 2012), a federal court recently permitted a Twitter user to bring a motion challenging a grand jury subpoena issued to Twitter for his subscriber information. Id. at 7. Another federal court reached the same conclusion with respect to a Google/​Gmail user, rejecting the government’s argument that the Gmail user had no standing to challenge a subpoena to Google for the user’s subscriber information because the user had voluntarily provided that information to Google.</w:t>
      </w:r>
      <w:r>
        <w:t xml:space="preserve"> </w:t>
      </w:r>
      <w:r>
        <w:rPr>
          <w:i/>
          <w:iCs/>
        </w:rPr>
        <w:t xml:space="preserve">Doe v. SEC</w:t>
      </w:r>
      <w:r>
        <w:t xml:space="preserve">, No. C 11</w:t>
      </w:r>
      <w:r>
        <w:noBreakHyphen/>
      </w:r>
      <w:r>
        <w:t xml:space="preserve">80209 CRB, 2011 WL 5600513, at *3 (N.D. Cal. Nov. 17, 2011). Amazon.com customers have similarly been permitted to challenge government demands to Amazon for their account information.</w:t>
      </w:r>
      <w:r>
        <w:t xml:space="preserve"> </w:t>
      </w:r>
      <w:r>
        <w:rPr>
          <w:i/>
          <w:iCs/>
        </w:rPr>
        <w:t xml:space="preserve">Amazon.com L.L.C. v. Lay</w:t>
      </w:r>
      <w:r>
        <w:t xml:space="preserve">, 758 F. Supp. 2d 1154 (W.D. Wash. 2010).</w:t>
      </w:r>
      <w:r>
        <w:rPr>
          <w:rStyle w:val="FootnoteReference"/>
        </w:rPr>
        <w:footnoteReference w:id="17"/>
      </w:r>
    </w:p>
    <w:p>
      <w:pPr>
        <w:pStyle w:val="BodyText"/>
      </w:pPr>
      <w:r>
        <w:t xml:space="preserve">That the information is in the physical possession of Twitter, a third party, similarly does not eliminate Harris’s right to challenge the Twitter Subpoena. See, e.g.,</w:t>
      </w:r>
      <w:r>
        <w:t xml:space="preserve"> </w:t>
      </w:r>
      <w:r>
        <w:rPr>
          <w:i/>
          <w:iCs/>
        </w:rPr>
        <w:t xml:space="preserve">In re Grand Jury Subpoena Dated Dec. 17, 1996</w:t>
      </w:r>
      <w:r>
        <w:t xml:space="preserve">, 148 F.3d at 490 (rejecting a virtually identical argument that the movants lacked standing because they no longer had “a possessory interest in the documents requested”);</w:t>
      </w:r>
      <w:r>
        <w:t xml:space="preserve"> </w:t>
      </w:r>
      <w:r>
        <w:rPr>
          <w:i/>
          <w:iCs/>
        </w:rPr>
        <w:t xml:space="preserve">Doe v. SEC</w:t>
      </w:r>
      <w:r>
        <w:t xml:space="preserve">, 2011 WL 5600513, at *3 (same);</w:t>
      </w:r>
      <w:r>
        <w:t xml:space="preserve"> </w:t>
      </w:r>
      <w:r>
        <w:rPr>
          <w:i/>
          <w:iCs/>
        </w:rPr>
        <w:t xml:space="preserve">Doe v. Ashcroft</w:t>
      </w:r>
      <w:r>
        <w:t xml:space="preserve">, 334 F. Supp. 2d 471, 508</w:t>
      </w:r>
      <w:r>
        <w:noBreakHyphen/>
      </w:r>
      <w:r>
        <w:t xml:space="preserve">09 (S.D.N.Y. 2004), vacated and rev’d on other grounds,</w:t>
      </w:r>
      <w:r>
        <w:t xml:space="preserve"> </w:t>
      </w:r>
      <w:r>
        <w:rPr>
          <w:i/>
          <w:iCs/>
        </w:rPr>
        <w:t xml:space="preserve">Doe v. Gonzales</w:t>
      </w:r>
      <w:r>
        <w:t xml:space="preserve">, 449 F.3d 415 (2d Cir. 2006). Indeed, in</w:t>
      </w:r>
      <w:r>
        <w:t xml:space="preserve"> </w:t>
      </w:r>
      <w:r>
        <w:rPr>
          <w:i/>
          <w:iCs/>
        </w:rPr>
        <w:t xml:space="preserve">United States v. Miller</w:t>
      </w:r>
      <w:r>
        <w:t xml:space="preserve">, 425 U.S. 435 (1976), the Supreme Court expressly recognized that First Amendment claims may be implicated by the summons of records held by a third-party bank, even if the Fourth Amendment is not implicated. Id. at 444 n.6. “This is so because the constitutionally protected right, freedom to associate freely and anonymously, will be chilled equally whether the associational information is compelled from the organization itself or from third parties.”</w:t>
      </w:r>
      <w:r>
        <w:t xml:space="preserve"> </w:t>
      </w:r>
      <w:r>
        <w:rPr>
          <w:i/>
          <w:iCs/>
        </w:rPr>
        <w:t xml:space="preserve">In re First Nat’l Bank</w:t>
      </w:r>
      <w:r>
        <w:t xml:space="preserve">, 701 F.2d at 118 (rejecting the government’s assertion that the Supreme Court’s decision in</w:t>
      </w:r>
      <w:r>
        <w:t xml:space="preserve"> </w:t>
      </w:r>
      <w:r>
        <w:rPr>
          <w:i/>
          <w:iCs/>
        </w:rPr>
        <w:t xml:space="preserve">Miller</w:t>
      </w:r>
      <w:r>
        <w:t xml:space="preserve"> </w:t>
      </w:r>
      <w:r>
        <w:t xml:space="preserve">forecloses petitioners from having standing to challenge a third-party request); see also</w:t>
      </w:r>
      <w:r>
        <w:t xml:space="preserve"> </w:t>
      </w:r>
      <w:r>
        <w:rPr>
          <w:i/>
          <w:iCs/>
        </w:rPr>
        <w:t xml:space="preserve">Local 1814</w:t>
      </w:r>
      <w:r>
        <w:t xml:space="preserve">, 667 F.2d at 271 (same).</w:t>
      </w:r>
    </w:p>
    <w:p>
      <w:pPr>
        <w:pStyle w:val="BodyText"/>
      </w:pPr>
      <w:r>
        <w:t xml:space="preserve">Were it otherwise, Internet users would never have standing to defend their constitutional right to associate or to engage in anonymous speech on the Internet, because users must provide their information to others—e.g., to ISPs—to access the Internet. As Judge Marrero, a federal district judge in the Southern District of New York, explained:</w:t>
      </w:r>
    </w:p>
    <w:p>
      <w:pPr>
        <w:pStyle w:val="XdQuoteOnly"/>
      </w:pPr>
      <w:r>
        <w:t xml:space="preserve">[T]he implications of the Government’s position [that disclosure to third parties eliminates the right to anonymity] are profound. Anonymous internet speakers could be unmasked merely by an administrative, civil, or trial subpoena, or by any state or local disclosure regulation directed at their ISP, and the Government would not have to provide any heightened justification for revealing the speaker. The same would be true for attempts to compile membership lists by seeking the computerized records of an organization which uses a third-party electronic communications provider. Considering, as is undisputed here, the importance of the internet as a forum for speech and association, the Court rejects the invitation to permit the rights of internet anonymity and association to be placed at such grave risk.</w:t>
      </w:r>
    </w:p>
    <w:p>
      <w:pPr>
        <w:pStyle w:val="BodyText"/>
      </w:pPr>
      <w:r>
        <w:rPr>
          <w:i/>
          <w:iCs/>
        </w:rPr>
        <w:t xml:space="preserve">Doe v. Ashcroft</w:t>
      </w:r>
      <w:r>
        <w:t xml:space="preserve">, 334 F. Supp. 2d at 509.</w:t>
      </w:r>
    </w:p>
    <w:p>
      <w:pPr>
        <w:pStyle w:val="BodyText"/>
      </w:pPr>
      <w:r>
        <w:t xml:space="preserve">Indeed, state and federal courts around the country, including courts in New York, have consistently permitted Internet users to bring motions to quash third-party subpoenas issued to their third-party ISPs to protect their First Amendment rights, even though the users knowingly provided the requested information to their ISPs. See, e.g.,</w:t>
      </w:r>
      <w:r>
        <w:t xml:space="preserve"> </w:t>
      </w:r>
      <w:r>
        <w:rPr>
          <w:i/>
          <w:iCs/>
        </w:rPr>
        <w:t xml:space="preserve">Pub. Relations</w:t>
      </w:r>
      <w:r>
        <w:rPr>
          <w:i/>
          <w:iCs/>
        </w:rPr>
        <w:t xml:space="preserve"> </w:t>
      </w:r>
      <w:r>
        <w:rPr>
          <w:i/>
          <w:iCs/>
        </w:rPr>
        <w:t xml:space="preserve">Soc’y of Am., Inc. v. Rd. Runner High Speed Online</w:t>
      </w:r>
      <w:r>
        <w:t xml:space="preserve">, 799 N.Y.S.2d 847 [Sup. Ct. N.Y. County 2005] (adjudicating motion to quash subpoena by anonymous Internet user whose identifying information was being sought from ISP);</w:t>
      </w:r>
      <w:r>
        <w:t xml:space="preserve"> </w:t>
      </w:r>
      <w:r>
        <w:rPr>
          <w:i/>
          <w:iCs/>
        </w:rPr>
        <w:t xml:space="preserve">Cohen</w:t>
      </w:r>
      <w:r>
        <w:rPr>
          <w:i/>
          <w:iCs/>
        </w:rPr>
        <w:t xml:space="preserve"> </w:t>
      </w:r>
      <w:r>
        <w:rPr>
          <w:i/>
          <w:iCs/>
        </w:rPr>
        <w:t xml:space="preserve">v. Google, Inc.</w:t>
      </w:r>
      <w:r>
        <w:t xml:space="preserve">, 887 N.Y.S.2d 424 (Sup. Ct. N.Y. County 2009) (same);</w:t>
      </w:r>
      <w:r>
        <w:t xml:space="preserve"> </w:t>
      </w:r>
      <w:r>
        <w:rPr>
          <w:i/>
          <w:iCs/>
        </w:rPr>
        <w:t xml:space="preserve">Greenbaum</w:t>
      </w:r>
      <w:r>
        <w:rPr>
          <w:i/>
          <w:iCs/>
        </w:rPr>
        <w:t xml:space="preserve"> </w:t>
      </w:r>
      <w:r>
        <w:rPr>
          <w:i/>
          <w:iCs/>
        </w:rPr>
        <w:t xml:space="preserve">v. Google, Inc.</w:t>
      </w:r>
      <w:r>
        <w:t xml:space="preserve">, 845 N.Y.S.2d 695, 698 (Sup. Ct. N.Y. County 2007) (same);</w:t>
      </w:r>
      <w:r>
        <w:t xml:space="preserve"> </w:t>
      </w:r>
      <w:r>
        <w:rPr>
          <w:i/>
          <w:iCs/>
        </w:rPr>
        <w:t xml:space="preserve">Arista</w:t>
      </w:r>
      <w:r>
        <w:rPr>
          <w:i/>
          <w:iCs/>
        </w:rPr>
        <w:t xml:space="preserve"> </w:t>
      </w:r>
      <w:r>
        <w:rPr>
          <w:i/>
          <w:iCs/>
        </w:rPr>
        <w:t xml:space="preserve">Records, LLC v. Doe 3</w:t>
      </w:r>
      <w:r>
        <w:t xml:space="preserve">, 604 F.3d 110 (2d Cir. 2010) (same).</w:t>
      </w:r>
    </w:p>
    <w:p>
      <w:pPr>
        <w:pStyle w:val="BodyText"/>
      </w:pPr>
      <w:r>
        <w:t xml:space="preserve">One of the principal rationales behind Eastland</w:t>
      </w:r>
      <w:r>
        <w:t xml:space="preserve"> </w:t>
      </w:r>
      <w:r>
        <w:t xml:space="preserve">and all of these other cases is that the individuals whose constitutional rights are implicated by third-party subpoenas must be given an opportunity to challenge them immediately, because the third parties do not have the necessary incentives to do so.</w:t>
      </w:r>
      <w:r>
        <w:t xml:space="preserve"> </w:t>
      </w:r>
      <w:r>
        <w:rPr>
          <w:i/>
          <w:iCs/>
        </w:rPr>
        <w:t xml:space="preserve">Eastland</w:t>
      </w:r>
      <w:r>
        <w:t xml:space="preserve">, 421 U.S. at 501 n.14; id. at 514 (Marshall, J., concurring) (stating that the target must be given a forum to “assert its constitutional objections to the subpoena, since a neutral third party could not be expected to resist the subpoena by placing itself in contempt”); see also</w:t>
      </w:r>
      <w:r>
        <w:t xml:space="preserve"> </w:t>
      </w:r>
      <w:r>
        <w:rPr>
          <w:i/>
          <w:iCs/>
        </w:rPr>
        <w:t xml:space="preserve">In re Shapiro</w:t>
      </w:r>
      <w:r>
        <w:rPr>
          <w:i/>
          <w:iCs/>
        </w:rPr>
        <w:t xml:space="preserve"> </w:t>
      </w:r>
      <w:r>
        <w:rPr>
          <w:i/>
          <w:iCs/>
        </w:rPr>
        <w:t xml:space="preserve">v Chase Manhattan Bank, N.A.</w:t>
      </w:r>
      <w:r>
        <w:t xml:space="preserve">, 84 Misc. 2d 938, 943 (Sup. Ct. N.Y. County 1975) (“Banks cannot be expected to resist a subpoena by placing themselves in contempt, and compliance by the third-party bank clearly would frustrate any judicial determination of the issue.”). The same concern exists here.</w:t>
      </w:r>
    </w:p>
    <w:p>
      <w:pPr>
        <w:pStyle w:val="BodyTextNote"/>
      </w:pPr>
      <w:r>
        <w:t xml:space="preserve">Although Twitter has filed its own motion in this case, that does not mean that it (or other companies) will do so in other cases. Indeed, its lower court brief makes clear that one of the reasons why Twitter weighed in here is because of the potential consequences for Twitter of the lower court’s holding that the thousands of Twitter users in New York do not have standing to challenge any governmental requests for information about them. Memorandum in Support of Twitter’s Motion to Quash at 5. The reality is that Twitter, like other companies, will not—and cannot—challenge every government request directed at one of its millions of users, who pay Twitter no money and have no relationship with Twitter other than that they use its services. Cf.</w:t>
      </w:r>
      <w:r>
        <w:t xml:space="preserve"> </w:t>
      </w:r>
      <w:r>
        <w:rPr>
          <w:i/>
          <w:iCs/>
        </w:rPr>
        <w:t xml:space="preserve">Greenbaum</w:t>
      </w:r>
      <w:r>
        <w:t xml:space="preserve">, 845 N.Y.S.2d at 698 (permitting intervention by user to challenge subpoena to Google because, inter alia, “Google leaves it to those people to come in and protect their own interests.” (citation and internal quotation marks omitted)).</w:t>
      </w:r>
      <w:r>
        <w:rPr>
          <w:rStyle w:val="FootnoteReference"/>
        </w:rPr>
        <w:footnoteReference w:id="18"/>
      </w:r>
    </w:p>
    <w:p>
      <w:pPr>
        <w:pStyle w:val="BodyTextNote"/>
      </w:pPr>
      <w:r>
        <w:t xml:space="preserve">Because Twitter and similar entities do not have the incentives to challenge these government requests, Internet users—the individuals whose constitutional rights are at stake—are precisely the people who must have standing to defend those rights in court. See, e.g.,</w:t>
      </w:r>
      <w:r>
        <w:t xml:space="preserve"> </w:t>
      </w:r>
      <w:r>
        <w:rPr>
          <w:i/>
          <w:iCs/>
        </w:rPr>
        <w:t xml:space="preserve">Singleton v. Wulff</w:t>
      </w:r>
      <w:r>
        <w:t xml:space="preserve">, 428 U.S. 106, 113–14 (1976) (holding that individuals whose personal rights are at stake “usually will be the best proponents of their own rights”);</w:t>
      </w:r>
      <w:r>
        <w:t xml:space="preserve"> </w:t>
      </w:r>
      <w:r>
        <w:rPr>
          <w:i/>
          <w:iCs/>
        </w:rPr>
        <w:t xml:space="preserve">In re Grand Jury</w:t>
      </w:r>
      <w:r>
        <w:t xml:space="preserve">, 111 F.3d 1066, 1072 (3d Cir. 1997) (“Because it is Doe 1 and Doe 2 whose privacy has been violated and would again be violated by compliance with the [grand jury] subpoena ⁠. ⁠. ⁠. it is the intervenors and not the witness herself who are best suited to assert the Title III claim.”). Although the information requested may be in Twitter’s possession, the First Amendment interests at stake belong primarily to Harris, and Harris’s rights are best raised by Harris, not by Twitter.</w:t>
      </w:r>
      <w:r>
        <w:rPr>
          <w:rStyle w:val="FootnoteReference"/>
        </w:rPr>
        <w:footnoteReference w:id="19"/>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Implicates</w:t>
      </w:r>
      <w:r>
        <w:rPr>
          <w:b/>
          <w:bCs/>
        </w:rPr>
        <w:t xml:space="preserve"> </w:t>
      </w:r>
      <w:r>
        <w:rPr>
          <w:b/>
          <w:bCs/>
        </w:rPr>
        <w:t xml:space="preserve">Harris’s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Rights.</w:t>
      </w:r>
    </w:p>
    <w:p>
      <w:pPr>
        <w:pStyle w:val="BodyTextNote"/>
      </w:pPr>
      <w:r>
        <w:t xml:space="preserve">Because, contrary to the lower court’s belief, individuals can have standing to challenge third-party subpoenas, whether Harris has standing here turns on whether his constitutional rights are implicated by the Twitter Subpoena. Harris need not demonstrate that he can prevail on the merits of his claims for his rights to be implicated; he must simply make a threshold showing that those rights are in jeopardy.</w:t>
      </w:r>
      <w:r>
        <w:t xml:space="preserve"> </w:t>
      </w:r>
      <w:r>
        <w:rPr>
          <w:i/>
          <w:iCs/>
        </w:rPr>
        <w:t xml:space="preserve">Warth</w:t>
      </w:r>
      <w:r>
        <w:t xml:space="preserve">, 422 U.S. at 500. Harris meets this standard.</w:t>
      </w:r>
      <w:r>
        <w:rPr>
          <w:rStyle w:val="FootnoteReference"/>
        </w:rPr>
        <w:footnoteReference w:id="20"/>
      </w:r>
    </w:p>
    <w:p>
      <w:pPr>
        <w:pStyle w:val="BodyText"/>
      </w:pPr>
      <w:r>
        <w:t xml:space="preserve">At its most elementary level, the First Amendment prohibits government from taking actions that burden speech except in extraordinary circumstances.</w:t>
      </w:r>
      <w:r>
        <w:t xml:space="preserve"> </w:t>
      </w:r>
      <w:r>
        <w:rPr>
          <w:i/>
          <w:iCs/>
        </w:rPr>
        <w:t xml:space="preserve">Turner Broad.</w:t>
      </w:r>
      <w:r>
        <w:rPr>
          <w:i/>
          <w:iCs/>
        </w:rPr>
        <w:t xml:space="preserve"> </w:t>
      </w:r>
      <w:r>
        <w:rPr>
          <w:i/>
          <w:iCs/>
        </w:rPr>
        <w:t xml:space="preserve">Sys., Inc. v. F.C.C.</w:t>
      </w:r>
      <w:r>
        <w:t xml:space="preserve">, 512 U.S. 622, 641</w:t>
      </w:r>
      <w:r>
        <w:noBreakHyphen/>
      </w:r>
      <w:r>
        <w:t xml:space="preserve">42 (1994). More specifically, courts have recognized that government demands for information concerning expressive activities inherently burden speech and therefore implicate the First Amendment and its New York equivalent, Article I, Section 8. See, e.g.,</w:t>
      </w:r>
      <w:r>
        <w:t xml:space="preserve"> </w:t>
      </w:r>
      <w:r>
        <w:rPr>
          <w:i/>
          <w:iCs/>
        </w:rPr>
        <w:t xml:space="preserve">Gibson</w:t>
      </w:r>
      <w:r>
        <w:rPr>
          <w:i/>
          <w:iCs/>
        </w:rPr>
        <w:t xml:space="preserve"> </w:t>
      </w:r>
      <w:r>
        <w:rPr>
          <w:i/>
          <w:iCs/>
        </w:rPr>
        <w:t xml:space="preserve">v. Fla. Legislative Investigation Comm.</w:t>
      </w:r>
      <w:r>
        <w:t xml:space="preserve">, 372 U.S. 539, 558 (1963) (“It is particularly important that the exercise of the power of compulsory process be carefully circumscribed when the investigative process tends to impinge upon such highly sensitive areas as freedom of speech or press, freedom of political accociation [sic], and freedom of communication of ideas.” (citation and internal quotation marks omitted));</w:t>
      </w:r>
      <w:r>
        <w:t xml:space="preserve"> </w:t>
      </w:r>
      <w:r>
        <w:rPr>
          <w:i/>
          <w:iCs/>
        </w:rPr>
        <w:t xml:space="preserve">United States v. Rumely</w:t>
      </w:r>
      <w:r>
        <w:t xml:space="preserve">, 345 U.S. 41, 46 (1953) (holding that a subpoena to a bookseller implicated the First Amendment);</w:t>
      </w:r>
      <w:r>
        <w:t xml:space="preserve"> </w:t>
      </w:r>
      <w:r>
        <w:rPr>
          <w:i/>
          <w:iCs/>
        </w:rPr>
        <w:t xml:space="preserve">People ex rel. Arcara</w:t>
      </w:r>
      <w:r>
        <w:rPr>
          <w:i/>
          <w:iCs/>
        </w:rPr>
        <w:t xml:space="preserve"> </w:t>
      </w:r>
      <w:r>
        <w:rPr>
          <w:i/>
          <w:iCs/>
        </w:rPr>
        <w:t xml:space="preserve">v. Cloud Books, Inc.</w:t>
      </w:r>
      <w:r>
        <w:t xml:space="preserve">, 68 N.Y.2d 553, 558 (1986) (stating that under the New York Constitution, “[t]he crucial factor in determining whether State action affects freedom of expression is the impact of the action on the protected activity and not the nature of the activity which prompted the government to act”).</w:t>
      </w:r>
    </w:p>
    <w:p>
      <w:pPr>
        <w:pStyle w:val="BodyText"/>
      </w:pPr>
      <w:r>
        <w:t xml:space="preserve">The Twitter Subpoena seeks “[a]ny and all user information” about Harris’s use of Twitter over a three-and-a-half month period, including the political views and personal opinions that Harris expressed in his tweets and the location of where he was at those times. That type of prolonged, wholesale surveillance into speech activities implicates the First Amendment because “[a]wareness that the Government may be watching chills associational and expressive freedoms.”</w:t>
      </w:r>
      <w:r>
        <w:t xml:space="preserve"> </w:t>
      </w:r>
      <w:r>
        <w:rPr>
          <w:i/>
          <w:iCs/>
        </w:rPr>
        <w:t xml:space="preserve">United States v. Jones</w:t>
      </w:r>
      <w:r>
        <w:t xml:space="preserve">, 132 S. Ct. 945, 956 (2012) (Sotomayor, J., concurring); see also</w:t>
      </w:r>
      <w:r>
        <w:t xml:space="preserve"> </w:t>
      </w:r>
      <w:r>
        <w:rPr>
          <w:i/>
          <w:iCs/>
        </w:rPr>
        <w:t xml:space="preserve">People v. Collier</w:t>
      </w:r>
      <w:r>
        <w:t xml:space="preserve">, 376 N.Y.S.2d 954, 979 (Sup. Ct. N.Y. County 1975) (“We cannot live in a free society where we have a sense of being observed by government watchers. Unwarranted police surveillance will destroy our capacity to tolerate—and even encourage—dissent and nonconformity; it promotes a climate of fear; it intimidates, demoralizes and frightens the community into silence.”). If people know that the government will be monitoring their speech and creating dossiers on their past, present, and future communications such that they will be held accountable for everything that they say, people will be less inclined to speak or read as freely. That is especially the case with respect to “casual,” spontaneous speech, because individuals would likely refrain from publicly making such statements or flipping through random books or websites as often if they thought that the government might later obtain that information and hold it against them.</w:t>
      </w:r>
    </w:p>
    <w:p>
      <w:pPr>
        <w:pStyle w:val="BodyText"/>
      </w:pPr>
      <w:r>
        <w:t xml:space="preserve">That the content of Harris’s tweets was once publicly available does not mean that there are no First Amendment issues raised by the Subpoena. The First Amendment protects both public and non-public speech. Indeed, the whole point of the First Amendment is to protect speech made in public that others—namely, the majority—might not like and might not want others to hear. Newspapers, for example, are indisputably protected by the First Amendment, despite their “public” nature. Likewise, in</w:t>
      </w:r>
      <w:r>
        <w:t xml:space="preserve"> </w:t>
      </w:r>
      <w:r>
        <w:rPr>
          <w:i/>
          <w:iCs/>
        </w:rPr>
        <w:t xml:space="preserve">McIntyre</w:t>
      </w:r>
      <w:r>
        <w:rPr>
          <w:i/>
          <w:iCs/>
        </w:rPr>
        <w:t xml:space="preserve"> </w:t>
      </w:r>
      <w:r>
        <w:rPr>
          <w:i/>
          <w:iCs/>
        </w:rPr>
        <w:t xml:space="preserve">v. Ohio Elections Comm’n</w:t>
      </w:r>
      <w:r>
        <w:t xml:space="preserve">, 514 U.S. 334 (1995), the United States Supreme Court made clear that the plaintiff retained her right to refuse to disclose her identity even though she was engaging in her anonymous speech in public, in full view of everyone who could see her and identify her.</w:t>
      </w:r>
    </w:p>
    <w:p>
      <w:pPr>
        <w:pStyle w:val="BodyText"/>
      </w:pPr>
      <w:r>
        <w:t xml:space="preserve">The precise scenario at issue here—a demand for disclosure of information about already-published speech—is unusual. But that is only because there is usually no need to subpoena information that is publicly available; here, there is such a need because Harris’s once-public tweets are no longer publicly available. That does not, however, mean that the First Amendment is not triggered. Indeed, in a factually similar context, the D.C. Circuit held that the government’s attempt to force disclosure of already-published content that was once publicly available not only implicated, but violated, the First Amendment because of its impact on the targeted speech.</w:t>
      </w:r>
      <w:r>
        <w:t xml:space="preserve"> </w:t>
      </w:r>
      <w:r>
        <w:rPr>
          <w:i/>
          <w:iCs/>
        </w:rPr>
        <w:t xml:space="preserve">Comty.-Serv.</w:t>
      </w:r>
      <w:r>
        <w:rPr>
          <w:i/>
          <w:iCs/>
        </w:rPr>
        <w:t xml:space="preserve"> </w:t>
      </w:r>
      <w:r>
        <w:rPr>
          <w:i/>
          <w:iCs/>
        </w:rPr>
        <w:t xml:space="preserve">Broad. of Mid-Am., Inc. v. FCC</w:t>
      </w:r>
      <w:r>
        <w:t xml:space="preserve">, 593 F.2d 1102, 1122 (D.C. Cir. 1978). In that case, the D.C. Circuit invalidated an F.C.C. requirement that government-funded, non-commercial radio stations tape-record all broadcast public affairs programs and later make the recordings available to F.C.C. Commissioners, holding that the requirement was unconstitutional because it was likely to chill free expression and served no legitimate government interest. In other words, just because an individual’s speech activities were once publicly viewable does not mean that there is no First Amendment protection for them.</w:t>
      </w:r>
    </w:p>
    <w:p>
      <w:pPr>
        <w:pStyle w:val="BodyText"/>
      </w:pPr>
      <w:r>
        <w:t xml:space="preserve">The government surveillance at issue here is especially concerning because, in addition to demanding the content of Harris’s once-publicly available tweets, the Twitter Subpoena also requests information that was never publicly accessible, such as the IP addresses associated with Harris’s use of Twitter and the date and time for each log-in session. As explained above, IP addresses correlate to a user’s specific geographic location.</w:t>
      </w:r>
      <w:r>
        <w:t xml:space="preserve"> </w:t>
      </w:r>
      <w:r>
        <w:rPr>
          <w:i/>
          <w:iCs/>
        </w:rPr>
        <w:t xml:space="preserve">Register.com</w:t>
      </w:r>
      <w:r>
        <w:t xml:space="preserve">, 356 F.3d at 409;</w:t>
      </w:r>
      <w:r>
        <w:t xml:space="preserve"> </w:t>
      </w:r>
      <w:r>
        <w:rPr>
          <w:i/>
          <w:iCs/>
        </w:rPr>
        <w:t xml:space="preserve">Sony Music</w:t>
      </w:r>
      <w:r>
        <w:t xml:space="preserve">, 326 F. Supp. 2d at 567. The linking of Harris’s locations with the content of his messages makes the Twitter Subpoena particularly invasive from a First Amendment perspective because information about Harris’s location may provide meaning to some of his tweets that might not otherwise be apparent to the public. “The [Supreme] Court has recognized that location of speech, like other aspects of presentation, can affect the meaning of communication and merit First Amendment protection for that reason.”</w:t>
      </w:r>
      <w:r>
        <w:t xml:space="preserve"> </w:t>
      </w:r>
      <w:r>
        <w:rPr>
          <w:i/>
          <w:iCs/>
        </w:rPr>
        <w:t xml:space="preserve">Galvin</w:t>
      </w:r>
      <w:r>
        <w:rPr>
          <w:i/>
          <w:iCs/>
        </w:rPr>
        <w:t xml:space="preserve"> </w:t>
      </w:r>
      <w:r>
        <w:rPr>
          <w:i/>
          <w:iCs/>
        </w:rPr>
        <w:t xml:space="preserve">v. Hay</w:t>
      </w:r>
      <w:r>
        <w:t xml:space="preserve">, 374 F.3d 739, 750 (9th Cir. 2004) (citing</w:t>
      </w:r>
      <w:r>
        <w:t xml:space="preserve"> </w:t>
      </w:r>
      <w:r>
        <w:rPr>
          <w:i/>
          <w:iCs/>
        </w:rPr>
        <w:t xml:space="preserve">City of Ladue</w:t>
      </w:r>
      <w:r>
        <w:rPr>
          <w:i/>
          <w:iCs/>
        </w:rPr>
        <w:t xml:space="preserve"> </w:t>
      </w:r>
      <w:r>
        <w:rPr>
          <w:i/>
          <w:iCs/>
        </w:rPr>
        <w:t xml:space="preserve">v. Gilleo</w:t>
      </w:r>
      <w:r>
        <w:t xml:space="preserve">, 512 U.S. 43 (1994)). For example, a message such as “I like the government here” both derives meaning from and conveys meaning about the speaker’s location; it would mean one thing if tweeted from Peoria and quite another if tweeted from Pyongyang. Likewise, tweeting “Everybody must get stoned” might mean one thing if tweeted from Woodstock on the night of a Bob Dylan concert, but something far different if tweeted from Kandahar on a day in which numerous citizens are stoned to death for committing moral offenses. Similarly, “Take the bridge” might mean one thing if tweeted from lower Manhattan on October 1, 2011, and a far different thing if tweeted from near the Golden Gate Bridge on September 11, 2001. Indeed, that is precisely why the D.A. wants to obtain the content of Harris’s tweets; where people are when they say certain things matters. See</w:t>
      </w:r>
      <w:r>
        <w:t xml:space="preserve"> </w:t>
      </w:r>
      <w:r>
        <w:rPr>
          <w:i/>
          <w:iCs/>
        </w:rPr>
        <w:t xml:space="preserve">City of Ladue</w:t>
      </w:r>
      <w:r>
        <w:rPr>
          <w:i/>
          <w:iCs/>
        </w:rPr>
        <w:t xml:space="preserve"> </w:t>
      </w:r>
      <w:r>
        <w:rPr>
          <w:i/>
          <w:iCs/>
        </w:rPr>
        <w:t xml:space="preserve">v. Gilleo</w:t>
      </w:r>
      <w:r>
        <w:t xml:space="preserve">, 512 U.S. 43, 56 (1994) (“Displaying a sign from one’s own residence often carries a message quite distinct from placing the same sign someplace else, or conveying the same text or picture by other means.”);</w:t>
      </w:r>
      <w:r>
        <w:t xml:space="preserve"> </w:t>
      </w:r>
      <w:r>
        <w:rPr>
          <w:i/>
          <w:iCs/>
        </w:rPr>
        <w:t xml:space="preserve">Santa Monica Food Not Bombs</w:t>
      </w:r>
      <w:r>
        <w:rPr>
          <w:i/>
          <w:iCs/>
        </w:rPr>
        <w:t xml:space="preserve"> </w:t>
      </w:r>
      <w:r>
        <w:rPr>
          <w:i/>
          <w:iCs/>
        </w:rPr>
        <w:t xml:space="preserve">v. City of Santa Monica</w:t>
      </w:r>
      <w:r>
        <w:t xml:space="preserve">, 450 F.3d 1022, 1047</w:t>
      </w:r>
      <w:r>
        <w:noBreakHyphen/>
      </w:r>
      <w:r>
        <w:t xml:space="preserve">48 (9th Cir. 2006) (“[A] location itself may be significant to the content of the message.”). Connecting Harris’s locations and movements to his specific messages may, thus, provide the D.A. with nuanced insight not just into Harris’s daily life, but his expressive activities as well.</w:t>
      </w:r>
    </w:p>
    <w:p>
      <w:pPr>
        <w:pStyle w:val="BodyText"/>
      </w:pPr>
      <w:r>
        <w:t xml:space="preserve">On their own, some of these details about Harris’s communications might not seem terribly invasive. From a First Amendment perspective, however, even small infringements require compelling justification because “[f]reedoms such as these are protected not only against heavy-handed frontal attack, but also from being stifled by more subtle governmental interference.”</w:t>
      </w:r>
      <w:r>
        <w:t xml:space="preserve"> </w:t>
      </w:r>
      <w:r>
        <w:rPr>
          <w:i/>
          <w:iCs/>
        </w:rPr>
        <w:t xml:space="preserve">Healy</w:t>
      </w:r>
      <w:r>
        <w:rPr>
          <w:i/>
          <w:iCs/>
        </w:rPr>
        <w:t xml:space="preserve"> </w:t>
      </w:r>
      <w:r>
        <w:rPr>
          <w:i/>
          <w:iCs/>
        </w:rPr>
        <w:t xml:space="preserve">v. James</w:t>
      </w:r>
      <w:r>
        <w:t xml:space="preserve">, 408 U.S. 169, 183 (1972);</w:t>
      </w:r>
      <w:r>
        <w:t xml:space="preserve"> </w:t>
      </w:r>
      <w:r>
        <w:rPr>
          <w:i/>
          <w:iCs/>
        </w:rPr>
        <w:t xml:space="preserve">Bantam</w:t>
      </w:r>
      <w:r>
        <w:rPr>
          <w:i/>
          <w:iCs/>
        </w:rPr>
        <w:t xml:space="preserve"> </w:t>
      </w:r>
      <w:r>
        <w:rPr>
          <w:i/>
          <w:iCs/>
        </w:rPr>
        <w:t xml:space="preserve">Books, Inc. v. Sullivan</w:t>
      </w:r>
      <w:r>
        <w:t xml:space="preserve">, 372 U.S. 58, 66 (1963) (“It is characteristic of the freedoms of expression in general that they are vulnerable to gravely damaging yet barely visible encroachments.”).</w:t>
      </w:r>
    </w:p>
    <w:p>
      <w:pPr>
        <w:pStyle w:val="BodyTextNote"/>
      </w:pPr>
      <w:r>
        <w:t xml:space="preserve">Moreover, given the amount of time covered by the Subpoena—three-and-a-half months—the accumulation of all of these discrete details and data points from such a long period of time could enable the D.A. to piece together a comprehensive portrait of Harris’s expressive activities and habits, directly implicating his First Amendment rights. Cf.</w:t>
      </w:r>
      <w:r>
        <w:t xml:space="preserve"> </w:t>
      </w:r>
      <w:r>
        <w:rPr>
          <w:i/>
          <w:iCs/>
        </w:rPr>
        <w:t xml:space="preserve">Jones</w:t>
      </w:r>
      <w:r>
        <w:t xml:space="preserve">, 132 S. Ct. at 955 (Sotomayor, J. concurring) (stating that GPS monitoring “generates a precise, comprehensive record of a person’s public movements that reflects a wealth of detail about her familial, political, professional, religious, and sexual associations”);</w:t>
      </w:r>
      <w:r>
        <w:t xml:space="preserve"> </w:t>
      </w:r>
      <w:r>
        <w:rPr>
          <w:i/>
          <w:iCs/>
        </w:rPr>
        <w:t xml:space="preserve">People v. Weaver</w:t>
      </w:r>
      <w:r>
        <w:t xml:space="preserve">, 12 N.Y.3d 433, 442 [2009] (holding that GPS monitoring reveals “a highly detailed profile, not simply of where we go, but by easy inference, of our associations ⁠. ⁠. ⁠. and of the pattern of our professional and avocational pursuits”).</w:t>
      </w:r>
      <w:r>
        <w:rPr>
          <w:rStyle w:val="FootnoteReference"/>
        </w:rPr>
        <w:footnoteReference w:id="21"/>
      </w:r>
      <w:r>
        <w:t xml:space="preserve"> </w:t>
      </w:r>
      <w:r>
        <w:t xml:space="preserve">Indeed, whereas government monitoring of a single public speech activity might not necessarily trigger First Amendment protections, the government’s ability to amass and maintain a comprehensive database of one’s digital speech activities over a three-and-a-half month period implicates far more serious constitutional concerns, especially, where, as here, technological advances have made it so easy and relatively cost-free for government to do so. Cf.</w:t>
      </w:r>
      <w:r>
        <w:t xml:space="preserve"> </w:t>
      </w:r>
      <w:r>
        <w:rPr>
          <w:i/>
          <w:iCs/>
        </w:rPr>
        <w:t xml:space="preserve">Jones</w:t>
      </w:r>
      <w:r>
        <w:t xml:space="preserve">, 132 S. Ct. at 956 (Sotomayor, J., concurring) (“[T]he Government’s unrestrained power to assemble data that reveal private aspects of identity is susceptible to abuse. The net result is that GPS monitoring—by making available at a relatively low cost such a substantial quantum of intimate information about any person whom the Government, in its unfettered discretion, chooses to track—may ‘alter the relationship between citizen and government in a way that is inimical to democratic society.’” (internal citation omitted));</w:t>
      </w:r>
      <w:r>
        <w:t xml:space="preserve"> </w:t>
      </w:r>
      <w:r>
        <w:rPr>
          <w:i/>
          <w:iCs/>
        </w:rPr>
        <w:t xml:space="preserve">Weaver</w:t>
      </w:r>
      <w:r>
        <w:t xml:space="preserve">, 12 N.Y.3d at 441 (“That such a surrogate technological deployment is not—particularly when placed at the unsupervised discretion of agents of the state ‘engaged in the often competitive enterprise of ferreting out crime’—compatible with any reasonable notion of personal privacy or ordered liberty would appear to us obvious.” (internal citation omitted)).</w:t>
      </w:r>
    </w:p>
    <w:p>
      <w:pPr>
        <w:pStyle w:val="BodyText"/>
      </w:pPr>
      <w:r>
        <w:t xml:space="preserve">If individuals knew that the government could combine what they have been saying for the past three-and-a-half months with where they were when they said those things, what time of day they read certain websites or communicated with their friends, how long they read certain websites and took to write messages, and whether communications were made via a mobile phone, laptop, or personal computer (and therefore whether the individuals were more likely to say certain things from work, from their home, or from coffee shops), the certain result would be that individuals would be chilled from engaging in those communications as freely. As a result, the D.A. cannot simply subpoena this information without first satisfying constitutional scrutiny. See, e.g.,</w:t>
      </w:r>
      <w:r>
        <w:t xml:space="preserve"> </w:t>
      </w:r>
      <w:r>
        <w:rPr>
          <w:i/>
          <w:iCs/>
        </w:rPr>
        <w:t xml:space="preserve">Lamont</w:t>
      </w:r>
      <w:r>
        <w:rPr>
          <w:i/>
          <w:iCs/>
        </w:rPr>
        <w:t xml:space="preserve"> </w:t>
      </w:r>
      <w:r>
        <w:rPr>
          <w:i/>
          <w:iCs/>
        </w:rPr>
        <w:t xml:space="preserve">v. Postmaster Gen.</w:t>
      </w:r>
      <w:r>
        <w:t xml:space="preserve">, 381 U.S. 301, 307 (1965) (holding that the forced disclosure of reading habits “is at war with the ‘uninhibited, robust, and wide-open’ debate and discussion that are contemplated by the First Amendment”) (quoting</w:t>
      </w:r>
      <w:r>
        <w:t xml:space="preserve"> </w:t>
      </w:r>
      <w:r>
        <w:rPr>
          <w:i/>
          <w:iCs/>
        </w:rPr>
        <w:t xml:space="preserve">N.Y. Times Co. v. Sullivan</w:t>
      </w:r>
      <w:r>
        <w:t xml:space="preserve">, 376 U.S. 254, 270 (1964));</w:t>
      </w:r>
      <w:r>
        <w:t xml:space="preserve"> </w:t>
      </w:r>
      <w:r>
        <w:rPr>
          <w:i/>
          <w:iCs/>
        </w:rPr>
        <w:t xml:space="preserve">Collier</w:t>
      </w:r>
      <w:r>
        <w:t xml:space="preserve">, 376 N.Y.S.2d at 984 (explaining that even small infringements of constitutional rights cannot be permitted).</w:t>
      </w:r>
    </w:p>
    <w:p>
      <w:pPr>
        <w:pStyle w:val="BodyText"/>
      </w:pPr>
      <w:r>
        <w:t xml:space="preserve">That is especially true given the nature of the speech at issue—Internet speech. Although the prevalence of the Internet and its accompanying technological advances, such as Twitter, provide invaluable tools for creating and disseminating information, the unprecedented potential for Internet companies to store vast amounts of personal information for an indefinite time—and for the government to obtain that information—poses a new threat to free speech and the right to personal privacy. See</w:t>
      </w:r>
      <w:r>
        <w:t xml:space="preserve"> </w:t>
      </w:r>
      <w:r>
        <w:rPr>
          <w:i/>
          <w:iCs/>
        </w:rPr>
        <w:t xml:space="preserve">Jones</w:t>
      </w:r>
      <w:r>
        <w:t xml:space="preserve">, 132 S. Ct. at 956 (Sotomayor, J., concurring). The ease with which information is spread over the Internet exacerbates the chilling effect that would likely be felt—rationally or otherwise—from broad government surveillance of speech, particularly on such a high-profile and politically charged matter as the Occupy Wall Street protests. As one court explained in considering a grand jury subpoena to Amazon.com:</w:t>
      </w:r>
    </w:p>
    <w:p>
      <w:pPr>
        <w:pStyle w:val="XdQuoteOnly"/>
      </w:pPr>
      <w:r>
        <w:t xml:space="preserve">[I]f word were to spread over the Net—and it would—that [the government] had demanded and received Amazon’s list of customers and their personal purchases, the chilling effect on expressive e-commerce would frost keyboards across America. Fiery rhetoric quickly would follow and the nuances of the subpoena (as actually written and served) would be lost as the cyberdebate roiled itself to a furious boil. One might ask whether this court should concern itself with blogger outrage disproportionate to the government’s actual demand of Amazon. The logical answer is yes, it should: well-founded or not, rumors of an Orwellian federal criminal investigation into the reading habits of Amazon’s customers could frighten countless potential customers into canceling planned online book purchases, now and perhaps forever.</w:t>
      </w:r>
    </w:p>
    <w:p>
      <w:pPr>
        <w:pStyle w:val="BodyText"/>
      </w:pPr>
      <w:r>
        <w:rPr>
          <w:i/>
          <w:iCs/>
        </w:rPr>
        <w:t xml:space="preserve">In re Grand Jury Subpoena to Amazon.com</w:t>
      </w:r>
      <w:r>
        <w:rPr>
          <w:i/>
          <w:iCs/>
        </w:rPr>
        <w:t xml:space="preserve"> </w:t>
      </w:r>
      <w:r>
        <w:rPr>
          <w:i/>
          <w:iCs/>
        </w:rPr>
        <w:t xml:space="preserve">Dated Aug. 7, 2006</w:t>
      </w:r>
      <w:r>
        <w:t xml:space="preserve">, 246 F.R.D. 570, 573 (W.D. Wis. 2007). Thus, even if the Court believes that individuals should not be chilled by the actual language of the Twitter Subpoena or because it concerns already-public communications, countless individuals likely will be chilled by the government’s demand for information about individuals’ Internet communications.</w:t>
      </w:r>
    </w:p>
    <w:p>
      <w:pPr>
        <w:pStyle w:val="BodyText"/>
      </w:pPr>
      <w:r>
        <w:t xml:space="preserve">Moreover, although the D.A. has now disclaimed any intent to seek information concerning Harris’s use of Twitter’s direct messaging feature, the plain terms of the Twitter Subpoena—“[a]ny and all user information”—appear to encompass that information as well. Because the D.A. has not conceded that the wording of the Twitter Subpoena is improper in any manner and because it has not agreed that it will never ask for the full scope of the originally-demanded information, the Subpoena’s validity turns on its plain language, not on what the D.A. now claims it intended the Subpoena to cover. See, e.g.,</w:t>
      </w:r>
      <w:r>
        <w:t xml:space="preserve"> </w:t>
      </w:r>
      <w:r>
        <w:rPr>
          <w:i/>
          <w:iCs/>
        </w:rPr>
        <w:t xml:space="preserve">Amazon.com, L.L.C. v. Lay</w:t>
      </w:r>
      <w:r>
        <w:t xml:space="preserve">, 758 F. Supp. 2d 1154, 1169 &amp; n.2 (W.D. Wash. 2010) (rejecting the government’s argument that a document demand should be read to cover only what the government says it intended, instead of the plain language of the demand). Direct messages, like emails or letters, are private and are intended to be seen only by the individuals communicating with each other via direct messages. The content of those direct messages is indisputably constitutionally protected. Disclosure of Harris’s direct messages would also reveal the date, time, and IP address of every individual with whom Harris either sent or received a direct message, providing a detailed dossier on Harris’s friends and associates, as well as on him. Information concerning Harris’s use of direct messages, thus, directly implicates Harris’s First Amendment interests.</w:t>
      </w:r>
    </w:p>
    <w:p>
      <w:pPr>
        <w:pStyle w:val="BodyText"/>
      </w:pPr>
      <w:r>
        <w:t xml:space="preserve">Finally, as discussed below, one of the D.A.’s rationales for demanding the requested non-public subscriber information is to ascertain whether Harris was actually the individual who posted the tweets in question. To the extent the identity of the poster of those tweets is unknown, the demand for this identifying information indisputably implicates the First Amendment right to engage in anonymous speech.</w:t>
      </w:r>
      <w:r>
        <w:t xml:space="preserve"> </w:t>
      </w:r>
      <w:r>
        <w:rPr>
          <w:i/>
          <w:iCs/>
        </w:rPr>
        <w:t xml:space="preserve">McIntyre</w:t>
      </w:r>
      <w:r>
        <w:rPr>
          <w:i/>
          <w:iCs/>
        </w:rPr>
        <w:t xml:space="preserve"> </w:t>
      </w:r>
      <w:r>
        <w:rPr>
          <w:i/>
          <w:iCs/>
        </w:rPr>
        <w:t xml:space="preserve">v. Ohio Elections Comm’n</w:t>
      </w:r>
      <w:r>
        <w:t xml:space="preserve">, 514 U.S. 334, 357 (1995) (“[A]nonymous pamphleteering is not a pernicious, fraudulent practice, but an honorable tradition of advocacy and of dissent.”);</w:t>
      </w:r>
      <w:r>
        <w:t xml:space="preserve"> </w:t>
      </w:r>
      <w:r>
        <w:rPr>
          <w:i/>
          <w:iCs/>
        </w:rPr>
        <w:t xml:space="preserve">Doe v. 2theMart.com,</w:t>
      </w:r>
      <w:r>
        <w:rPr>
          <w:i/>
          <w:iCs/>
        </w:rPr>
        <w:t xml:space="preserve"> </w:t>
      </w:r>
      <w:r>
        <w:rPr>
          <w:i/>
          <w:iCs/>
        </w:rPr>
        <w:t xml:space="preserve">Inc.</w:t>
      </w:r>
      <w:r>
        <w:t xml:space="preserve">, 140 F. Supp. 2d 1088, 1097 (W.D. Wash. 2001) (“[T]he constitutional rights of Internet users, including the First Amendment right to speak anonymously, must be carefully safeguarded.”).</w:t>
      </w:r>
    </w:p>
    <w:p>
      <w:pPr>
        <w:pStyle w:val="BodyText"/>
      </w:pPr>
      <w:r>
        <w:t xml:space="preserve">The lower court did not even attempt to address any of these First Amendment issues. That was error. Because Harris’s First Amendment rights are implicated by the Twitter Subpoena, he has standing to challenge it, regardless of whether he ultimately prevails on the merits of his First Amendment claims.</w:t>
      </w:r>
    </w:p>
    <w:p>
      <w:pPr>
        <w:keepNext/>
        <w:keepLines/>
        <w:spacing w:before="308" w:after="252" w:line="322" w:lineRule="exact"/>
        <w:ind w:left="720" w:hanging="720"/>
        <w:jc w:val="left"/>
      </w:pPr>
      <w:r>
        <w:rPr>
          <w:b/>
          <w:bCs/>
        </w:rPr>
        <w:t xml:space="preserve">II.</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8</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CONSTITUTION.</w:t>
      </w:r>
    </w:p>
    <w:p>
      <w:pPr>
        <w:pStyle w:val="BodyText"/>
      </w:pPr>
      <w:r>
        <w:t xml:space="preserve">Because the Twitter Subpoena and the lower court’s orders enforcing it implicate Harris’s First Amendment rights, the D.A. must show both an “overriding and compelling” government interest in obtaining the requested information and a substantial nexus between the information and that governmental interest to overcome constitutional scrutiny.</w:t>
      </w:r>
      <w:r>
        <w:t xml:space="preserve"> </w:t>
      </w:r>
      <w:r>
        <w:rPr>
          <w:i/>
          <w:iCs/>
        </w:rPr>
        <w:t xml:space="preserve">Gibson</w:t>
      </w:r>
      <w:r>
        <w:rPr>
          <w:i/>
          <w:iCs/>
        </w:rPr>
        <w:t xml:space="preserve"> </w:t>
      </w:r>
      <w:r>
        <w:rPr>
          <w:i/>
          <w:iCs/>
        </w:rPr>
        <w:t xml:space="preserve">v. Fla. Legislative Investigation Comm.</w:t>
      </w:r>
      <w:r>
        <w:t xml:space="preserve">, 372 U.S. 539, 546 (1963) (holding that a state legislative committee subpoena could not be enforced because “it is an essential prerequisite to the validity of an investigation which intrudes into the area of constitutionally protected rights of speech ⁠. ⁠. ⁠. that the State convincingly show a substantial relation between the information sought and a subject of overriding and compelling state interest”);</w:t>
      </w:r>
      <w:r>
        <w:t xml:space="preserve"> </w:t>
      </w:r>
      <w:r>
        <w:rPr>
          <w:i/>
          <w:iCs/>
        </w:rPr>
        <w:t xml:space="preserve">Collier</w:t>
      </w:r>
      <w:r>
        <w:t xml:space="preserve">, 376 N.Y.S.2d at 984 (“When the police unilaterally decide that there is a need to gather data with respect to a person’s association with others engaged in lawful political, social or community activity, that agency of government should be prepared to show a substantial relationship between the information sought and some compelling government interest.”). The D.A. has not made and cannot make this showing here.</w:t>
      </w:r>
    </w:p>
    <w:p>
      <w:pPr>
        <w:pStyle w:val="BodyText"/>
      </w:pPr>
      <w:r>
        <w:t xml:space="preserve">As the lower court noted in its April 20 Order, the D.A. claims that it needs this information (1) to establish that Harris is the owner of the</w:t>
      </w:r>
      <w:r>
        <w:t xml:space="preserve"> </w:t>
      </w:r>
      <w:r>
        <w:t xml:space="preserve">@destructuremal</w:t>
      </w:r>
      <w:r>
        <w:t xml:space="preserve"> </w:t>
      </w:r>
      <w:r>
        <w:t xml:space="preserve">account—i.e., that he is the individual who posted the tweets through that account—and (2) to demonstrate that “while on the Brooklyn Bridge the defendant may have posted Tweets that were inconsistent with his anticipated trial defense.” April 20 Order at 11. Because the D.A. cannot establish that it “actually needs the disputed information” to prove either of those points, the Twitter Subpoena cannot pass First Amendment scrutiny.</w:t>
      </w:r>
      <w:r>
        <w:t xml:space="preserve"> </w:t>
      </w:r>
      <w:r>
        <w:rPr>
          <w:i/>
          <w:iCs/>
        </w:rPr>
        <w:t xml:space="preserve">In re Grand Jury Subpoena to Amazon.com</w:t>
      </w:r>
      <w:r>
        <w:t xml:space="preserve">, 246 F.R.D. at 572.</w:t>
      </w:r>
    </w:p>
    <w:p>
      <w:pPr>
        <w:pStyle w:val="BodyText"/>
      </w:pPr>
      <w:r>
        <w:t xml:space="preserve">First, as far as amici are aware, there is no dispute that the account in question is Harris’s Twitter account, and that he is the one who published the tweets on that account. Nor is there any dispute that Harris was in New York and on the Brooklyn Bridge when he was arrested there. Because Harris is not contesting these facts, the D.A. does not need to obtain any subscriber information from Twitter, including his IP addresses or the date, time, and duration of his many Twitter sessions, to prove these facts. At most, all that the D.A. needs—and all that the D.A. should be permitted to obtain, if anything—is information sufficient to show that on the day in question, Harris was the one posting tweets through that account.</w:t>
      </w:r>
    </w:p>
    <w:p>
      <w:pPr>
        <w:pStyle w:val="BodyTextNote"/>
      </w:pPr>
      <w:r>
        <w:t xml:space="preserve">Second, to the extent the D.A. wants access to Harris’s tweets from the day in question to establish contradictions with his anticipated trial version of what happened on that day, or to clarify “the contested issue of defendant’s state of mind at the time he chose to defy police orders and block the Brooklyn Bridge,” Aff. in Supp. of People’s Resp. to Def.’s Mot. to Reargue at 7, all the D.A. needs are those specific tweets. The D.A. does not need any information about Harris’s locations and movements or his Twitter activities or tweets for any of the other 107 days—or even tweets from the one day in question that had nothing to do with the Brooklyn Bridge incident—to establish any such contradictions or Harris’s “state of mind.” Because the D.A. cannot establish a substantial nexus between the information requested and the D.A.’s alleged need for the information, the Twitter Subpoena cannot withstand First Amendment scrutiny. See, e.g.,</w:t>
      </w:r>
      <w:r>
        <w:t xml:space="preserve"> </w:t>
      </w:r>
      <w:r>
        <w:rPr>
          <w:i/>
          <w:iCs/>
        </w:rPr>
        <w:t xml:space="preserve">Gibson</w:t>
      </w:r>
      <w:r>
        <w:t xml:space="preserve">, 372 U.S. at 546;</w:t>
      </w:r>
      <w:r>
        <w:t xml:space="preserve"> </w:t>
      </w:r>
      <w:r>
        <w:rPr>
          <w:i/>
          <w:iCs/>
        </w:rPr>
        <w:t xml:space="preserve">United States v. Bursey</w:t>
      </w:r>
      <w:r>
        <w:t xml:space="preserve">, 466 F.2d 1059, 1083 (9th Cir. 1972);</w:t>
      </w:r>
      <w:r>
        <w:t xml:space="preserve"> </w:t>
      </w:r>
      <w:r>
        <w:rPr>
          <w:i/>
          <w:iCs/>
        </w:rPr>
        <w:t xml:space="preserve">Lay</w:t>
      </w:r>
      <w:r>
        <w:t xml:space="preserve">, 758 F. Supp. 2d at 1169 &amp; n.2 (invalidating disclosure demand to Amazon.com because the information requested about Amazon users was not necessary to accomplish North Carolina’s stated goals);</w:t>
      </w:r>
      <w:r>
        <w:t xml:space="preserve"> </w:t>
      </w:r>
      <w:r>
        <w:rPr>
          <w:i/>
          <w:iCs/>
        </w:rPr>
        <w:t xml:space="preserve">Collier</w:t>
      </w:r>
      <w:r>
        <w:t xml:space="preserve">, 376 N.Y.S.2d at 984.</w:t>
      </w:r>
      <w:r>
        <w:rPr>
          <w:rStyle w:val="FootnoteReference"/>
        </w:rPr>
        <w:footnoteReference w:id="22"/>
      </w:r>
    </w:p>
    <w:p>
      <w:pPr>
        <w:pStyle w:val="BodyText"/>
      </w:pPr>
      <w:r>
        <w:t xml:space="preserve">For many of the same reasons, the Twitter Subpoena is also unconstitutional because it is overbroad and impermissibly sweeps in a vast swath of information about Harris’s expressive activities that the D.A. has no legitimate need to know. Where, as here, the government seeks information that is protected by the First Amendment, it “must use a scalpel, not an ax.”</w:t>
      </w:r>
      <w:r>
        <w:t xml:space="preserve"> </w:t>
      </w:r>
      <w:r>
        <w:rPr>
          <w:i/>
          <w:iCs/>
        </w:rPr>
        <w:t xml:space="preserve">Bursey</w:t>
      </w:r>
      <w:r>
        <w:t xml:space="preserve">, 466 F.2d at 1088; see also</w:t>
      </w:r>
      <w:r>
        <w:t xml:space="preserve"> </w:t>
      </w:r>
      <w:r>
        <w:rPr>
          <w:i/>
          <w:iCs/>
        </w:rPr>
        <w:t xml:space="preserve">Local 1814</w:t>
      </w:r>
      <w:r>
        <w:t xml:space="preserve">, 667 F.2d at 273 (holding that a third-party subpoena is invalid “when the end can be more narrowly achieved”) (quoting</w:t>
      </w:r>
      <w:r>
        <w:t xml:space="preserve"> </w:t>
      </w:r>
      <w:r>
        <w:rPr>
          <w:i/>
          <w:iCs/>
        </w:rPr>
        <w:t xml:space="preserve">Shelton</w:t>
      </w:r>
      <w:r>
        <w:rPr>
          <w:i/>
          <w:iCs/>
        </w:rPr>
        <w:t xml:space="preserve"> </w:t>
      </w:r>
      <w:r>
        <w:rPr>
          <w:i/>
          <w:iCs/>
        </w:rPr>
        <w:t xml:space="preserve">v. Tucker</w:t>
      </w:r>
      <w:r>
        <w:t xml:space="preserve">, 364 U.S. 479, 488 (1960) (quotation marks omitted)).</w:t>
      </w:r>
    </w:p>
    <w:p>
      <w:pPr>
        <w:pStyle w:val="BodyText"/>
      </w:pPr>
      <w:r>
        <w:t xml:space="preserve">The Twitter Subpoena fails to “use a scalpel” because it broadly seeks “all tweets” and “[a]ny and all user information” for 108 days, even though the D.A. cannot claim that all—or even most—of Harris’s tweets have anything to do with the one-day Brooklyn Bridge incident or Harris’s state of mind at the time of the incident, and even though the D.A. has failed to articulate any reason for needing Harris’s IP addresses or log session information. Moreover, the plain terms of the Subpoena call for the production of “[a]ny and all” information concerning Harris’s use of Twitter’s direct messaging feature, which even the D.A. now concedes it does not need. Because the D.A. could have issued a much narrower subpoena to obtain the information it claims it needs, the Twitter Subpoena is unconstitutional. See, e.g.,</w:t>
      </w:r>
      <w:r>
        <w:t xml:space="preserve"> </w:t>
      </w:r>
      <w:r>
        <w:rPr>
          <w:i/>
          <w:iCs/>
        </w:rPr>
        <w:t xml:space="preserve">In re Grand Jury Subpoena</w:t>
      </w:r>
      <w:r>
        <w:t xml:space="preserve">: Subpoena Duces Tecem, 829 F.2d 1291, 1302 (4th Cir. 1987) (quashing a subpoena requiring videotape distributers to produce copies of videos, and holding that the government must act “in the least intrusive manner possible, which means, at a minimum, by identifying the requested material in a way that allows the recipient of the subpoena to know immediately whether an item is to be produced or not”);</w:t>
      </w:r>
      <w:r>
        <w:t xml:space="preserve"> </w:t>
      </w:r>
      <w:r>
        <w:rPr>
          <w:i/>
          <w:iCs/>
        </w:rPr>
        <w:t xml:space="preserve">Lay</w:t>
      </w:r>
      <w:r>
        <w:t xml:space="preserve">, 758 F. Supp. 2d at 1169 (holding that the government’s demand to Amazon.com for “all information as to all sales” was unconstitutionally overbroad because the “requests are not the least restrictive means to obtain the information” needed).</w:t>
      </w:r>
    </w:p>
    <w:p>
      <w:pPr>
        <w:pStyle w:val="BodyText"/>
      </w:pPr>
      <w:r>
        <w:t xml:space="preserve">In its April 20 Order, the lower court suggested that any constitutional concerns would be “balanced and protected by the in camera review of the materials sought.” April 20 Order at 11. Reiterating that belief, the court has now ordered Twitter to provide the requested information to the court, and stated that the court will then determine which of those materials are relevant and will be disclosed to the D.A. June 30 Order, at 11. Although in camera review may minimize some of the harm and may be appropriate in certain circumstances, it is not a cure for the Twitter Subpoena’s constitutional defects because even that review can implicate Harris’s First Amendment interests. See</w:t>
      </w:r>
      <w:r>
        <w:t xml:space="preserve"> </w:t>
      </w:r>
      <w:r>
        <w:rPr>
          <w:i/>
          <w:iCs/>
        </w:rPr>
        <w:t xml:space="preserve">N.Y. Times Co. v. Jascalevich</w:t>
      </w:r>
      <w:r>
        <w:t xml:space="preserve">, 439 U.S. 1331, 1335</w:t>
      </w:r>
      <w:r>
        <w:noBreakHyphen/>
      </w:r>
      <w:r>
        <w:t xml:space="preserve">36 (1978) (Marshall, J., in chambers) (holding that forced disclosure even for in camera review purposes can inhibit First Amendment rights);</w:t>
      </w:r>
      <w:r>
        <w:t xml:space="preserve"> </w:t>
      </w:r>
      <w:r>
        <w:rPr>
          <w:i/>
          <w:iCs/>
        </w:rPr>
        <w:t xml:space="preserve">Bradosky</w:t>
      </w:r>
      <w:r>
        <w:rPr>
          <w:i/>
          <w:iCs/>
        </w:rPr>
        <w:t xml:space="preserve"> </w:t>
      </w:r>
      <w:r>
        <w:rPr>
          <w:i/>
          <w:iCs/>
        </w:rPr>
        <w:t xml:space="preserve">v Volkswagen of Am., Inc.</w:t>
      </w:r>
      <w:r>
        <w:t xml:space="preserve">, No. M8</w:t>
      </w:r>
      <w:r>
        <w:noBreakHyphen/>
      </w:r>
      <w:r>
        <w:t xml:space="preserve">85 (SWK), 1988 WL 5433, at *3 (S.D.N.Y. Jan. 15, 1988) (stating that an in camera inspection “in and of itself impacts on the First Amendment rights” of the entity seeking to prevent disclosure). Critically, even if an in camera review were deemed appropriate, the lower court should release information to the D.A. only if the D.A. has first met its constitutional burden with respect to that specific information, not just if the court deems the information to be “relevant” to this case.</w:t>
      </w:r>
      <w:r>
        <w:t xml:space="preserve"> </w:t>
      </w:r>
      <w:r>
        <w:rPr>
          <w:i/>
          <w:iCs/>
        </w:rPr>
        <w:t xml:space="preserve">Ashcroft v. ACLU</w:t>
      </w:r>
      <w:r>
        <w:t xml:space="preserve">, 542 U.S. 656, 660 (2004) (“the Government bear[s] the burden” of showing the constitutionality of content-based regulations of speech). Because the D.A. has not met that burden here, in camera review is not a cure for the Subpoena’s constitutional infirmities.</w:t>
      </w:r>
    </w:p>
    <w:p>
      <w:pPr>
        <w:keepNext/>
        <w:keepLines/>
        <w:spacing w:before="308" w:after="252"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12</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CONSTITUTION.</w:t>
      </w:r>
    </w:p>
    <w:p>
      <w:pPr>
        <w:pStyle w:val="BodyText"/>
      </w:pPr>
      <w:r>
        <w:t xml:space="preserve">The Twitter Subpoena also implicates Harris’s fundamental rights under the Fourth Amendment and Article I, Section 12 of the New York Constitution. Absent exigent or other exceptional circumstances, the Fourth Amendment and its state-law counterpart require the government to obtain a warrant supported by probable cause when it intrudes on reasonable expectations of privacy. See</w:t>
      </w:r>
      <w:r>
        <w:t xml:space="preserve"> </w:t>
      </w:r>
      <w:r>
        <w:rPr>
          <w:i/>
          <w:iCs/>
        </w:rPr>
        <w:t xml:space="preserve">Weaver</w:t>
      </w:r>
      <w:r>
        <w:t xml:space="preserve">, 12 N.Y.3d at 439, 444. Here, the D.A. is attempting to access a wealth of personal information—a database of Harris’s historical speech activities and corresponding IP addresses that are, contrary to the lower court’s decision, not visible to the public—without a warrant, through a mere subpoena. Because this non-public information would reveal Harris’s locations and movements over a three-and-a-half month period, the Subpoena infringes his reasonable expectation of privacy.</w:t>
      </w:r>
    </w:p>
    <w:p>
      <w:pPr>
        <w:keepNext/>
        <w:keepLines/>
        <w:spacing w:before="308" w:after="252" w:line="322" w:lineRule="exact"/>
        <w:ind w:left="1440" w:hanging="720"/>
        <w:jc w:val="left"/>
      </w:pPr>
      <w:r>
        <w:rPr>
          <w:b/>
          <w:bCs/>
        </w:rPr>
        <w:t xml:space="preserve">A.</w:t>
      </w:r>
      <w:r>
        <w:rPr>
          <w:b/>
          <w:bCs/>
        </w:rPr>
        <w:tab/>
      </w:r>
      <w:r>
        <w:rPr>
          <w:b/>
          <w:bCs/>
        </w:rPr>
        <w:t xml:space="preserve">Individuals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Expectation</w:t>
      </w:r>
      <w:r>
        <w:rPr>
          <w:b/>
          <w:bCs/>
        </w:rPr>
        <w:t xml:space="preserve"> </w:t>
      </w:r>
      <w:r>
        <w:rPr>
          <w:b/>
          <w:bCs/>
        </w:rPr>
        <w:t xml:space="preserve">Of</w:t>
      </w:r>
      <w:r>
        <w:rPr>
          <w:b/>
          <w:bCs/>
        </w:rPr>
        <w:t xml:space="preserve"> </w:t>
      </w:r>
      <w:r>
        <w:rPr>
          <w:b/>
          <w:bCs/>
        </w:rPr>
        <w:t xml:space="preserve">Privacy</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Locations</w:t>
      </w:r>
      <w:r>
        <w:rPr>
          <w:b/>
          <w:bCs/>
        </w:rPr>
        <w:t xml:space="preserve"> </w:t>
      </w:r>
      <w:r>
        <w:rPr>
          <w:b/>
          <w:bCs/>
        </w:rPr>
        <w:t xml:space="preserve">And</w:t>
      </w:r>
      <w:r>
        <w:rPr>
          <w:b/>
          <w:bCs/>
        </w:rPr>
        <w:t xml:space="preserve"> </w:t>
      </w:r>
      <w:r>
        <w:rPr>
          <w:b/>
          <w:bCs/>
        </w:rPr>
        <w:t xml:space="preserve">Movements</w:t>
      </w:r>
      <w:r>
        <w:rPr>
          <w:b/>
          <w:bCs/>
        </w:rPr>
        <w:t xml:space="preserve"> </w:t>
      </w:r>
      <w:r>
        <w:rPr>
          <w:b/>
          <w:bCs/>
        </w:rPr>
        <w:t xml:space="preserve">Over</w:t>
      </w:r>
      <w:r>
        <w:rPr>
          <w:b/>
          <w:bCs/>
        </w:rPr>
        <w:t xml:space="preserve"> </w:t>
      </w:r>
      <w:r>
        <w:rPr>
          <w:b/>
          <w:bCs/>
        </w:rPr>
        <w:t xml:space="preserve">Time.</w:t>
      </w:r>
    </w:p>
    <w:p>
      <w:pPr>
        <w:pStyle w:val="BodyTextNote"/>
      </w:pPr>
      <w:r>
        <w:t xml:space="preserve">In</w:t>
      </w:r>
      <w:r>
        <w:t xml:space="preserve"> </w:t>
      </w:r>
      <w:r>
        <w:rPr>
          <w:i/>
          <w:iCs/>
        </w:rPr>
        <w:t xml:space="preserve">People v. Weaver</w:t>
      </w:r>
      <w:r>
        <w:t xml:space="preserve">, the New York Court of Appeals held that people have reasonable expectations of privacy in their locations and movements over a period of time and that the police were therefore required to obtain a warrant to conduct GPS surveillance. See</w:t>
      </w:r>
      <w:r>
        <w:t xml:space="preserve"> </w:t>
      </w:r>
      <w:r>
        <w:rPr>
          <w:i/>
          <w:iCs/>
        </w:rPr>
        <w:t xml:space="preserve">Weaver</w:t>
      </w:r>
      <w:r>
        <w:t xml:space="preserve">, 12 N.Y.3d at 441</w:t>
      </w:r>
      <w:r>
        <w:noBreakHyphen/>
      </w:r>
      <w:r>
        <w:t xml:space="preserve">42, 447. When Weaver</w:t>
      </w:r>
      <w:r>
        <w:t xml:space="preserve"> </w:t>
      </w:r>
      <w:r>
        <w:t xml:space="preserve">was decided, it had long been established that individuals have reasonable expectations of privacy in movements and activities within their home. See</w:t>
      </w:r>
      <w:r>
        <w:t xml:space="preserve"> </w:t>
      </w:r>
      <w:r>
        <w:rPr>
          <w:i/>
          <w:iCs/>
        </w:rPr>
        <w:t xml:space="preserve">United States v. Karo</w:t>
      </w:r>
      <w:r>
        <w:t xml:space="preserve">, 468 U.S. 705, 714</w:t>
      </w:r>
      <w:r>
        <w:noBreakHyphen/>
      </w:r>
      <w:r>
        <w:t xml:space="preserve">15 (1984) (holding that location tracking implicates Fourth Amendment privacy interests when it reveals information about individuals inside the home). In</w:t>
      </w:r>
      <w:r>
        <w:t xml:space="preserve"> </w:t>
      </w:r>
      <w:r>
        <w:rPr>
          <w:i/>
          <w:iCs/>
        </w:rPr>
        <w:t xml:space="preserve">Weaver</w:t>
      </w:r>
      <w:r>
        <w:t xml:space="preserve">, the Court took a step further—one not previously taken by the United States Supreme Court—to recognize that even when the movements take place in public, “[t]he whole of a person’s progress through the world” will reveal “with breathtaking quality and quantity ⁠. ⁠. ⁠. a highly detailed profile, not simply of where we go, but by easy inference, of our associations—political, religious, amicable and amorous, to name only a few—and of the pattern of our professional and avocational pursuits.”</w:t>
      </w:r>
      <w:r>
        <w:t xml:space="preserve"> </w:t>
      </w:r>
      <w:r>
        <w:rPr>
          <w:i/>
          <w:iCs/>
        </w:rPr>
        <w:t xml:space="preserve">Weaver</w:t>
      </w:r>
      <w:r>
        <w:t xml:space="preserve">, 12 N.Y.3d at 441</w:t>
      </w:r>
      <w:r>
        <w:noBreakHyphen/>
      </w:r>
      <w:r>
        <w:t xml:space="preserve">42, 447. The Court found it “obvious” that such information is protected by “any reasonable notion of personal privacy or ordered liberty.” Id. at 441. At least five current justices of the Supreme Court recently reached the same conclusion in their concurrences in</w:t>
      </w:r>
      <w:r>
        <w:t xml:space="preserve"> </w:t>
      </w:r>
      <w:r>
        <w:rPr>
          <w:i/>
          <w:iCs/>
        </w:rPr>
        <w:t xml:space="preserve">United States v. Jones</w:t>
      </w:r>
      <w:r>
        <w:t xml:space="preserve">, finding that long-term surveillance in investigations of most offenses would infringe on reasonable expectations of privacy.</w:t>
      </w:r>
      <w:r>
        <w:t xml:space="preserve"> </w:t>
      </w:r>
      <w:r>
        <w:rPr>
          <w:i/>
          <w:iCs/>
        </w:rPr>
        <w:t xml:space="preserve">Jones</w:t>
      </w:r>
      <w:r>
        <w:t xml:space="preserve">, 132 S. Ct. 945, 964 (2012) (Alito, J., concurring, joined by Ginsburg, J., Breyer, J., and Kagan, J.) (“[S]ociety’s expectation has been that law enforcement agents and others would not—and indeed, in the main, simply could not—secretly monitor and catalogue every single movement of an individual’s car for a very long period.”); id. at 955 (Sotomayor, J., concurring).</w:t>
      </w:r>
      <w:r>
        <w:rPr>
          <w:rStyle w:val="FootnoteReference"/>
        </w:rPr>
        <w:footnoteReference w:id="23"/>
      </w:r>
    </w:p>
    <w:p>
      <w:pPr>
        <w:pStyle w:val="BodyTextNote"/>
      </w:pPr>
      <w:r>
        <w:t xml:space="preserve">Although this case does not involve GPS surveillance, the principle underlying</w:t>
      </w:r>
      <w:r>
        <w:t xml:space="preserve"> </w:t>
      </w:r>
      <w:r>
        <w:rPr>
          <w:i/>
          <w:iCs/>
        </w:rPr>
        <w:t xml:space="preserve">Weaver</w:t>
      </w:r>
      <w:r>
        <w:t xml:space="preserve"> </w:t>
      </w:r>
      <w:r>
        <w:t xml:space="preserve">and the</w:t>
      </w:r>
      <w:r>
        <w:t xml:space="preserve"> </w:t>
      </w:r>
      <w:r>
        <w:rPr>
          <w:i/>
          <w:iCs/>
        </w:rPr>
        <w:t xml:space="preserve">Jones</w:t>
      </w:r>
      <w:r>
        <w:t xml:space="preserve"> </w:t>
      </w:r>
      <w:r>
        <w:t xml:space="preserve">concurring opinions—that government cannot engage in long-term surveillance of a person’s locations and movements without a warrant—applies to any technology, like IP address tracking, that “facilitates a new ⁠. ⁠. ⁠. perception of the world in which the situation of an object may be followed and exhaustively recorded over ⁠. ⁠. ⁠. a practically unlimited period.”</w:t>
      </w:r>
      <w:r>
        <w:t xml:space="preserve"> </w:t>
      </w:r>
      <w:r>
        <w:rPr>
          <w:i/>
          <w:iCs/>
        </w:rPr>
        <w:t xml:space="preserve">Weaver</w:t>
      </w:r>
      <w:r>
        <w:t xml:space="preserve">, 12 N.Y.3d at 441. Indeed, Justice Alito in</w:t>
      </w:r>
      <w:r>
        <w:t xml:space="preserve"> </w:t>
      </w:r>
      <w:r>
        <w:rPr>
          <w:i/>
          <w:iCs/>
        </w:rPr>
        <w:t xml:space="preserve">Jones</w:t>
      </w:r>
      <w:r>
        <w:t xml:space="preserve"> </w:t>
      </w:r>
      <w:r>
        <w:t xml:space="preserve">explicitly acknowledged the reality that emerging technology other than GPS surveillance can be used to monitor a person’s locations and movements over time at varying levels of accuracy. See, e.g.,</w:t>
      </w:r>
      <w:r>
        <w:t xml:space="preserve"> </w:t>
      </w:r>
      <w:r>
        <w:rPr>
          <w:i/>
          <w:iCs/>
        </w:rPr>
        <w:t xml:space="preserve">Jones</w:t>
      </w:r>
      <w:r>
        <w:t xml:space="preserve">, 132 S. Ct. at 963 (Alito, J., concurring) (identifying the proliferation of mobile devices as “[p]erhaps most significant” of the emerging location tracking technologies).</w:t>
      </w:r>
      <w:r>
        <w:rPr>
          <w:rStyle w:val="FootnoteReference"/>
        </w:rPr>
        <w:footnoteReference w:id="24"/>
      </w:r>
      <w:r>
        <w:t xml:space="preserve"> </w:t>
      </w:r>
      <w:r>
        <w:t xml:space="preserve">Even prior to</w:t>
      </w:r>
      <w:r>
        <w:t xml:space="preserve"> </w:t>
      </w:r>
      <w:r>
        <w:rPr>
          <w:i/>
          <w:iCs/>
        </w:rPr>
        <w:t xml:space="preserve">Jones</w:t>
      </w:r>
      <w:r>
        <w:t xml:space="preserve">, federal courts had begun to recognize that location information kept by cell phone companies concerning their subscribers could be used to “enable the tracking of the vast majority of Americans,” and to hold that such information was protected by the Fourth Amendment.</w:t>
      </w:r>
      <w:r>
        <w:t xml:space="preserve"> </w:t>
      </w:r>
      <w:r>
        <w:rPr>
          <w:i/>
          <w:iCs/>
        </w:rPr>
        <w:t xml:space="preserve">In re U.S. for an Order Authorizing the Release</w:t>
      </w:r>
      <w:r>
        <w:rPr>
          <w:i/>
          <w:iCs/>
        </w:rPr>
        <w:t xml:space="preserve"> </w:t>
      </w:r>
      <w:r>
        <w:rPr>
          <w:i/>
          <w:iCs/>
        </w:rPr>
        <w:t xml:space="preserve">of Historical Cell-Site Info.</w:t>
      </w:r>
      <w:r>
        <w:t xml:space="preserve">, 809 F. Supp. 2d 113, 119 (E.D.N.Y. 2011) (EDNY Garaufis Opinion) (concluding that cell-phone users maintain a reasonable expectation of privacy in long-term cell phone location records); see also, e.g.,</w:t>
      </w:r>
      <w:r>
        <w:t xml:space="preserve"> </w:t>
      </w:r>
      <w:r>
        <w:rPr>
          <w:i/>
          <w:iCs/>
        </w:rPr>
        <w:t xml:space="preserve">In re U.S. for Historical Cell Site Data</w:t>
      </w:r>
      <w:r>
        <w:t xml:space="preserve">, 747 F. Supp. 2d 827, 840 (S.D. Tex. 2010) (S.D. Tex. Smith Opinion) (holding that government cannot access two months of historical cell phone location data without a warrant).</w:t>
      </w:r>
    </w:p>
    <w:p>
      <w:pPr>
        <w:pStyle w:val="BodyTextNote"/>
      </w:pPr>
      <w:r>
        <w:t xml:space="preserve">The lower court failed to recognize that a database of the IP addresses used by a person can, like GPS devices or a database of cell phone location information, reveal that person’s locations and movements over time. See supra at 5</w:t>
      </w:r>
      <w:r>
        <w:noBreakHyphen/>
      </w:r>
      <w:r>
        <w:t xml:space="preserve">6. Even though one IP address reveals only limited information about a person’s location at that moment in time,</w:t>
      </w:r>
      <w:r>
        <w:rPr>
          <w:rStyle w:val="FootnoteReference"/>
        </w:rPr>
        <w:footnoteReference w:id="25"/>
      </w:r>
      <w:r>
        <w:t xml:space="preserve"> </w:t>
      </w:r>
      <w:r>
        <w:t xml:space="preserve">the accumulation of IP addresses used by Harris to connect to Twitter over a 108-day period would provide the D.A. with a sophisticated tool for mapping his locations and movements over that long period of time. The length of time at issue here distinguishes this case from</w:t>
      </w:r>
      <w:r>
        <w:t xml:space="preserve"> </w:t>
      </w:r>
      <w:r>
        <w:rPr>
          <w:i/>
          <w:iCs/>
        </w:rPr>
        <w:t xml:space="preserve">People v. Hall</w:t>
      </w:r>
      <w:r>
        <w:t xml:space="preserve">, 86 A.D.3d 450, 452 (1st Dep’t. 2011), in which the First Department did not find a privacy interest in three days of cell phone location information. If tracking an individual’s movements for sixty-five days (</w:t>
      </w:r>
      <w:r>
        <w:rPr>
          <w:i/>
          <w:iCs/>
        </w:rPr>
        <w:t xml:space="preserve">Weaver</w:t>
      </w:r>
      <w:r>
        <w:t xml:space="preserve">) or twenty-eight days (</w:t>
      </w:r>
      <w:r>
        <w:rPr>
          <w:i/>
          <w:iCs/>
        </w:rPr>
        <w:t xml:space="preserve">Jones</w:t>
      </w:r>
      <w:r>
        <w:t xml:space="preserve">) violates a reasonable expectation of privacy, see</w:t>
      </w:r>
      <w:r>
        <w:t xml:space="preserve"> </w:t>
      </w:r>
      <w:r>
        <w:rPr>
          <w:i/>
          <w:iCs/>
        </w:rPr>
        <w:t xml:space="preserve">Weaver</w:t>
      </w:r>
      <w:r>
        <w:t xml:space="preserve">, 12 N.Y.3d 433;</w:t>
      </w:r>
      <w:r>
        <w:t xml:space="preserve"> </w:t>
      </w:r>
      <w:r>
        <w:rPr>
          <w:i/>
          <w:iCs/>
        </w:rPr>
        <w:t xml:space="preserve">Jones</w:t>
      </w:r>
      <w:r>
        <w:t xml:space="preserve">, 132 S. Ct. at 946, 955 (Sotomayor, J., concurring);</w:t>
      </w:r>
      <w:r>
        <w:t xml:space="preserve"> </w:t>
      </w:r>
      <w:r>
        <w:rPr>
          <w:i/>
          <w:iCs/>
        </w:rPr>
        <w:t xml:space="preserve">Jones</w:t>
      </w:r>
      <w:r>
        <w:t xml:space="preserve">, 132 S. Ct. at 964 (Alito, J., concurring), then tracking an individual’s movements over 108 days surely violates such an expectation as well. See</w:t>
      </w:r>
      <w:r>
        <w:t xml:space="preserve"> </w:t>
      </w:r>
      <w:r>
        <w:rPr>
          <w:i/>
          <w:iCs/>
        </w:rPr>
        <w:t xml:space="preserve">Jones</w:t>
      </w:r>
      <w:r>
        <w:t xml:space="preserve">, 132 S. Ct. at 964 (Alito, J., concurring) (“We need not identify with precision the point at which the tracking of this vehicle became a search, for the line was surely crossed before the 4-week mark.”).</w:t>
      </w:r>
    </w:p>
    <w:p>
      <w:pPr>
        <w:pStyle w:val="BodyText"/>
      </w:pPr>
      <w:r>
        <w:t xml:space="preserve">As the Court of Appeals stated in</w:t>
      </w:r>
      <w:r>
        <w:t xml:space="preserve"> </w:t>
      </w:r>
      <w:r>
        <w:rPr>
          <w:i/>
          <w:iCs/>
        </w:rPr>
        <w:t xml:space="preserve">Weaver</w:t>
      </w:r>
      <w:r>
        <w:t xml:space="preserve">, “[t]echnological advances have produced many valuable tools for law enforcement and, as the years go by, the technology available to aid in the detection of criminal conduct will only become more and more sophisticated.”</w:t>
      </w:r>
      <w:r>
        <w:t xml:space="preserve"> </w:t>
      </w:r>
      <w:r>
        <w:rPr>
          <w:i/>
          <w:iCs/>
        </w:rPr>
        <w:t xml:space="preserve">Weaver</w:t>
      </w:r>
      <w:r>
        <w:t xml:space="preserve">, 12 N.Y.3d at 447. These new technological advances require “judicial oversight,” because otherwise, their use “presents a significant and, to our minds, unacceptable risk of abuse.” Id. The lower court failed to follow this clear guidance when it held that the D.A. could obtain information that would reveal Harris’s locations and movements over time on a mere subpoena, instead of on a warrant based on probable cause.</w:t>
      </w:r>
    </w:p>
    <w:p>
      <w:pPr>
        <w:keepNext/>
        <w:keepLines/>
        <w:spacing w:before="308" w:after="252" w:line="322" w:lineRule="exact"/>
        <w:ind w:left="1440" w:hanging="720"/>
        <w:jc w:val="left"/>
      </w:pPr>
      <w:r>
        <w:rPr>
          <w:b/>
          <w:bCs/>
        </w:rPr>
        <w:t xml:space="preserve">B.</w:t>
      </w:r>
      <w:r>
        <w:rPr>
          <w:b/>
          <w:bCs/>
        </w:rPr>
        <w:tab/>
      </w:r>
      <w:r>
        <w:rPr>
          <w:b/>
          <w:bCs/>
        </w:rPr>
        <w:t xml:space="preserve">Harris’s</w:t>
      </w:r>
      <w:r>
        <w:rPr>
          <w:b/>
          <w:bCs/>
        </w:rPr>
        <w:t xml:space="preserve"> </w:t>
      </w:r>
      <w:r>
        <w:rPr>
          <w:b/>
          <w:bCs/>
        </w:rPr>
        <w:t xml:space="preserve">Reasonable</w:t>
      </w:r>
      <w:r>
        <w:rPr>
          <w:b/>
          <w:bCs/>
        </w:rPr>
        <w:t xml:space="preserve"> </w:t>
      </w:r>
      <w:r>
        <w:rPr>
          <w:b/>
          <w:bCs/>
        </w:rPr>
        <w:t xml:space="preserve">Expectation</w:t>
      </w:r>
      <w:r>
        <w:rPr>
          <w:b/>
          <w:bCs/>
        </w:rPr>
        <w:t xml:space="preserve"> </w:t>
      </w:r>
      <w:r>
        <w:rPr>
          <w:b/>
          <w:bCs/>
        </w:rPr>
        <w:t xml:space="preserve">Of</w:t>
      </w:r>
      <w:r>
        <w:rPr>
          <w:b/>
          <w:bCs/>
        </w:rPr>
        <w:t xml:space="preserve"> </w:t>
      </w:r>
      <w:r>
        <w:rPr>
          <w:b/>
          <w:bCs/>
        </w:rPr>
        <w:t xml:space="preserve">Privacy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Eliminated</w:t>
      </w:r>
      <w:r>
        <w:rPr>
          <w:b/>
          <w:bCs/>
        </w:rPr>
        <w:t xml:space="preserve"> </w:t>
      </w:r>
      <w:r>
        <w:rPr>
          <w:b/>
          <w:bCs/>
        </w:rPr>
        <w:t xml:space="preserve">Simply</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IP</w:t>
      </w:r>
      <w:r>
        <w:rPr>
          <w:b/>
          <w:bCs/>
        </w:rPr>
        <w:t xml:space="preserve"> </w:t>
      </w:r>
      <w:r>
        <w:rPr>
          <w:b/>
          <w:bCs/>
        </w:rPr>
        <w:t xml:space="preserve">Addresses</w:t>
      </w:r>
      <w:r>
        <w:rPr>
          <w:b/>
          <w:bCs/>
        </w:rPr>
        <w:t xml:space="preserve"> </w:t>
      </w:r>
      <w:r>
        <w:rPr>
          <w:b/>
          <w:bCs/>
        </w:rPr>
        <w:t xml:space="preserve">Are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Possession</w:t>
      </w:r>
      <w:r>
        <w:rPr>
          <w:b/>
          <w:bCs/>
        </w:rPr>
        <w:t xml:space="preserve"> </w:t>
      </w:r>
      <w:r>
        <w:rPr>
          <w:b/>
          <w:bCs/>
        </w:rPr>
        <w:t xml:space="preserve">Of</w:t>
      </w:r>
      <w:r>
        <w:rPr>
          <w:b/>
          <w:bCs/>
        </w:rPr>
        <w:t xml:space="preserve"> </w:t>
      </w:r>
      <w:r>
        <w:rPr>
          <w:b/>
          <w:bCs/>
        </w:rPr>
        <w:t xml:space="preserve">Twitter.</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Third-Party</w:t>
      </w:r>
      <w:r>
        <w:rPr>
          <w:b/>
          <w:bCs/>
          <w:i/>
          <w:iCs/>
        </w:rPr>
        <w:t xml:space="preserve"> </w:t>
      </w:r>
      <w:r>
        <w:rPr>
          <w:b/>
          <w:bCs/>
          <w:i/>
          <w:iCs/>
        </w:rPr>
        <w:t xml:space="preserve">Doctrine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Like</w:t>
      </w:r>
      <w:r>
        <w:rPr>
          <w:b/>
          <w:bCs/>
          <w:i/>
          <w:iCs/>
        </w:rPr>
        <w:t xml:space="preserve"> </w:t>
      </w:r>
      <w:r>
        <w:rPr>
          <w:b/>
          <w:bCs/>
          <w:i/>
          <w:iCs/>
        </w:rPr>
        <w:t xml:space="preserve">IP</w:t>
      </w:r>
      <w:r>
        <w:rPr>
          <w:b/>
          <w:bCs/>
          <w:i/>
          <w:iCs/>
        </w:rPr>
        <w:t xml:space="preserve"> </w:t>
      </w:r>
      <w:r>
        <w:rPr>
          <w:b/>
          <w:bCs/>
          <w:i/>
          <w:iCs/>
        </w:rPr>
        <w:t xml:space="preserve">Addresses</w:t>
      </w:r>
      <w:r>
        <w:rPr>
          <w:b/>
          <w:bCs/>
          <w:i/>
          <w:iCs/>
        </w:rPr>
        <w:t xml:space="preserve"> </w:t>
      </w:r>
      <w:r>
        <w:rPr>
          <w:b/>
          <w:bCs/>
          <w:i/>
          <w:iCs/>
        </w:rPr>
        <w:t xml:space="preserve">That</w:t>
      </w:r>
      <w:r>
        <w:rPr>
          <w:b/>
          <w:bCs/>
          <w:i/>
          <w:iCs/>
        </w:rPr>
        <w:t xml:space="preserve"> </w:t>
      </w:r>
      <w:r>
        <w:rPr>
          <w:b/>
          <w:bCs/>
          <w:i/>
          <w:iCs/>
        </w:rPr>
        <w:t xml:space="preserve">Reveals</w:t>
      </w:r>
      <w:r>
        <w:rPr>
          <w:b/>
          <w:bCs/>
          <w:i/>
          <w:iCs/>
        </w:rPr>
        <w:t xml:space="preserve"> </w:t>
      </w:r>
      <w:r>
        <w:rPr>
          <w:b/>
          <w:bCs/>
          <w:i/>
          <w:iCs/>
        </w:rPr>
        <w:t xml:space="preserve">Locations</w:t>
      </w:r>
      <w:r>
        <w:rPr>
          <w:b/>
          <w:bCs/>
          <w:i/>
          <w:iCs/>
        </w:rPr>
        <w:t xml:space="preserve"> </w:t>
      </w:r>
      <w:r>
        <w:rPr>
          <w:b/>
          <w:bCs/>
          <w:i/>
          <w:iCs/>
        </w:rPr>
        <w:t xml:space="preserve">And</w:t>
      </w:r>
      <w:r>
        <w:rPr>
          <w:b/>
          <w:bCs/>
          <w:i/>
          <w:iCs/>
        </w:rPr>
        <w:t xml:space="preserve"> </w:t>
      </w:r>
      <w:r>
        <w:rPr>
          <w:b/>
          <w:bCs/>
          <w:i/>
          <w:iCs/>
        </w:rPr>
        <w:t xml:space="preserve">Movements.</w:t>
      </w:r>
    </w:p>
    <w:p>
      <w:pPr>
        <w:pStyle w:val="BodyText"/>
      </w:pPr>
      <w:r>
        <w:t xml:space="preserve">The lower court held that Harris did not have an expectation of privacy in the requested information because that information is in the possession of a third party provider of Internet services, Twitter, not Harris. See June 30 Order at 4. The court reached that conclusion by relying on the so-called “third-party doctrine,” which holds that individuals do not have a reasonable expectation of privacy in certain information voluntarily conveyed to third parties, like bank and telephone records. See</w:t>
      </w:r>
      <w:r>
        <w:t xml:space="preserve"> </w:t>
      </w:r>
      <w:r>
        <w:rPr>
          <w:i/>
          <w:iCs/>
        </w:rPr>
        <w:t xml:space="preserve">People v Di Raffaele</w:t>
      </w:r>
      <w:r>
        <w:t xml:space="preserve">, 55 N.Y2d 234 (1984) (telephone tollbilling records);</w:t>
      </w:r>
      <w:r>
        <w:t xml:space="preserve"> </w:t>
      </w:r>
      <w:r>
        <w:rPr>
          <w:i/>
          <w:iCs/>
        </w:rPr>
        <w:t xml:space="preserve">United States v. Miller</w:t>
      </w:r>
      <w:r>
        <w:t xml:space="preserve">, 425 U.S. 435, 440 (1976) (bank records);</w:t>
      </w:r>
      <w:r>
        <w:t xml:space="preserve"> </w:t>
      </w:r>
      <w:r>
        <w:rPr>
          <w:i/>
          <w:iCs/>
        </w:rPr>
        <w:t xml:space="preserve">Smith v. Maryland</w:t>
      </w:r>
      <w:r>
        <w:t xml:space="preserve">, 442 U.S. 735, 742</w:t>
      </w:r>
      <w:r>
        <w:noBreakHyphen/>
      </w:r>
      <w:r>
        <w:t xml:space="preserve">45 (1979) (telephone dialing information). That reliance was erroneous, for three principal reasons.</w:t>
      </w:r>
    </w:p>
    <w:p>
      <w:pPr>
        <w:pStyle w:val="BodyText"/>
      </w:pPr>
      <w:r>
        <w:t xml:space="preserve">First, the third-party doctrine does not apply here because, unlike bank records and telephone records, IP address information is not conveyed to a third party knowingly and voluntarily. The third-party doctrine developed on the premise that individuals lose their expectations of privacy when they “voluntarily” convey records to a third party. See, e.g.,</w:t>
      </w:r>
      <w:r>
        <w:t xml:space="preserve"> </w:t>
      </w:r>
      <w:r>
        <w:rPr>
          <w:i/>
          <w:iCs/>
        </w:rPr>
        <w:t xml:space="preserve">Miller</w:t>
      </w:r>
      <w:r>
        <w:t xml:space="preserve">, 425 U.S. at 440 (holding that bank records fall outside the protected zone of privacy because they relate to transactions to which the banks are parties);</w:t>
      </w:r>
      <w:r>
        <w:t xml:space="preserve"> </w:t>
      </w:r>
      <w:r>
        <w:rPr>
          <w:i/>
          <w:iCs/>
        </w:rPr>
        <w:t xml:space="preserve">Smith</w:t>
      </w:r>
      <w:r>
        <w:t xml:space="preserve">, 442 U.S. at 742</w:t>
      </w:r>
      <w:r>
        <w:noBreakHyphen/>
      </w:r>
      <w:r>
        <w:t xml:space="preserve">44 (holding that telephone subscribers cannot harbor expectations of privacy in dialing information because they know that the phone company is receiving and storing that numerical information). By contrast, the doctrine does not apply where, as here, a person has not voluntarily or knowingly shared his location information with a third party “in any meaningful way.”</w:t>
      </w:r>
      <w:r>
        <w:t xml:space="preserve"> </w:t>
      </w:r>
      <w:r>
        <w:rPr>
          <w:i/>
          <w:iCs/>
        </w:rPr>
        <w:t xml:space="preserve">In re U.S. for an Order Directing a Provider</w:t>
      </w:r>
      <w:r>
        <w:rPr>
          <w:i/>
          <w:iCs/>
        </w:rPr>
        <w:t xml:space="preserve"> </w:t>
      </w:r>
      <w:r>
        <w:rPr>
          <w:i/>
          <w:iCs/>
        </w:rPr>
        <w:t xml:space="preserve">of Elect. Commc’n Serv. to Disclose Records to the Government</w:t>
      </w:r>
      <w:r>
        <w:t xml:space="preserve">, 620 F.3d 304, 317 (3d Cir. 2010). Thus, in the only federal appellate decision on the issue, the Third Circuit held that a cell phone user does not voluntarily share location information with a cell phone company in “any meaningful way,” because it is “unlikely that cell phone customers are aware that their cell phone providers collect and store historical location information.” Id. Other federal courts have come to the same conclusion: conveyance of location information to a cell phone provider “is neither tangible nor visible to a cell phone user” and “is generated automatically by the network, conveyed to the provider not by human hands, but by invisible radio signal.”</w:t>
      </w:r>
      <w:r>
        <w:t xml:space="preserve"> </w:t>
      </w:r>
      <w:r>
        <w:rPr>
          <w:i/>
          <w:iCs/>
        </w:rPr>
        <w:t xml:space="preserve">S.D. Tex. Smith Opinion</w:t>
      </w:r>
      <w:r>
        <w:t xml:space="preserve">, 747 F. Supp. 2d at 844;</w:t>
      </w:r>
      <w:r>
        <w:t xml:space="preserve"> </w:t>
      </w:r>
      <w:r>
        <w:rPr>
          <w:i/>
          <w:iCs/>
        </w:rPr>
        <w:t xml:space="preserve">In re U.S. for an Order Authorizing Installation &amp; Use of a Pen Register</w:t>
      </w:r>
      <w:r>
        <w:rPr>
          <w:i/>
          <w:iCs/>
        </w:rPr>
        <w:t xml:space="preserve"> </w:t>
      </w:r>
      <w:r>
        <w:rPr>
          <w:i/>
          <w:iCs/>
        </w:rPr>
        <w:t xml:space="preserve">&amp; a Caller ID Sys. on Tel. Nos.</w:t>
      </w:r>
      <w:r>
        <w:t xml:space="preserve">, 402 F. Supp. 2d 597, 605 n.12 (D. Md. 2005) (rejecting analogy between cell phone location information and dialed telephone numbers because cell phone location information “is not affirmatively and actively conveyed by the phone’s possessor; the cell phone transmits the information automatically without the possessor’s awareness and possibly without his knowledge”).</w:t>
      </w:r>
    </w:p>
    <w:p>
      <w:pPr>
        <w:pStyle w:val="BodyText"/>
      </w:pPr>
      <w:r>
        <w:t xml:space="preserve">Just like cell phone location information, IP address location information is communicated from an Internet user’s computer to automated equipment automatically, passively, invisibly, and unknowingly—most people do not even know what an IP address is—meaning that, as with cell phone location information, it is not voluntarily or knowingly conveyed by the user to Twitter (or other Internet services) in any meaningful way. See</w:t>
      </w:r>
      <w:r>
        <w:t xml:space="preserve"> </w:t>
      </w:r>
      <w:r>
        <w:rPr>
          <w:i/>
          <w:iCs/>
        </w:rPr>
        <w:t xml:space="preserve">Matthew Tokson,</w:t>
      </w:r>
      <w:r>
        <w:rPr>
          <w:i/>
          <w:iCs/>
        </w:rPr>
        <w:t xml:space="preserve"> </w:t>
      </w:r>
      <w:r>
        <w:rPr>
          <w:i/>
          <w:iCs/>
        </w:rPr>
        <w:t xml:space="preserve">Automation and the Fourth Amendment</w:t>
      </w:r>
      <w:r>
        <w:t xml:space="preserve">, 96 Iowa L. Rev. 581, 586 (2011) (arguing that disclosure to automated Internet systems rather than to human beings should not fall under the third-party doctrine because it would otherwise eliminate protection for personal information transmitted over the Internet).</w:t>
      </w:r>
    </w:p>
    <w:p>
      <w:pPr>
        <w:pStyle w:val="BodyText"/>
      </w:pPr>
      <w:r>
        <w:t xml:space="preserve">Second, an exception to the third-party doctrine exists where “society’s recognition of a particular privacy right as important swallows the discrete articulation of [the third-party doctrine].”</w:t>
      </w:r>
      <w:r>
        <w:t xml:space="preserve"> </w:t>
      </w:r>
      <w:r>
        <w:rPr>
          <w:i/>
          <w:iCs/>
        </w:rPr>
        <w:t xml:space="preserve">EDNY Garaufis Opinion</w:t>
      </w:r>
      <w:r>
        <w:t xml:space="preserve">, 809 F. Supp. 2d at 124. The U.S. Supreme Court implicitly recognized this exception in</w:t>
      </w:r>
      <w:r>
        <w:t xml:space="preserve"> </w:t>
      </w:r>
      <w:r>
        <w:rPr>
          <w:i/>
          <w:iCs/>
        </w:rPr>
        <w:t xml:space="preserve">Smith</w:t>
      </w:r>
      <w:r>
        <w:t xml:space="preserve"> </w:t>
      </w:r>
      <w:r>
        <w:t xml:space="preserve">when, in applying the third-party doctrine, it contrasted the “limited” nature of the pen register/​telephone dialing information that the government was seeking in that case with information conveyed to third parties in other circumstances where Fourth Amendment protections are not lost. See</w:t>
      </w:r>
      <w:r>
        <w:t xml:space="preserve"> </w:t>
      </w:r>
      <w:r>
        <w:rPr>
          <w:i/>
          <w:iCs/>
        </w:rPr>
        <w:t xml:space="preserve">Smith</w:t>
      </w:r>
      <w:r>
        <w:t xml:space="preserve">, 442 U.S. at 741</w:t>
      </w:r>
      <w:r>
        <w:noBreakHyphen/>
      </w:r>
      <w:r>
        <w:t xml:space="preserve">42; see also</w:t>
      </w:r>
      <w:r>
        <w:t xml:space="preserve"> </w:t>
      </w:r>
      <w:r>
        <w:rPr>
          <w:i/>
          <w:iCs/>
        </w:rPr>
        <w:t xml:space="preserve">Doe v. Ashcroft</w:t>
      </w:r>
      <w:r>
        <w:t xml:space="preserve">, 334 F. Supp. 2d at 510 (“The Court doubts that the result in Smith would have been the same if a pen register operated as a key to the most intimate details and passions of a person’s private life.”). For example, it is well-established that telephone conversations are protected even though people use third-party telephone companies to transmit the contents of their conversations,</w:t>
      </w:r>
      <w:r>
        <w:t xml:space="preserve"> </w:t>
      </w:r>
      <w:r>
        <w:rPr>
          <w:i/>
          <w:iCs/>
        </w:rPr>
        <w:t xml:space="preserve">Katz</w:t>
      </w:r>
      <w:r>
        <w:rPr>
          <w:i/>
          <w:iCs/>
        </w:rPr>
        <w:t xml:space="preserve"> </w:t>
      </w:r>
      <w:r>
        <w:rPr>
          <w:i/>
          <w:iCs/>
        </w:rPr>
        <w:t xml:space="preserve">v. United States</w:t>
      </w:r>
      <w:r>
        <w:t xml:space="preserve">, 389 U.S. 347, 352 (1967); letters are protected even though people must send them through the third-party postal service,</w:t>
      </w:r>
      <w:r>
        <w:t xml:space="preserve"> </w:t>
      </w:r>
      <w:r>
        <w:rPr>
          <w:i/>
          <w:iCs/>
        </w:rPr>
        <w:t xml:space="preserve">Ex parte Jackson</w:t>
      </w:r>
      <w:r>
        <w:t xml:space="preserve">, 96 U.S. 727, 733 (1877); and emails are protected even though they are sent through third-party ISPs,</w:t>
      </w:r>
      <w:r>
        <w:t xml:space="preserve"> </w:t>
      </w:r>
      <w:r>
        <w:rPr>
          <w:i/>
          <w:iCs/>
        </w:rPr>
        <w:t xml:space="preserve">Warshak</w:t>
      </w:r>
      <w:r>
        <w:t xml:space="preserve">, 631 F.3d at 285</w:t>
      </w:r>
      <w:r>
        <w:noBreakHyphen/>
      </w:r>
      <w:r>
        <w:t xml:space="preserve">86.</w:t>
      </w:r>
    </w:p>
    <w:p>
      <w:pPr>
        <w:pStyle w:val="BodyText"/>
      </w:pPr>
      <w:r>
        <w:t xml:space="preserve">Because</w:t>
      </w:r>
      <w:r>
        <w:t xml:space="preserve"> </w:t>
      </w:r>
      <w:r>
        <w:rPr>
          <w:i/>
          <w:iCs/>
        </w:rPr>
        <w:t xml:space="preserve">Weaver</w:t>
      </w:r>
      <w:r>
        <w:t xml:space="preserve"> </w:t>
      </w:r>
      <w:r>
        <w:t xml:space="preserve">determined that it is “obvious” that society considers location and movement information to be highly private,</w:t>
      </w:r>
      <w:r>
        <w:t xml:space="preserve"> </w:t>
      </w:r>
      <w:r>
        <w:rPr>
          <w:i/>
          <w:iCs/>
        </w:rPr>
        <w:t xml:space="preserve">Weaver</w:t>
      </w:r>
      <w:r>
        <w:t xml:space="preserve">, 12 N.Y.3d at 441</w:t>
      </w:r>
      <w:r>
        <w:noBreakHyphen/>
      </w:r>
      <w:r>
        <w:t xml:space="preserve">42, 447, and because IP addresses reveal such information, they fall under the same exception to the third-party doctrine as telephone conversations, letters, and e-mails. Although telephone conversations, letters, and e-mails are often referred to as “content” information, “there is no meaningful Fourth Amendment distinction between content and other forms of information, the disclosure of which to the Government would be equally intrusive and reveal information society values as private.”</w:t>
      </w:r>
      <w:r>
        <w:t xml:space="preserve"> </w:t>
      </w:r>
      <w:r>
        <w:rPr>
          <w:i/>
          <w:iCs/>
        </w:rPr>
        <w:t xml:space="preserve">EDNY Garaufis Opinion</w:t>
      </w:r>
      <w:r>
        <w:t xml:space="preserve">, 809 F. Supp. 2d at 125. Because location records “implicate sufficiently serious protected privacy concerns ⁠. ⁠. ⁠. an exception to the third-party-disclosure doctrine should apply to them, as it does to content, to prohibit undue governmental intrusion.” Id. at 126;</w:t>
      </w:r>
      <w:r>
        <w:t xml:space="preserve"> </w:t>
      </w:r>
      <w:r>
        <w:rPr>
          <w:i/>
          <w:iCs/>
        </w:rPr>
        <w:t xml:space="preserve">In re Application of the U.S. for an Order Authorizing</w:t>
      </w:r>
      <w:r>
        <w:rPr>
          <w:i/>
          <w:iCs/>
        </w:rPr>
        <w:t xml:space="preserve"> </w:t>
      </w:r>
      <w:r>
        <w:rPr>
          <w:i/>
          <w:iCs/>
        </w:rPr>
        <w:t xml:space="preserve">the Release of Historical Cell-Site Info.</w:t>
      </w:r>
      <w:r>
        <w:t xml:space="preserve">, No. 10 MC 0897, 2010 WL 5437209, at *3 (E.D.N.Y. Dec. 23, 2010) (Orenstein, Mag. J.) (holding that the third-party doctrine should not apply to location records because “location information is not a simple business record and ⁠. ⁠. ⁠. it can effectively convey details that reveal the most sensitive information about a person’s life”). This Court should conclude the same as to IP addresses that similarly reveal location and movement information.</w:t>
      </w:r>
    </w:p>
    <w:p>
      <w:pPr>
        <w:pStyle w:val="BodyText"/>
      </w:pPr>
      <w:r>
        <w:t xml:space="preserve">Finally, application of the third-party doctrine here would undermine the Court of Appeals’ decision in</w:t>
      </w:r>
      <w:r>
        <w:t xml:space="preserve"> </w:t>
      </w:r>
      <w:r>
        <w:rPr>
          <w:i/>
          <w:iCs/>
        </w:rPr>
        <w:t xml:space="preserve">Weaver</w:t>
      </w:r>
      <w:r>
        <w:t xml:space="preserve"> </w:t>
      </w:r>
      <w:r>
        <w:t xml:space="preserve">to protect people’s reasonable expectations of privacy in their locations and movements. As Justice Sotomayor recognized in her concurrence in</w:t>
      </w:r>
      <w:r>
        <w:t xml:space="preserve"> </w:t>
      </w:r>
      <w:r>
        <w:rPr>
          <w:i/>
          <w:iCs/>
        </w:rPr>
        <w:t xml:space="preserve">Jones</w:t>
      </w:r>
      <w:r>
        <w:t xml:space="preserve">, the third-party doctrine is “ill suited to the digital age,” in which third parties hold an increasing amount of people’s private information.</w:t>
      </w:r>
      <w:r>
        <w:t xml:space="preserve"> </w:t>
      </w:r>
      <w:r>
        <w:rPr>
          <w:i/>
          <w:iCs/>
        </w:rPr>
        <w:t xml:space="preserve">Jones</w:t>
      </w:r>
      <w:r>
        <w:t xml:space="preserve">, 132 S. Ct. at 957; see also</w:t>
      </w:r>
      <w:r>
        <w:t xml:space="preserve"> </w:t>
      </w:r>
      <w:r>
        <w:rPr>
          <w:i/>
          <w:iCs/>
        </w:rPr>
        <w:t xml:space="preserve">Tokson</w:t>
      </w:r>
      <w:r>
        <w:t xml:space="preserve">, supra, at 588 (“Internet users generate enormous quantities of data, much of it stored by their online service providers,” such as “[e]-mails, web-surfing histories, cloud computing documents, search terms, and credit-card information”);</w:t>
      </w:r>
      <w:r>
        <w:t xml:space="preserve"> </w:t>
      </w:r>
      <w:r>
        <w:rPr>
          <w:i/>
          <w:iCs/>
        </w:rPr>
        <w:t xml:space="preserve">Stephen E. Henderson,</w:t>
      </w:r>
      <w:r>
        <w:rPr>
          <w:i/>
          <w:iCs/>
        </w:rPr>
        <w:t xml:space="preserve"> </w:t>
      </w:r>
      <w:r>
        <w:rPr>
          <w:i/>
          <w:iCs/>
        </w:rPr>
        <w:t xml:space="preserve">Learning From All Fifty States: How to Apply the Fourth Amendment and Its State Analogs to Protect Third Party Information From Unreasonable Search</w:t>
      </w:r>
      <w:r>
        <w:t xml:space="preserve">, 55 Cath. U. L. Rev. 373, 412 (2006) (stating that the Fourth Amendment would provide little meaningful protection “[g]iven modern technology, if we retain no reasonable expectation of privacy in what we give to others”). That is especially true for movement information—our locations and movements are constantly tracked and stored silently by third parties, whether by cell phone companies or by websites. Rejecting the application of the third-party doctrine to such information is central to preserving the expectation of privacy in locations and movements recognized in</w:t>
      </w:r>
      <w:r>
        <w:t xml:space="preserve"> </w:t>
      </w:r>
      <w:r>
        <w:rPr>
          <w:i/>
          <w:iCs/>
        </w:rPr>
        <w:t xml:space="preserve">Weaver</w:t>
      </w:r>
      <w:r>
        <w:t xml:space="preserve"> </w:t>
      </w:r>
      <w:r>
        <w:t xml:space="preserve">and to ensuring that new technologies do not “erode the privacy guaranteed by the Fourth Amendment,”</w:t>
      </w:r>
      <w:r>
        <w:t xml:space="preserve"> </w:t>
      </w:r>
      <w:r>
        <w:rPr>
          <w:i/>
          <w:iCs/>
        </w:rPr>
        <w:t xml:space="preserve">Kyllo</w:t>
      </w:r>
      <w:r>
        <w:rPr>
          <w:i/>
          <w:iCs/>
        </w:rPr>
        <w:t xml:space="preserve"> </w:t>
      </w:r>
      <w:r>
        <w:rPr>
          <w:i/>
          <w:iCs/>
        </w:rPr>
        <w:t xml:space="preserve">v. United States</w:t>
      </w:r>
      <w:r>
        <w:t xml:space="preserve">, 533 U.S. 27 at 34 (2001); see also</w:t>
      </w:r>
      <w:r>
        <w:t xml:space="preserve"> </w:t>
      </w:r>
      <w:r>
        <w:rPr>
          <w:i/>
          <w:iCs/>
        </w:rPr>
        <w:t xml:space="preserve">Warshak</w:t>
      </w:r>
      <w:r>
        <w:t xml:space="preserve">, 631 F.3d at 285 (“[T]he Fourth Amendment must keep pace with the inexorable march of technological progress, or its guarantees will wither and perish.”).</w:t>
      </w:r>
    </w:p>
    <w:p>
      <w:pPr>
        <w:keepNext/>
        <w:keepLines/>
        <w:spacing w:before="308" w:after="252" w:line="32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Third-Party</w:t>
      </w:r>
      <w:r>
        <w:rPr>
          <w:b/>
          <w:bCs/>
          <w:i/>
          <w:iCs/>
        </w:rPr>
        <w:t xml:space="preserve"> </w:t>
      </w:r>
      <w:r>
        <w:rPr>
          <w:b/>
          <w:bCs/>
          <w:i/>
          <w:iCs/>
        </w:rPr>
        <w:t xml:space="preserve">Doctrine</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Controlling</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York</w:t>
      </w:r>
      <w:r>
        <w:rPr>
          <w:b/>
          <w:bCs/>
          <w:i/>
          <w:iCs/>
        </w:rPr>
        <w:t xml:space="preserve"> </w:t>
      </w:r>
      <w:r>
        <w:rPr>
          <w:b/>
          <w:bCs/>
          <w:i/>
          <w:iCs/>
        </w:rPr>
        <w:t xml:space="preserve">Constitution.</w:t>
      </w:r>
    </w:p>
    <w:p>
      <w:pPr>
        <w:pStyle w:val="BodyText"/>
      </w:pPr>
      <w:r>
        <w:t xml:space="preserve">Even if the third-party doctrine were to apply to the records at issue here under the Fourth Amendment, this Court should follow the lead of the Court of Appeals in</w:t>
      </w:r>
      <w:r>
        <w:t xml:space="preserve"> </w:t>
      </w:r>
      <w:r>
        <w:rPr>
          <w:i/>
          <w:iCs/>
        </w:rPr>
        <w:t xml:space="preserve">Weaver</w:t>
      </w:r>
      <w:r>
        <w:t xml:space="preserve"> </w:t>
      </w:r>
      <w:r>
        <w:t xml:space="preserve">and take this opportunity to hold that the third-party doctrine does not eviscerate people’s reasonable expectations of privacy in locations and movements over time under Article I, Section 12 of the New York Constitution. The New York Constitution has been interpreted to provide greater protections than the federal Constitution when circumstances warrant, such as in</w:t>
      </w:r>
      <w:r>
        <w:t xml:space="preserve"> </w:t>
      </w:r>
      <w:r>
        <w:rPr>
          <w:i/>
          <w:iCs/>
        </w:rPr>
        <w:t xml:space="preserve">Weaver</w:t>
      </w:r>
      <w:r>
        <w:t xml:space="preserve">, when the Court of Appeals decided that prolonged GPS surveillance infringes on reasonable expectations of privacy. See</w:t>
      </w:r>
      <w:r>
        <w:t xml:space="preserve"> </w:t>
      </w:r>
      <w:r>
        <w:rPr>
          <w:i/>
          <w:iCs/>
        </w:rPr>
        <w:t xml:space="preserve">Weaver</w:t>
      </w:r>
      <w:r>
        <w:t xml:space="preserve">, 12 N.Y.3d at 445;</w:t>
      </w:r>
      <w:r>
        <w:t xml:space="preserve"> </w:t>
      </w:r>
      <w:r>
        <w:rPr>
          <w:i/>
          <w:iCs/>
        </w:rPr>
        <w:t xml:space="preserve">People v. P.J. Video</w:t>
      </w:r>
      <w:r>
        <w:t xml:space="preserve">, 68 N.Y.2d 296, 304</w:t>
      </w:r>
      <w:r>
        <w:noBreakHyphen/>
      </w:r>
      <w:r>
        <w:t xml:space="preserve">05 (1986) (citing numerous search-and-seizure cases in which New York courts have adopted standards independent from the federal Constitution).</w:t>
      </w:r>
    </w:p>
    <w:p>
      <w:pPr>
        <w:pStyle w:val="BodyText"/>
      </w:pPr>
      <w:r>
        <w:t xml:space="preserve">The protections of the New York Constitution should be held to be broader than the federal Constitution where, as here, “doing so best promotes ‘predictability and precision in judicial review of search and seizure cases and the protection of the individual rights of our citizens.’”</w:t>
      </w:r>
      <w:r>
        <w:t xml:space="preserve"> </w:t>
      </w:r>
      <w:r>
        <w:rPr>
          <w:i/>
          <w:iCs/>
        </w:rPr>
        <w:t xml:space="preserve">Weaver</w:t>
      </w:r>
      <w:r>
        <w:t xml:space="preserve">, 12 N.Y.3d at 445 (quoting</w:t>
      </w:r>
      <w:r>
        <w:t xml:space="preserve"> </w:t>
      </w:r>
      <w:r>
        <w:rPr>
          <w:i/>
          <w:iCs/>
        </w:rPr>
        <w:t xml:space="preserve">P.J. Video</w:t>
      </w:r>
      <w:r>
        <w:t xml:space="preserve">, 68 N.Y.2d at 305). Such predictability and precision can be achieved when courts “provide and maintain ‘bright line’ rules to guide the decisions of law enforcement and judicial personnel who must implement [the court] decisions in their day-to-day operations in the field.”</w:t>
      </w:r>
      <w:r>
        <w:t xml:space="preserve"> </w:t>
      </w:r>
      <w:r>
        <w:rPr>
          <w:i/>
          <w:iCs/>
        </w:rPr>
        <w:t xml:space="preserve">P.J. Video</w:t>
      </w:r>
      <w:r>
        <w:t xml:space="preserve">, 68 N.Y.2d at 305.</w:t>
      </w:r>
    </w:p>
    <w:p>
      <w:pPr>
        <w:pStyle w:val="BodyText"/>
      </w:pPr>
      <w:r>
        <w:t xml:space="preserve">This case presents the appropriate occasion for the Court to announce a bright line rule that under the New York Constitution, law enforcement must obtain a warrant based on probable cause to obtain any set of data—including IP addresses—that reveals a person’s locations and movements over time, even when, as here, that data is possessed by third parties. As explained above, this bright-line rule is necessary to protect the privacy interest recognized by</w:t>
      </w:r>
      <w:r>
        <w:t xml:space="preserve"> </w:t>
      </w:r>
      <w:r>
        <w:rPr>
          <w:i/>
          <w:iCs/>
        </w:rPr>
        <w:t xml:space="preserve">Weaver</w:t>
      </w:r>
      <w:r>
        <w:t xml:space="preserve"> </w:t>
      </w:r>
      <w:r>
        <w:t xml:space="preserve">against emerging current and future technologies that allow people’s movements to be tracked. Eleven states have already rejected in some form the applicability of the federal third-party doctrine to their state constitutions, with the New Jersey Supreme Court holding that individuals maintain a reasonable expectation of privacy in subscriber information, including IP addresses, provided to an ISP under the New Jersey Constitution. See</w:t>
      </w:r>
      <w:r>
        <w:t xml:space="preserve"> </w:t>
      </w:r>
      <w:r>
        <w:rPr>
          <w:i/>
          <w:iCs/>
        </w:rPr>
        <w:t xml:space="preserve">New Jersey v. Reid</w:t>
      </w:r>
      <w:r>
        <w:t xml:space="preserve">, 194 N.J. 386, 399</w:t>
      </w:r>
      <w:r>
        <w:noBreakHyphen/>
      </w:r>
      <w:r>
        <w:t xml:space="preserve">400 (2008);</w:t>
      </w:r>
      <w:r>
        <w:t xml:space="preserve"> </w:t>
      </w:r>
      <w:r>
        <w:rPr>
          <w:i/>
          <w:iCs/>
        </w:rPr>
        <w:t xml:space="preserve">Henderson</w:t>
      </w:r>
      <w:r>
        <w:t xml:space="preserve">, supra, at 395 (surveying states that reject the third-party doctrine).</w:t>
      </w:r>
    </w:p>
    <w:p>
      <w:pPr>
        <w:pStyle w:val="BodyText"/>
      </w:pPr>
      <w:r>
        <w:t xml:space="preserve">This Court should, at a minimum, hold that individuals maintain a reasonable expectation of privacy in information that they convey to a third party where, as here, the information implicates a privacy interest that has been accepted as important by the New York Court of Appeals. As the Court explained in</w:t>
      </w:r>
      <w:r>
        <w:t xml:space="preserve"> </w:t>
      </w:r>
      <w:r>
        <w:rPr>
          <w:i/>
          <w:iCs/>
        </w:rPr>
        <w:t xml:space="preserve">Weaver</w:t>
      </w:r>
      <w:r>
        <w:t xml:space="preserve">:</w:t>
      </w:r>
    </w:p>
    <w:p>
      <w:pPr>
        <w:pStyle w:val="XdQuoteOnly"/>
      </w:pPr>
      <w:r>
        <w:t xml:space="preserve">The alternative would be to countenance an enormous unsupervised intrusion by the police agencies of government upon personal privacy and, in this modern age where criminal investigation will increasingly be conducted by sophisticated technological means, the consequent marginalization of the State Constitution and judiciary in matters crucial to safeguarding the privacy of our citizens.</w:t>
      </w:r>
    </w:p>
    <w:p>
      <w:pPr>
        <w:pStyle w:val="BodyText"/>
      </w:pPr>
      <w:r>
        <w:rPr>
          <w:i/>
          <w:iCs/>
        </w:rPr>
        <w:t xml:space="preserve">Weaver</w:t>
      </w:r>
      <w:r>
        <w:t xml:space="preserve">, 12 N.Y.3d at 445.</w:t>
      </w:r>
    </w:p>
    <w:p>
      <w:pPr>
        <w:keepNext/>
        <w:keepLines/>
        <w:spacing w:before="420" w:after="308" w:line="322" w:lineRule="exact"/>
        <w:ind w:left="0" w:firstLine="0"/>
        <w:jc w:val="center"/>
      </w:pPr>
      <w:r>
        <w:rPr>
          <w:b/>
          <w:bCs/>
        </w:rPr>
        <w:t xml:space="preserve">CONCLUSION</w:t>
      </w:r>
    </w:p>
    <w:p>
      <w:pPr>
        <w:pStyle w:val="BodyText"/>
      </w:pPr>
      <w:r>
        <w:t xml:space="preserve">For the foregoing reasons, Amici respectfully request that the Court reverse and vacate the lower court’s decisions and hold that Twitter users like Harris have standing to challenge government demands to third parties for information that implicates their constitutional rights and that the Twitter Subpoena violates Harris’s First and Fourth Amendment rights.</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27,</w:t>
            </w:r>
            <w:r>
              <w:t xml:space="preserve"> </w:t>
            </w:r>
            <w:r>
              <w:t xml:space="preserve">2012</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Aden</w:t>
                  </w:r>
                  <w:r>
                    <w:t xml:space="preserve"> </w:t>
                  </w:r>
                  <w:r>
                    <w:t xml:space="preserve">J.</w:t>
                  </w:r>
                  <w:r>
                    <w:t xml:space="preserve"> </w:t>
                  </w:r>
                  <w:r>
                    <w:t xml:space="preserve">Fine</w:t>
                  </w:r>
                </w:p>
                <w:p>
                  <w:pPr>
                    <w:spacing w:before="0" w:after="0" w:line="322" w:lineRule="exact"/>
                    <w:ind w:left="0" w:firstLine="0"/>
                    <w:jc w:val="left"/>
                  </w:pPr>
                  <w:r>
                    <w:rPr>
                      <w:i/>
                      <w:iCs/>
                    </w:rPr>
                    <w:t xml:space="preserve">125</w:t>
                  </w:r>
                  <w:r>
                    <w:rPr>
                      <w:i/>
                      <w:iCs/>
                    </w:rPr>
                    <w:t xml:space="preserve"> </w:t>
                  </w:r>
                  <w:r>
                    <w:rPr>
                      <w:i/>
                      <w:iCs/>
                    </w:rPr>
                    <w:t xml:space="preserve">Broad</w:t>
                  </w:r>
                  <w:r>
                    <w:rPr>
                      <w:i/>
                      <w:iCs/>
                    </w:rPr>
                    <w:t xml:space="preserve"> </w:t>
                  </w:r>
                  <w:r>
                    <w:rPr>
                      <w:i/>
                      <w:iCs/>
                    </w:rPr>
                    <w:t xml:space="preserve">Street,</w:t>
                  </w:r>
                  <w:r>
                    <w:rPr>
                      <w:i/>
                      <w:iCs/>
                    </w:rPr>
                    <w:t xml:space="preserve"> </w:t>
                  </w:r>
                  <w:r>
                    <w:rPr>
                      <w:i/>
                      <w:iCs/>
                    </w:rPr>
                    <w:t xml:space="preserve">18th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10004</w:t>
                  </w:r>
                </w:p>
                <w:p>
                  <w:pPr>
                    <w:spacing w:before="0" w:after="0" w:line="322" w:lineRule="exact"/>
                    <w:ind w:left="0" w:firstLine="0"/>
                    <w:jc w:val="left"/>
                  </w:pPr>
                  <w:r>
                    <w:rPr>
                      <w:i/>
                      <w:iCs/>
                    </w:rPr>
                    <w:t xml:space="preserve">Telephone:</w:t>
                  </w:r>
                  <w:r>
                    <w:rPr>
                      <w:i/>
                      <w:iCs/>
                    </w:rPr>
                    <w:t xml:space="preserve"> </w:t>
                  </w:r>
                  <w:r>
                    <w:rPr>
                      <w:i/>
                      <w:iCs/>
                    </w:rPr>
                    <w:t xml:space="preserve">(212)</w:t>
                  </w:r>
                  <w:r>
                    <w:rPr>
                      <w:i/>
                      <w:iCs/>
                    </w:rPr>
                    <w:t xml:space="preserve"> </w:t>
                  </w:r>
                  <w:r>
                    <w:rPr>
                      <w:i/>
                      <w:iCs/>
                    </w:rPr>
                    <w:t xml:space="preserve">549</w:t>
                    <w:noBreakHyphen/>
                    <w:t xml:space="preserve">2693</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FOUNDATION</w:t>
                  </w:r>
                </w:p>
              </w:tc>
              <w:tc>
                <w:tcPr>
                  <w:tcW w:w="4968" w:type="dxa"/>
                  <w:tcMar>
                    <w:left w:w="576" w:type="dxa"/>
                  </w:tcMar>
                </w:tcPr>
                <w:p>
                  <w:pPr>
                    <w:spacing w:before="0" w:after="0" w:line="322" w:lineRule="exact"/>
                    <w:ind w:left="0" w:firstLine="0"/>
                    <w:jc w:val="left"/>
                  </w:pP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Mariko</w:t>
                  </w:r>
                  <w:r>
                    <w:t xml:space="preserve"> </w:t>
                  </w:r>
                  <w:r>
                    <w:t xml:space="preserve">Hirose</w:t>
                  </w:r>
                </w:p>
                <w:p>
                  <w:pPr>
                    <w:spacing w:before="0" w:after="0" w:line="322" w:lineRule="exact"/>
                    <w:ind w:left="0" w:firstLine="0"/>
                    <w:jc w:val="left"/>
                  </w:pPr>
                  <w:r>
                    <w:t xml:space="preserve">Arthur</w:t>
                  </w:r>
                  <w:r>
                    <w:t xml:space="preserve"> </w:t>
                  </w:r>
                  <w:r>
                    <w:t xml:space="preserve">Eisenberg</w:t>
                  </w:r>
                </w:p>
                <w:p>
                  <w:pPr>
                    <w:spacing w:before="0" w:after="0" w:line="322" w:lineRule="exact"/>
                    <w:ind w:left="0" w:firstLine="0"/>
                    <w:jc w:val="left"/>
                  </w:pPr>
                  <w:r>
                    <w:rPr>
                      <w:i/>
                      <w:iCs/>
                    </w:rPr>
                    <w:t xml:space="preserve">125</w:t>
                  </w:r>
                  <w:r>
                    <w:rPr>
                      <w:i/>
                      <w:iCs/>
                    </w:rPr>
                    <w:t xml:space="preserve"> </w:t>
                  </w:r>
                  <w:r>
                    <w:rPr>
                      <w:i/>
                      <w:iCs/>
                    </w:rPr>
                    <w:t xml:space="preserve">Broad</w:t>
                  </w:r>
                  <w:r>
                    <w:rPr>
                      <w:i/>
                      <w:iCs/>
                    </w:rPr>
                    <w:t xml:space="preserve"> </w:t>
                  </w:r>
                  <w:r>
                    <w:rPr>
                      <w:i/>
                      <w:iCs/>
                    </w:rPr>
                    <w:t xml:space="preserve">Street,</w:t>
                  </w:r>
                  <w:r>
                    <w:rPr>
                      <w:i/>
                      <w:iCs/>
                    </w:rPr>
                    <w:t xml:space="preserve"> </w:t>
                  </w:r>
                  <w:r>
                    <w:rPr>
                      <w:i/>
                      <w:iCs/>
                    </w:rPr>
                    <w:t xml:space="preserve">19th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10004</w:t>
                  </w:r>
                </w:p>
                <w:p>
                  <w:pPr>
                    <w:spacing w:before="0" w:after="0" w:line="322" w:lineRule="exact"/>
                    <w:ind w:left="0" w:firstLine="0"/>
                    <w:jc w:val="left"/>
                  </w:pPr>
                  <w:r>
                    <w:rPr>
                      <w:i/>
                      <w:iCs/>
                    </w:rPr>
                    <w:t xml:space="preserve">Telephone:</w:t>
                  </w:r>
                  <w:r>
                    <w:rPr>
                      <w:i/>
                      <w:iCs/>
                    </w:rPr>
                    <w:t xml:space="preserve"> </w:t>
                  </w:r>
                  <w:r>
                    <w:rPr>
                      <w:i/>
                      <w:iCs/>
                    </w:rPr>
                    <w:t xml:space="preserve">(212)</w:t>
                  </w:r>
                  <w:r>
                    <w:rPr>
                      <w:i/>
                      <w:iCs/>
                    </w:rPr>
                    <w:t xml:space="preserve"> </w:t>
                  </w:r>
                  <w:r>
                    <w:rPr>
                      <w:i/>
                      <w:iCs/>
                    </w:rPr>
                    <w:t xml:space="preserve">607</w:t>
                    <w:noBreakHyphen/>
                    <w:t xml:space="preserve">3300</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FOUNDATION</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ELECTRONIC</w:t>
                  </w:r>
                  <w:r>
                    <w:rPr>
                      <w:b/>
                      <w:bCs/>
                    </w:rPr>
                    <w:t xml:space="preserve"> </w:t>
                  </w:r>
                  <w:r>
                    <w:rPr>
                      <w:b/>
                      <w:bCs/>
                    </w:rPr>
                    <w:t xml:space="preserve">FRONTIER</w:t>
                  </w:r>
                  <w:r>
                    <w:rPr>
                      <w:b/>
                      <w:bCs/>
                    </w:rPr>
                    <w:t xml:space="preserve"> </w:t>
                  </w:r>
                  <w:r>
                    <w:rPr>
                      <w:b/>
                      <w:bCs/>
                    </w:rPr>
                    <w:t xml:space="preserve">FOUNDATION</w:t>
                  </w:r>
                </w:p>
                <w:p>
                  <w:pPr>
                    <w:spacing w:before="0" w:after="0" w:line="322" w:lineRule="exact"/>
                    <w:ind w:left="0" w:firstLine="0"/>
                    <w:jc w:val="left"/>
                  </w:pPr>
                  <w:r>
                    <w:t xml:space="preserve">Marcia</w:t>
                  </w:r>
                  <w:r>
                    <w:t xml:space="preserve"> </w:t>
                  </w:r>
                  <w:r>
                    <w:t xml:space="preserve">Hofmann</w:t>
                  </w:r>
                </w:p>
                <w:p>
                  <w:pPr>
                    <w:spacing w:before="0" w:after="0" w:line="322" w:lineRule="exact"/>
                    <w:ind w:left="0" w:firstLine="0"/>
                    <w:jc w:val="left"/>
                  </w:pPr>
                  <w:r>
                    <w:t xml:space="preserve">Hanni</w:t>
                  </w:r>
                  <w:r>
                    <w:t xml:space="preserve"> </w:t>
                  </w:r>
                  <w:r>
                    <w:t xml:space="preserve">Fakhoury</w:t>
                  </w:r>
                </w:p>
                <w:p>
                  <w:pPr>
                    <w:spacing w:before="0" w:after="0" w:line="322" w:lineRule="exact"/>
                    <w:ind w:left="0" w:firstLine="0"/>
                    <w:jc w:val="left"/>
                  </w:pPr>
                  <w:r>
                    <w:rPr>
                      <w:i/>
                      <w:iCs/>
                    </w:rPr>
                    <w:t xml:space="preserve">454</w:t>
                  </w:r>
                  <w:r>
                    <w:rPr>
                      <w:i/>
                      <w:iCs/>
                    </w:rPr>
                    <w:t xml:space="preserve"> </w:t>
                  </w:r>
                  <w:r>
                    <w:rPr>
                      <w:i/>
                      <w:iCs/>
                    </w:rPr>
                    <w:t xml:space="preserve">Shotwell</w:t>
                  </w:r>
                  <w:r>
                    <w:rPr>
                      <w:i/>
                      <w:iCs/>
                    </w:rPr>
                    <w:t xml:space="preserve"> </w:t>
                  </w:r>
                  <w:r>
                    <w:rPr>
                      <w:i/>
                      <w:iCs/>
                    </w:rPr>
                    <w:t xml:space="preserve">Street</w:t>
                  </w:r>
                </w:p>
                <w:p>
                  <w:pPr>
                    <w:spacing w:before="0" w:after="0" w:line="322" w:lineRule="exact"/>
                    <w:ind w:left="0" w:firstLine="0"/>
                    <w:jc w:val="left"/>
                  </w:pPr>
                  <w:r>
                    <w:rPr>
                      <w:i/>
                      <w:iCs/>
                    </w:rPr>
                    <w:t xml:space="preserve">San</w:t>
                  </w:r>
                  <w:r>
                    <w:rPr>
                      <w:i/>
                      <w:iCs/>
                    </w:rPr>
                    <w:t xml:space="preserve"> </w:t>
                  </w:r>
                  <w:r>
                    <w:rPr>
                      <w:i/>
                      <w:iCs/>
                    </w:rPr>
                    <w:t xml:space="preserve">Francisco,</w:t>
                  </w:r>
                  <w:r>
                    <w:rPr>
                      <w:i/>
                      <w:iCs/>
                    </w:rPr>
                    <w:t xml:space="preserve"> </w:t>
                  </w:r>
                  <w:r>
                    <w:rPr>
                      <w:i/>
                      <w:iCs/>
                    </w:rPr>
                    <w:t xml:space="preserve">CA</w:t>
                  </w:r>
                  <w:r>
                    <w:rPr>
                      <w:i/>
                      <w:iCs/>
                    </w:rPr>
                    <w:t xml:space="preserve"> </w:t>
                  </w:r>
                  <w:r>
                    <w:rPr>
                      <w:i/>
                      <w:iCs/>
                    </w:rPr>
                    <w:t xml:space="preserve">94110</w:t>
                  </w:r>
                </w:p>
                <w:p>
                  <w:pPr>
                    <w:spacing w:before="0" w:after="0" w:line="322" w:lineRule="exact"/>
                    <w:ind w:left="0" w:firstLine="0"/>
                    <w:jc w:val="left"/>
                  </w:pPr>
                  <w:r>
                    <w:rPr>
                      <w:i/>
                      <w:iCs/>
                    </w:rPr>
                    <w:t xml:space="preserve">Telephone:</w:t>
                  </w:r>
                  <w:r>
                    <w:rPr>
                      <w:i/>
                      <w:iCs/>
                    </w:rPr>
                    <w:t xml:space="preserve"> </w:t>
                  </w:r>
                  <w:r>
                    <w:rPr>
                      <w:i/>
                      <w:iCs/>
                    </w:rPr>
                    <w:t xml:space="preserve">(415)</w:t>
                  </w:r>
                  <w:r>
                    <w:rPr>
                      <w:i/>
                      <w:iCs/>
                    </w:rPr>
                    <w:t xml:space="preserve"> </w:t>
                  </w:r>
                  <w:r>
                    <w:rPr>
                      <w:i/>
                      <w:iCs/>
                    </w:rPr>
                    <w:t xml:space="preserve">436</w:t>
                    <w:noBreakHyphen/>
                    <w:t xml:space="preserve">9333</w:t>
                  </w:r>
                  <w:r>
                    <w:rPr>
                      <w:i/>
                      <w:iCs/>
                    </w:rPr>
                    <w:t xml:space="preserve"> </w:t>
                  </w:r>
                  <w:r>
                    <w:rPr>
                      <w:i/>
                      <w:iCs/>
                    </w:rPr>
                    <w:t xml:space="preserve">x.</w:t>
                  </w:r>
                  <w:r>
                    <w:rPr>
                      <w:i/>
                      <w:iCs/>
                    </w:rPr>
                    <w:t xml:space="preserve"> </w:t>
                  </w:r>
                  <w:r>
                    <w:rPr>
                      <w:i/>
                      <w:iCs/>
                    </w:rPr>
                    <w:t xml:space="preserve">116</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ELECTRONIC</w:t>
                  </w:r>
                  <w:r>
                    <w:rPr>
                      <w:i/>
                      <w:iCs/>
                    </w:rPr>
                    <w:t xml:space="preserve"> </w:t>
                  </w:r>
                  <w:r>
                    <w:rPr>
                      <w:i/>
                      <w:iCs/>
                    </w:rPr>
                    <w:t xml:space="preserve">FRONTIER</w:t>
                  </w:r>
                  <w:r>
                    <w:rPr>
                      <w:i/>
                      <w:iCs/>
                    </w:rPr>
                    <w:t xml:space="preserve"> </w:t>
                  </w:r>
                  <w:r>
                    <w:rPr>
                      <w:i/>
                      <w:iCs/>
                    </w:rPr>
                    <w:t xml:space="preserve">FOUNDATION</w:t>
                  </w:r>
                </w:p>
              </w:tc>
              <w:tc>
                <w:tcPr>
                  <w:tcW w:w="4968" w:type="dxa"/>
                  <w:tcMar>
                    <w:left w:w="576" w:type="dxa"/>
                  </w:tcMar>
                </w:tcPr>
                <w:p>
                  <w:pPr>
                    <w:spacing w:before="0" w:after="0" w:line="322" w:lineRule="exact"/>
                    <w:ind w:left="0" w:firstLine="0"/>
                    <w:jc w:val="left"/>
                  </w:pPr>
                  <w:r>
                    <w:rPr>
                      <w:b/>
                      <w:bCs/>
                    </w:rPr>
                    <w:t xml:space="preserve">PUBLIC</w:t>
                  </w:r>
                  <w:r>
                    <w:rPr>
                      <w:b/>
                      <w:bCs/>
                    </w:rPr>
                    <w:t xml:space="preserve"> </w:t>
                  </w:r>
                  <w:r>
                    <w:rPr>
                      <w:b/>
                      <w:bCs/>
                    </w:rPr>
                    <w:t xml:space="preserve">CITIZEN</w:t>
                  </w:r>
                  <w:r>
                    <w:rPr>
                      <w:b/>
                      <w:bCs/>
                    </w:rPr>
                    <w:t xml:space="preserve"> </w:t>
                  </w:r>
                  <w:r>
                    <w:rPr>
                      <w:b/>
                      <w:bCs/>
                    </w:rPr>
                    <w:t xml:space="preserve">LITIGATION</w:t>
                  </w:r>
                  <w:r>
                    <w:rPr>
                      <w:b/>
                      <w:bCs/>
                    </w:rPr>
                    <w:t xml:space="preserve"> </w:t>
                  </w:r>
                  <w:r>
                    <w:rPr>
                      <w:b/>
                      <w:bCs/>
                    </w:rPr>
                    <w:t xml:space="preserve">GROUP</w:t>
                  </w:r>
                </w:p>
                <w:p>
                  <w:pPr>
                    <w:spacing w:before="0" w:after="0" w:line="322" w:lineRule="exact"/>
                    <w:ind w:left="0" w:firstLine="0"/>
                    <w:jc w:val="left"/>
                  </w:pPr>
                  <w:r>
                    <w:t xml:space="preserve">Paul</w:t>
                  </w:r>
                  <w:r>
                    <w:t xml:space="preserve"> </w:t>
                  </w:r>
                  <w:r>
                    <w:t xml:space="preserve">Alan</w:t>
                  </w:r>
                  <w:r>
                    <w:t xml:space="preserve"> </w:t>
                  </w:r>
                  <w:r>
                    <w:t xml:space="preserve">Levy</w:t>
                  </w:r>
                </w:p>
                <w:p>
                  <w:pPr>
                    <w:spacing w:before="0" w:after="0" w:line="322" w:lineRule="exact"/>
                    <w:ind w:left="0" w:firstLine="0"/>
                    <w:jc w:val="left"/>
                  </w:pPr>
                  <w:r>
                    <w:rPr>
                      <w:i/>
                      <w:iCs/>
                    </w:rPr>
                    <w:t xml:space="preserve">1600</w:t>
                  </w:r>
                  <w:r>
                    <w:rPr>
                      <w:i/>
                      <w:iCs/>
                    </w:rPr>
                    <w:t xml:space="preserve"> </w:t>
                  </w:r>
                  <w:r>
                    <w:rPr>
                      <w:i/>
                      <w:iCs/>
                    </w:rPr>
                    <w:t xml:space="preserve">20th</w:t>
                  </w:r>
                  <w:r>
                    <w:rPr>
                      <w:i/>
                      <w:iCs/>
                    </w:rPr>
                    <w:t xml:space="preserve"> </w:t>
                  </w:r>
                  <w:r>
                    <w:rPr>
                      <w:i/>
                      <w:iCs/>
                    </w:rPr>
                    <w:t xml:space="preserve">Street,</w:t>
                  </w:r>
                  <w:r>
                    <w:rPr>
                      <w:i/>
                      <w:iCs/>
                    </w:rPr>
                    <w:t xml:space="preserve"> </w:t>
                  </w:r>
                  <w:r>
                    <w:rPr>
                      <w:i/>
                      <w:iCs/>
                    </w:rPr>
                    <w:t xml:space="preserve">NW</w:t>
                  </w:r>
                </w:p>
                <w:p>
                  <w:pPr>
                    <w:spacing w:before="0" w:after="0" w:line="322" w:lineRule="exact"/>
                    <w:ind w:left="0" w:firstLine="0"/>
                    <w:jc w:val="left"/>
                  </w:pPr>
                  <w:r>
                    <w:rPr>
                      <w:i/>
                      <w:iCs/>
                    </w:rPr>
                    <w:t xml:space="preserve">Washington,</w:t>
                  </w:r>
                  <w:r>
                    <w:rPr>
                      <w:i/>
                      <w:iCs/>
                    </w:rPr>
                    <w:t xml:space="preserve"> </w:t>
                  </w:r>
                  <w:r>
                    <w:rPr>
                      <w:i/>
                      <w:iCs/>
                    </w:rPr>
                    <w:t xml:space="preserve">D.C.</w:t>
                  </w:r>
                  <w:r>
                    <w:rPr>
                      <w:i/>
                      <w:iCs/>
                    </w:rPr>
                    <w:t xml:space="preserve"> </w:t>
                  </w:r>
                  <w:r>
                    <w:rPr>
                      <w:i/>
                      <w:iCs/>
                    </w:rPr>
                    <w:t xml:space="preserve">20009</w:t>
                  </w:r>
                </w:p>
                <w:p>
                  <w:pPr>
                    <w:spacing w:before="0" w:after="0" w:line="322" w:lineRule="exact"/>
                    <w:ind w:left="0" w:firstLine="0"/>
                    <w:jc w:val="left"/>
                  </w:pPr>
                  <w:r>
                    <w:rPr>
                      <w:i/>
                      <w:iCs/>
                    </w:rPr>
                    <w:t xml:space="preserve">Telephone:</w:t>
                  </w:r>
                  <w:r>
                    <w:rPr>
                      <w:i/>
                      <w:iCs/>
                    </w:rPr>
                    <w:t xml:space="preserve"> </w:t>
                  </w:r>
                  <w:r>
                    <w:rPr>
                      <w:i/>
                      <w:iCs/>
                    </w:rPr>
                    <w:t xml:space="preserve">(202)</w:t>
                  </w:r>
                  <w:r>
                    <w:rPr>
                      <w:i/>
                      <w:iCs/>
                    </w:rPr>
                    <w:t xml:space="preserve"> </w:t>
                  </w:r>
                  <w:r>
                    <w:rPr>
                      <w:i/>
                      <w:iCs/>
                    </w:rPr>
                    <w:t xml:space="preserve">588</w:t>
                    <w:noBreakHyphen/>
                    <w:t xml:space="preserve">1000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PUBLIC</w:t>
                  </w:r>
                  <w:r>
                    <w:rPr>
                      <w:i/>
                      <w:iCs/>
                    </w:rPr>
                    <w:t xml:space="preserve"> </w:t>
                  </w:r>
                  <w:r>
                    <w:rPr>
                      <w:i/>
                      <w:iCs/>
                    </w:rPr>
                    <w:t xml:space="preserve">CITIZEN,</w:t>
                  </w:r>
                  <w:r>
                    <w:rPr>
                      <w:i/>
                      <w:iCs/>
                    </w:rPr>
                    <w:t xml:space="preserve"> </w:t>
                  </w:r>
                  <w:r>
                    <w:rPr>
                      <w:i/>
                      <w:iCs/>
                    </w:rPr>
                    <w:t xml:space="preserve">INC.</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Twitter Reaches 500 Million User Mark,</w:t>
      </w:r>
      <w:r>
        <w:rPr>
          <w:i/>
          <w:iCs/>
        </w:rPr>
        <w:t xml:space="preserve"> </w:t>
      </w:r>
      <w:r>
        <w:rPr>
          <w:i/>
          <w:iCs/>
        </w:rPr>
        <w:t xml:space="preserve">Washington Post, July 30, 2012</w:t>
      </w:r>
      <w:r>
        <w:t xml:space="preserve">, http://​www.​washingtonpost.​com/​business/​technology/​twitter-​reaches-⁠500-​million-​active-​users-⁠140-​million-​in-​theus/​2012/​07/​30/​gJQAVdIMLX_story.​html?​Post+generic=%3Ftid%3Dsm_twitter_washingtonpost.</w:t>
      </w:r>
    </w:p>
  </w:footnote>
  <w:footnote w:id="10">
    <w:p>
      <w:pPr>
        <w:pStyle w:val="FootnoteText"/>
      </w:pPr>
      <w:r>
        <w:rPr>
          <w:rStyle w:val="FootnoteReference"/>
        </w:rPr>
        <w:footnoteRef/>
      </w:r>
      <w:r>
        <w:t xml:space="preserve"> </w:t>
      </w:r>
      <w:r>
        <w:rPr>
          <w:i/>
          <w:iCs/>
        </w:rPr>
        <w:t xml:space="preserve">Top 500 Global Sites,</w:t>
      </w:r>
      <w:r>
        <w:rPr>
          <w:i/>
          <w:iCs/>
        </w:rPr>
        <w:t xml:space="preserve"> </w:t>
      </w:r>
      <w:r>
        <w:rPr>
          <w:i/>
          <w:iCs/>
        </w:rPr>
        <w:t xml:space="preserve">Alexa, http://​www.​alexa.​com/​topsites (last visited Aug. 22, 2012)</w:t>
      </w:r>
      <w:r>
        <w:t xml:space="preserve">; see also</w:t>
      </w:r>
      <w:r>
        <w:t xml:space="preserve"> </w:t>
      </w:r>
      <w:r>
        <w:rPr>
          <w:i/>
          <w:iCs/>
        </w:rPr>
        <w:t xml:space="preserve">Aaron Smith and Joanna Brenner, Twitter Use 2012,</w:t>
      </w:r>
      <w:r>
        <w:rPr>
          <w:i/>
          <w:iCs/>
        </w:rPr>
        <w:t xml:space="preserve"> </w:t>
      </w:r>
      <w:r>
        <w:rPr>
          <w:i/>
          <w:iCs/>
        </w:rPr>
        <w:t xml:space="preserve">Pew Internet &amp; American Life Project (May 2012)</w:t>
      </w:r>
      <w:r>
        <w:t xml:space="preserve">, http://​pewinternet.​org/​Reports/​2012/​Twitter-​Use-⁠2012.​aspx (15% of adult Internet users use Twitter, as of February 2012).</w:t>
      </w:r>
    </w:p>
  </w:footnote>
  <w:footnote w:id="11">
    <w:p>
      <w:pPr>
        <w:pStyle w:val="FootnoteText"/>
      </w:pPr>
      <w:r>
        <w:rPr>
          <w:rStyle w:val="FootnoteReference"/>
        </w:rPr>
        <w:footnoteRef/>
      </w:r>
      <w:r>
        <w:t xml:space="preserve"> </w:t>
      </w:r>
      <w:r>
        <w:t xml:space="preserve">Neil MacFarquhar, Social Media Help Keep the Door Open to Sustained Dissent Inside Saudi Arabia, N.Y. Times, June 15, 2011, http://​www.​nytimes.​com/​2011/​06/​16/​world/​middleeast/​16saudi.​html.</w:t>
      </w:r>
    </w:p>
  </w:footnote>
  <w:footnote w:id="12">
    <w:p>
      <w:pPr>
        <w:pStyle w:val="FootnoteText"/>
      </w:pPr>
      <w:r>
        <w:rPr>
          <w:rStyle w:val="FootnoteReference"/>
        </w:rPr>
        <w:footnoteRef/>
      </w:r>
      <w:r>
        <w:t xml:space="preserve"> </w:t>
      </w:r>
      <w:r>
        <w:t xml:space="preserve">The accuracy of IP address geolocation can depend on many factors, including how an ISP has set up its network of servers and whether an Internet user utilizes any tools that allow Internet users to obfuscate their IP addresses.</w:t>
      </w:r>
    </w:p>
  </w:footnote>
  <w:footnote w:id="13">
    <w:p>
      <w:pPr>
        <w:pStyle w:val="FootnoteText"/>
      </w:pPr>
      <w:r>
        <w:rPr>
          <w:rStyle w:val="FootnoteReference"/>
        </w:rPr>
        <w:footnoteRef/>
      </w:r>
      <w:r>
        <w:t xml:space="preserve"> </w:t>
      </w:r>
      <w:r>
        <w:t xml:space="preserve">A copy of the Twitter Subpoena is attached hereto as Exhibit A.</w:t>
      </w:r>
    </w:p>
  </w:footnote>
  <w:footnote w:id="14">
    <w:p>
      <w:pPr>
        <w:pStyle w:val="FootnoteText"/>
      </w:pPr>
      <w:r>
        <w:rPr>
          <w:rStyle w:val="FootnoteReference"/>
        </w:rPr>
        <w:footnoteRef/>
      </w:r>
      <w:r>
        <w:t xml:space="preserve"> </w:t>
      </w:r>
      <w:r>
        <w:t xml:space="preserve">This section focuses on Harris’s standing to challenge the subpoena on First Amendment grounds. In the Fourth Amendment context, the separate issues of standing and the merits are more closely related.</w:t>
      </w:r>
      <w:r>
        <w:t xml:space="preserve"> </w:t>
      </w:r>
      <w:r>
        <w:rPr>
          <w:i/>
          <w:iCs/>
        </w:rPr>
        <w:t xml:space="preserve">Rakas</w:t>
      </w:r>
      <w:r>
        <w:rPr>
          <w:i/>
          <w:iCs/>
        </w:rPr>
        <w:t xml:space="preserve"> </w:t>
      </w:r>
      <w:r>
        <w:rPr>
          <w:i/>
          <w:iCs/>
        </w:rPr>
        <w:t xml:space="preserve">v. Illinois</w:t>
      </w:r>
      <w:r>
        <w:t xml:space="preserve">, 439 U.S. 128, 139</w:t>
      </w:r>
      <w:r>
        <w:noBreakHyphen/>
      </w:r>
      <w:r>
        <w:t xml:space="preserve">40 (1978);</w:t>
      </w:r>
      <w:r>
        <w:t xml:space="preserve"> </w:t>
      </w:r>
      <w:r>
        <w:rPr>
          <w:i/>
          <w:iCs/>
        </w:rPr>
        <w:t xml:space="preserve">People v. Laws</w:t>
      </w:r>
      <w:r>
        <w:t xml:space="preserve">, 623 N.Y.S.2d 216, 218 (App. 1st Dep’t. 1995) (stating that the Rakas</w:t>
      </w:r>
      <w:r>
        <w:t xml:space="preserve"> </w:t>
      </w:r>
      <w:r>
        <w:t xml:space="preserve">rule applies under the New York Constitution). As a result, rather than separately address Harris’s standing to bring a Fourth Amendment challenge to the Subpoena, amici address this issue in the context of discussing the merits of Harris’s Fourth Amendment objections. See infra at 27</w:t>
      </w:r>
      <w:r>
        <w:noBreakHyphen/>
      </w:r>
      <w:r>
        <w:t xml:space="preserve">36.</w:t>
      </w:r>
    </w:p>
  </w:footnote>
  <w:footnote w:id="15">
    <w:p>
      <w:pPr>
        <w:pStyle w:val="FootnoteText"/>
      </w:pPr>
      <w:r>
        <w:rPr>
          <w:rStyle w:val="FootnoteReference"/>
        </w:rPr>
        <w:footnoteRef/>
      </w:r>
      <w:r>
        <w:t xml:space="preserve"> </w:t>
      </w:r>
      <w:r>
        <w:t xml:space="preserve">A per curiam affirmance of a three-judge trial court decision by the Supreme Court is a judgment on the merits, preventing “lower courts from coming to opposite conclusions on the precise issues presented and necessarily decided by those actions.” See, e.g.,</w:t>
      </w:r>
      <w:r>
        <w:t xml:space="preserve"> </w:t>
      </w:r>
      <w:r>
        <w:rPr>
          <w:i/>
          <w:iCs/>
        </w:rPr>
        <w:t xml:space="preserve">Mandel</w:t>
      </w:r>
      <w:r>
        <w:rPr>
          <w:i/>
          <w:iCs/>
        </w:rPr>
        <w:t xml:space="preserve"> </w:t>
      </w:r>
      <w:r>
        <w:rPr>
          <w:i/>
          <w:iCs/>
        </w:rPr>
        <w:t xml:space="preserve">v. Bradley</w:t>
      </w:r>
      <w:r>
        <w:t xml:space="preserve">, 432 U.S. 173, 176 (1977) (per curiam).</w:t>
      </w:r>
    </w:p>
  </w:footnote>
  <w:footnote w:id="16">
    <w:p>
      <w:pPr>
        <w:pStyle w:val="FootnoteText"/>
      </w:pPr>
      <w:r>
        <w:rPr>
          <w:rStyle w:val="FootnoteReference"/>
        </w:rPr>
        <w:footnoteRef/>
      </w:r>
      <w:r>
        <w:t xml:space="preserve"> </w:t>
      </w:r>
      <w:r>
        <w:t xml:space="preserve">See, e.g.,</w:t>
      </w:r>
      <w:r>
        <w:t xml:space="preserve"> </w:t>
      </w:r>
      <w:r>
        <w:rPr>
          <w:i/>
          <w:iCs/>
        </w:rPr>
        <w:t xml:space="preserve">Local 1814,</w:t>
      </w:r>
      <w:r>
        <w:rPr>
          <w:i/>
          <w:iCs/>
        </w:rPr>
        <w:t xml:space="preserve"> </w:t>
      </w:r>
      <w:r>
        <w:rPr>
          <w:i/>
          <w:iCs/>
        </w:rPr>
        <w:t xml:space="preserve">Int’l Longshoremen’s Ass’n, AFL-CIO v. Waterfront Comm’n of N.Y. Harbor</w:t>
      </w:r>
      <w:r>
        <w:t xml:space="preserve">, 667 F.2d 267, 271 (2d Cir. 1981) (permitting a labor union and its political action committee to challenge a subpoena for a third party’s business records);</w:t>
      </w:r>
      <w:r>
        <w:t xml:space="preserve"> </w:t>
      </w:r>
      <w:r>
        <w:rPr>
          <w:i/>
          <w:iCs/>
        </w:rPr>
        <w:t xml:space="preserve">In re Grand Jury Subpoena Dated Dec. 17, 1996</w:t>
      </w:r>
      <w:r>
        <w:t xml:space="preserve">, 148 F.3d 487, 490 (5th Cir. 1998) (“[T]he Government contends that the Moczygembas lacked standing to challenge the grand jury subpoena because the subpoena was not directed at them, nor did they have a possessory interest in the documents requested. This contention is without merit. A third party has standing to challenge a grand jury subpoena where the third party has a claim of privilege respecting information or materials sought by the subpoena.”);</w:t>
      </w:r>
      <w:r>
        <w:t xml:space="preserve"> </w:t>
      </w:r>
      <w:r>
        <w:rPr>
          <w:i/>
          <w:iCs/>
        </w:rPr>
        <w:t xml:space="preserve">In re Grand Jury</w:t>
      </w:r>
      <w:r>
        <w:t xml:space="preserve">, 111 F.3d 1066, 1073 (3d Cir. 1997) (“The Supreme Court and this court have on several occasions allowed third parties to move to quash grand jury subpoenas directed to others. ⁠. ⁠. ⁠. It is well-established that a litigant may have sufficiently important, legally-cognizable interests in the materials or testimony sought by a grand jury subpoena issued to another person to give the litigant standing to challenge the validity of that subpoena.”) (listing and discussing cases);</w:t>
      </w:r>
      <w:r>
        <w:t xml:space="preserve"> </w:t>
      </w:r>
      <w:r>
        <w:rPr>
          <w:i/>
          <w:iCs/>
        </w:rPr>
        <w:t xml:space="preserve">Brock</w:t>
      </w:r>
      <w:r>
        <w:rPr>
          <w:i/>
          <w:iCs/>
        </w:rPr>
        <w:t xml:space="preserve"> </w:t>
      </w:r>
      <w:r>
        <w:rPr>
          <w:i/>
          <w:iCs/>
        </w:rPr>
        <w:t xml:space="preserve">v. Local 375, Plumbers Int’l Union of Am.</w:t>
      </w:r>
      <w:r>
        <w:t xml:space="preserve">, 860 F.2d 346, 349 (9th Cir. 1988) (same);</w:t>
      </w:r>
      <w:r>
        <w:t xml:space="preserve"> </w:t>
      </w:r>
      <w:r>
        <w:rPr>
          <w:i/>
          <w:iCs/>
        </w:rPr>
        <w:t xml:space="preserve">In re Grand Jury Proceeding</w:t>
      </w:r>
      <w:r>
        <w:t xml:space="preserve">, 842 F.2d 1229, 1234 (11th Cir. 1988) (same);</w:t>
      </w:r>
      <w:r>
        <w:t xml:space="preserve"> </w:t>
      </w:r>
      <w:r>
        <w:rPr>
          <w:i/>
          <w:iCs/>
        </w:rPr>
        <w:t xml:space="preserve">Grandbouche</w:t>
      </w:r>
      <w:r>
        <w:rPr>
          <w:i/>
          <w:iCs/>
        </w:rPr>
        <w:t xml:space="preserve"> </w:t>
      </w:r>
      <w:r>
        <w:rPr>
          <w:i/>
          <w:iCs/>
        </w:rPr>
        <w:t xml:space="preserve">v. United States (In re First Nat’l Bank)</w:t>
      </w:r>
      <w:r>
        <w:t xml:space="preserve">, 701 F.2d 115, 117</w:t>
      </w:r>
      <w:r>
        <w:noBreakHyphen/>
      </w:r>
      <w:r>
        <w:t xml:space="preserve">19 (10th Cir. 1983) (same);</w:t>
      </w:r>
      <w:r>
        <w:t xml:space="preserve"> </w:t>
      </w:r>
      <w:r>
        <w:rPr>
          <w:i/>
          <w:iCs/>
        </w:rPr>
        <w:t xml:space="preserve">Velsicol</w:t>
      </w:r>
      <w:r>
        <w:rPr>
          <w:i/>
          <w:iCs/>
        </w:rPr>
        <w:t xml:space="preserve"> </w:t>
      </w:r>
      <w:r>
        <w:rPr>
          <w:i/>
          <w:iCs/>
        </w:rPr>
        <w:t xml:space="preserve">Chem. Corp. v. Parsons</w:t>
      </w:r>
      <w:r>
        <w:t xml:space="preserve">, 561 F.2d 671, 674 (7th Cir. 1977) (same).</w:t>
      </w:r>
    </w:p>
  </w:footnote>
  <w:footnote w:id="17">
    <w:p>
      <w:pPr>
        <w:pStyle w:val="FootnoteText"/>
      </w:pPr>
      <w:r>
        <w:rPr>
          <w:rStyle w:val="FootnoteReference"/>
        </w:rPr>
        <w:footnoteRef/>
      </w:r>
      <w:r>
        <w:t xml:space="preserve"> </w:t>
      </w:r>
      <w:r>
        <w:t xml:space="preserve">Twitter users also retain a property interest in their tweets pursuant to Twitter’s terms of service, which is an independent basis for sustaining Harris’s standing to challenge the Subpoena. Memorandum in Support of Twitter’s Motion to Quash at 4.</w:t>
      </w:r>
    </w:p>
  </w:footnote>
  <w:footnote w:id="18">
    <w:p>
      <w:pPr>
        <w:pStyle w:val="FootnoteText"/>
      </w:pPr>
      <w:r>
        <w:rPr>
          <w:rStyle w:val="FootnoteReference"/>
        </w:rPr>
        <w:footnoteRef/>
      </w:r>
      <w:r>
        <w:t xml:space="preserve"> </w:t>
      </w:r>
      <w:r>
        <w:t xml:space="preserve">Twitter has standing to raise the constitutional rights of its users, like Harris, if it chooses to do so. See, e.g.,</w:t>
      </w:r>
      <w:r>
        <w:t xml:space="preserve"> </w:t>
      </w:r>
      <w:r>
        <w:rPr>
          <w:i/>
          <w:iCs/>
        </w:rPr>
        <w:t xml:space="preserve">In re Verizon</w:t>
      </w:r>
      <w:r>
        <w:rPr>
          <w:i/>
          <w:iCs/>
        </w:rPr>
        <w:t xml:space="preserve"> </w:t>
      </w:r>
      <w:r>
        <w:rPr>
          <w:i/>
          <w:iCs/>
        </w:rPr>
        <w:t xml:space="preserve">Internet Servs., Inc.</w:t>
      </w:r>
      <w:r>
        <w:t xml:space="preserve">, 257 F. Supp. 2d 244, 257</w:t>
      </w:r>
      <w:r>
        <w:noBreakHyphen/>
      </w:r>
      <w:r>
        <w:t xml:space="preserve">58 (D.D.C. 2003), rev’d on other grounds,</w:t>
      </w:r>
      <w:r>
        <w:t xml:space="preserve"> </w:t>
      </w:r>
      <w:r>
        <w:rPr>
          <w:i/>
          <w:iCs/>
        </w:rPr>
        <w:t xml:space="preserve">RIAA</w:t>
      </w:r>
      <w:r>
        <w:rPr>
          <w:i/>
          <w:iCs/>
        </w:rPr>
        <w:t xml:space="preserve"> </w:t>
      </w:r>
      <w:r>
        <w:rPr>
          <w:i/>
          <w:iCs/>
        </w:rPr>
        <w:t xml:space="preserve">v. Verizon Internet Servs., Inc.</w:t>
      </w:r>
      <w:r>
        <w:t xml:space="preserve">, 351 F.3d 1229 (D.C. Cir. 2003) (holding that Verizon had standing to raise the rights of its ISP customers in challenge to subpoena it received);</w:t>
      </w:r>
      <w:r>
        <w:t xml:space="preserve"> </w:t>
      </w:r>
      <w:r>
        <w:rPr>
          <w:i/>
          <w:iCs/>
        </w:rPr>
        <w:t xml:space="preserve">McVicker</w:t>
      </w:r>
      <w:r>
        <w:rPr>
          <w:i/>
          <w:iCs/>
        </w:rPr>
        <w:t xml:space="preserve"> </w:t>
      </w:r>
      <w:r>
        <w:rPr>
          <w:i/>
          <w:iCs/>
        </w:rPr>
        <w:t xml:space="preserve">v. King</w:t>
      </w:r>
      <w:r>
        <w:t xml:space="preserve">, 266 F.R.D. 92, 95</w:t>
      </w:r>
      <w:r>
        <w:noBreakHyphen/>
      </w:r>
      <w:r>
        <w:t xml:space="preserve">96 (W.D. Pa. 2010) (same for newspaper seeking to defend rights of individuals posting comments on its website).</w:t>
      </w:r>
    </w:p>
  </w:footnote>
  <w:footnote w:id="19">
    <w:p>
      <w:pPr>
        <w:pStyle w:val="FootnoteText"/>
      </w:pPr>
      <w:r>
        <w:rPr>
          <w:rStyle w:val="FootnoteReference"/>
        </w:rPr>
        <w:footnoteRef/>
      </w:r>
      <w:r>
        <w:t xml:space="preserve"> </w:t>
      </w:r>
      <w:r>
        <w:t xml:space="preserve">Twitter may also enjoy a First Amendment interest as a platform for speech, but the primary First Amendment interest at issue here is the individual Twitter user’s First Amendment rights.</w:t>
      </w:r>
    </w:p>
  </w:footnote>
  <w:footnote w:id="20">
    <w:p>
      <w:pPr>
        <w:pStyle w:val="FootnoteText"/>
      </w:pPr>
      <w:r>
        <w:rPr>
          <w:rStyle w:val="FootnoteReference"/>
        </w:rPr>
        <w:footnoteRef/>
      </w:r>
      <w:r>
        <w:t xml:space="preserve"> </w:t>
      </w:r>
      <w:r>
        <w:t xml:space="preserve">The merits of Harris’s First Amendment and Fourth Amendment claims are separately discussed below. See infra at 23</w:t>
      </w:r>
      <w:r>
        <w:noBreakHyphen/>
      </w:r>
      <w:r>
        <w:t xml:space="preserve">36.</w:t>
      </w:r>
    </w:p>
  </w:footnote>
  <w:footnote w:id="21">
    <w:p>
      <w:pPr>
        <w:pStyle w:val="FootnoteText"/>
      </w:pPr>
      <w:r>
        <w:rPr>
          <w:rStyle w:val="FootnoteReference"/>
        </w:rPr>
        <w:footnoteRef/>
      </w:r>
      <w:r>
        <w:t xml:space="preserve"> </w:t>
      </w:r>
      <w:r>
        <w:t xml:space="preserve">That is especially true for an active Twitter user like Harris. Because Harris published so many tweets each day, and because it is likely that he logged on to Twitter far more often than just when he published his own tweets—e.g., to view others’ tweets—the information the D.A. is demanding will provide a highly detailed, comprehensive index of Harris’s daily communications activities, his locations, and his movements over a prolonged period of time—108 days—regardless of whether they have any connection to the pending disorderly conduct action.</w:t>
      </w:r>
    </w:p>
  </w:footnote>
  <w:footnote w:id="22">
    <w:p>
      <w:pPr>
        <w:pStyle w:val="FootnoteText"/>
      </w:pPr>
      <w:r>
        <w:rPr>
          <w:rStyle w:val="FootnoteReference"/>
        </w:rPr>
        <w:footnoteRef/>
      </w:r>
      <w:r>
        <w:t xml:space="preserve"> </w:t>
      </w:r>
      <w:r>
        <w:t xml:space="preserve">There is also a serious question as to whether the D.A. can even establish that it has a compelling or overriding interest in obtaining the information. Although the D.A. has not expressly articulated its government interest, the D.A. presumably would assert that the information is relevant to the prosecution of Harris and that the prosecution of allegedly unlawful conduct is a compelling government interest. Legitimate as that interest may be, not all legitimate government interests are “compelling” or “overriding” government interests, and there are serious questions as to whether obtaining additional evidence to bolster a prosecution for disorderly conduct—a “violation” that does not even rise to the level of a criminal misdemeanor—can constitute an “overriding and compelling” government interest that is sufficient to justify even a potential infringement of First Amendment rights. The Court need not answer that question here.</w:t>
      </w:r>
    </w:p>
  </w:footnote>
  <w:footnote w:id="23">
    <w:p>
      <w:pPr>
        <w:pStyle w:val="FootnoteText"/>
      </w:pPr>
      <w:r>
        <w:rPr>
          <w:rStyle w:val="FootnoteReference"/>
        </w:rPr>
        <w:footnoteRef/>
      </w:r>
      <w:r>
        <w:t xml:space="preserve"> </w:t>
      </w:r>
      <w:r>
        <w:t xml:space="preserve">The majority in Jones</w:t>
      </w:r>
      <w:r>
        <w:t xml:space="preserve"> </w:t>
      </w:r>
      <w:r>
        <w:t xml:space="preserve">invalidated the installation of the GPS device on the narrow basis that it involved a physical trespass without a warrant. The majority stated that “[s]ituations involving merely the transmission of electronic signals without trespass would remain subject to” the reasonable-expectations-of-privacy analysis.</w:t>
      </w:r>
      <w:r>
        <w:t xml:space="preserve"> </w:t>
      </w:r>
      <w:r>
        <w:rPr>
          <w:i/>
          <w:iCs/>
        </w:rPr>
        <w:t xml:space="preserve">Jones</w:t>
      </w:r>
      <w:r>
        <w:t xml:space="preserve">, 132 S. Ct. at 953.</w:t>
      </w:r>
    </w:p>
  </w:footnote>
  <w:footnote w:id="24">
    <w:p>
      <w:pPr>
        <w:pStyle w:val="FootnoteText"/>
      </w:pPr>
      <w:r>
        <w:rPr>
          <w:rStyle w:val="FootnoteReference"/>
        </w:rPr>
        <w:footnoteRef/>
      </w:r>
      <w:r>
        <w:t xml:space="preserve"> </w:t>
      </w:r>
      <w:r>
        <w:t xml:space="preserve">Although IP address location data is less precise than GPS tracking records, Justice Alito’s acknowledgment of the various location tracking technologies available makes clear that the particular technology at issue does not have to be equally precise to implicate privacy concerns. See</w:t>
      </w:r>
      <w:r>
        <w:t xml:space="preserve"> </w:t>
      </w:r>
      <w:r>
        <w:rPr>
          <w:i/>
          <w:iCs/>
        </w:rPr>
        <w:t xml:space="preserve">Jones</w:t>
      </w:r>
      <w:r>
        <w:t xml:space="preserve">, 132 S. Ct. at 963.</w:t>
      </w:r>
    </w:p>
  </w:footnote>
  <w:footnote w:id="25">
    <w:p>
      <w:pPr>
        <w:pStyle w:val="FootnoteText"/>
      </w:pPr>
      <w:r>
        <w:rPr>
          <w:rStyle w:val="FootnoteReference"/>
        </w:rPr>
        <w:footnoteRef/>
      </w:r>
      <w:r>
        <w:t xml:space="preserve"> </w:t>
      </w:r>
      <w:r>
        <w:t xml:space="preserve">The federal appellate court decisions rejecting reasonable expectations of privacy in IP addresses are distinguishable because they involved law enforcement using a small and discrete number of IP addresses to determine a person’s subscriber information, and they did not implicate concerns about monitoring movement. See, e.g.,</w:t>
      </w:r>
      <w:r>
        <w:t xml:space="preserve"> </w:t>
      </w:r>
      <w:r>
        <w:rPr>
          <w:i/>
          <w:iCs/>
        </w:rPr>
        <w:t xml:space="preserve">United States v. Christie</w:t>
      </w:r>
      <w:r>
        <w:t xml:space="preserve">, 624 F.3d 558, 574 (3d Cir. 2010);</w:t>
      </w:r>
      <w:r>
        <w:t xml:space="preserve"> </w:t>
      </w:r>
      <w:r>
        <w:rPr>
          <w:i/>
          <w:iCs/>
        </w:rPr>
        <w:t xml:space="preserve">United States v. Perrine</w:t>
      </w:r>
      <w:r>
        <w:t xml:space="preserve">, 518 F.3d 1196, 1204</w:t>
      </w:r>
      <w:r>
        <w:noBreakHyphen/>
      </w:r>
      <w:r>
        <w:t xml:space="preserve">05 (10th Cir. 2008);</w:t>
      </w:r>
      <w:r>
        <w:t xml:space="preserve"> </w:t>
      </w:r>
      <w:r>
        <w:rPr>
          <w:i/>
          <w:iCs/>
        </w:rPr>
        <w:t xml:space="preserve">United States v. Forrester</w:t>
      </w:r>
      <w:r>
        <w:t xml:space="preserve">, 512 F.3d 500, 510 (9th Cir. 2008). These cases, as well as a federal district court opinion holding that Twitter users do not have a reasonable expectation of privacy in their IP addresses, see</w:t>
      </w:r>
      <w:r>
        <w:t xml:space="preserve"> </w:t>
      </w:r>
      <w:r>
        <w:rPr>
          <w:i/>
          <w:iCs/>
        </w:rPr>
        <w:t xml:space="preserve">In re Application of U.S. for an Order Pursuant to 18 U.S.C. § 2703(d)</w:t>
      </w:r>
      <w:r>
        <w:t xml:space="preserve">, 830 F.Supp.2d 114,138 (E.D. Va. 2011), were not decided under Weaver</w:t>
      </w:r>
      <w:r>
        <w:t xml:space="preserve"> </w:t>
      </w:r>
      <w:r>
        <w:t xml:space="preserve">and were decided prior to Jones.</w:t>
      </w:r>
      <w:r>
        <w:t xml:space="preserve"> </w:t>
      </w:r>
      <w:r>
        <w:t xml:space="preserve">As discussed in more detail below, see infra at 34</w:t>
      </w:r>
      <w:r>
        <w:noBreakHyphen/>
      </w:r>
      <w:r>
        <w:t xml:space="preserve">36, to the extent necessary, this is an occasion in which it would be appropriate for New York courts to read the state Constitution more broadly than the federal Constitution.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