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KENTUCKY</w:t>
      </w:r>
    </w:p>
    <w:p>
      <w:pPr>
        <w:spacing w:before="0" w:after="0" w:line="276"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144" w:after="0" w:line="276" w:lineRule="exact"/>
        <w:ind w:left="0" w:firstLine="0"/>
        <w:jc w:val="center"/>
      </w:pPr>
      <w:r>
        <w:t xml:space="preserve">CASE</w:t>
      </w:r>
      <w:r>
        <w:t xml:space="preserve"> </w:t>
      </w:r>
      <w:r>
        <w:t xml:space="preserve">NO.</w:t>
      </w:r>
      <w:r>
        <w:t xml:space="preserve"> </w:t>
      </w:r>
      <w:r>
        <w:t xml:space="preserve">2024-CA</w:t>
        <w:noBreakHyphen/>
        <w:t xml:space="preserve">0556-MR</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40"/>
        <w:gridCol w:w="4500"/>
      </w:tblGrid>
      <w:tr>
        <w:trPr>
          <w:cantSplit/>
        </w:trPr>
        <w:tc>
          <w:tcPr>
            <w:tcW w:w="4140" w:type="dxa"/>
          </w:tcPr>
          <w:p>
            <w:pPr>
              <w:spacing w:before="0" w:after="0" w:line="276" w:lineRule="exact"/>
              <w:ind w:left="0" w:firstLine="0"/>
              <w:jc w:val="left"/>
            </w:pPr>
            <w:r>
              <w:t xml:space="preserve">LOUISVILLE</w:t>
            </w:r>
            <w:r>
              <w:t xml:space="preserve"> </w:t>
            </w:r>
            <w:r>
              <w:t xml:space="preserve">METROPOLITAN</w:t>
            </w:r>
            <w:r>
              <w:t xml:space="preserve"> </w:t>
            </w:r>
            <w:r>
              <w:t xml:space="preserve">GOVERNEMNT</w:t>
            </w:r>
          </w:p>
          <w:p>
            <w:pPr>
              <w:spacing w:before="0" w:after="0" w:line="276" w:lineRule="exact"/>
              <w:ind w:left="0" w:firstLine="0"/>
              <w:jc w:val="right"/>
            </w:pPr>
            <w:r>
              <w:rPr>
                <w:b/>
                <w:bCs/>
              </w:rPr>
              <w:t xml:space="preserve">APPELLANT</w:t>
            </w:r>
          </w:p>
          <w:p>
            <w:pPr>
              <w:spacing w:before="0" w:after="0" w:line="276" w:lineRule="exact"/>
              <w:ind w:left="0" w:firstLine="0"/>
              <w:jc w:val="left"/>
            </w:pPr>
            <w:r>
              <w:t xml:space="preserve">V.</w:t>
            </w:r>
          </w:p>
          <w:p>
            <w:pPr>
              <w:spacing w:before="0" w:after="0" w:line="276" w:lineRule="exact"/>
              <w:ind w:left="0" w:firstLine="0"/>
              <w:jc w:val="left"/>
            </w:pPr>
            <w:r>
              <w:t xml:space="preserve">CLINT</w:t>
            </w:r>
            <w:r>
              <w:t xml:space="preserve"> </w:t>
            </w:r>
            <w:r>
              <w:t xml:space="preserve">CHEMICAL</w:t>
            </w:r>
            <w:r>
              <w:t xml:space="preserve"> </w:t>
            </w:r>
            <w:r>
              <w:t xml:space="preserve">AND</w:t>
            </w:r>
            <w:r>
              <w:t xml:space="preserve"> </w:t>
            </w:r>
            <w:r>
              <w:t xml:space="preserve">JANITORIAL</w:t>
            </w:r>
            <w:r>
              <w:t xml:space="preserve"> </w:t>
            </w:r>
            <w:r>
              <w:t xml:space="preserve">SUPPLIES,</w:t>
            </w:r>
            <w:r>
              <w:t xml:space="preserve"> </w:t>
            </w:r>
            <w:r>
              <w:t xml:space="preserve">INC.</w:t>
            </w:r>
          </w:p>
          <w:p>
            <w:pPr>
              <w:spacing w:before="0" w:after="0" w:line="276" w:lineRule="exact"/>
              <w:ind w:left="0" w:firstLine="0"/>
              <w:jc w:val="right"/>
            </w:pPr>
            <w:r>
              <w:rPr>
                <w:b/>
                <w:bCs/>
              </w:rPr>
              <w:t xml:space="preserve">APPELLEE</w:t>
            </w:r>
          </w:p>
        </w:tc>
        <w:tc>
          <w:tcPr>
            <w:tcW w:w="4500" w:type="dxa"/>
            <w:tcMar>
              <w:left w:w="360" w:type="dxa"/>
            </w:tcMar>
          </w:tcPr>
          <w:p>
            <w:pPr>
              <w:spacing w:before="0" w:after="0" w:line="276" w:lineRule="exact"/>
              <w:ind w:left="0" w:firstLine="0"/>
              <w:jc w:val="center"/>
            </w:pPr>
            <w:r>
              <w:t xml:space="preserve">APPEAL</w:t>
            </w:r>
            <w:r>
              <w:t xml:space="preserve"> </w:t>
            </w:r>
            <w:r>
              <w:t xml:space="preserve">FROM</w:t>
            </w:r>
            <w:r>
              <w:t xml:space="preserve"> </w:t>
            </w:r>
            <w:r>
              <w:t xml:space="preserve">JEFFERSON</w:t>
            </w:r>
            <w:r>
              <w:t xml:space="preserve"> </w:t>
            </w:r>
            <w:r>
              <w:t xml:space="preserve">CIRCUIT</w:t>
            </w:r>
            <w:r>
              <w:t xml:space="preserve"> </w:t>
            </w:r>
            <w:r>
              <w:t xml:space="preserve">COURT</w:t>
            </w:r>
          </w:p>
          <w:p>
            <w:pPr>
              <w:spacing w:before="0" w:after="0" w:line="276" w:lineRule="exact"/>
              <w:ind w:left="0" w:firstLine="0"/>
              <w:jc w:val="center"/>
            </w:pPr>
            <w:r>
              <w:t xml:space="preserve">HON.</w:t>
            </w:r>
            <w:r>
              <w:t xml:space="preserve"> </w:t>
            </w:r>
            <w:r>
              <w:t xml:space="preserve">MELISSA</w:t>
            </w:r>
            <w:r>
              <w:t xml:space="preserve"> </w:t>
            </w:r>
            <w:r>
              <w:t xml:space="preserve">LOGAN</w:t>
            </w:r>
            <w:r>
              <w:t xml:space="preserve"> </w:t>
            </w:r>
            <w:r>
              <w:t xml:space="preserve">BELLOWS</w:t>
            </w:r>
          </w:p>
          <w:p>
            <w:pPr>
              <w:spacing w:before="0" w:after="0" w:line="276" w:lineRule="exact"/>
              <w:ind w:left="0" w:firstLine="0"/>
              <w:jc w:val="center"/>
            </w:pPr>
            <w:r>
              <w:t xml:space="preserve">CIVIL</w:t>
            </w:r>
            <w:r>
              <w:t xml:space="preserve"> </w:t>
            </w:r>
            <w:r>
              <w:t xml:space="preserve">ACTION</w:t>
            </w:r>
            <w:r>
              <w:t xml:space="preserve"> </w:t>
            </w:r>
            <w:r>
              <w:t xml:space="preserve">NO.</w:t>
            </w:r>
            <w:r>
              <w:t xml:space="preserve"> </w:t>
            </w:r>
            <w:r>
              <w:t xml:space="preserve">21-CI</w:t>
              <w:noBreakHyphen/>
              <w:t xml:space="preserve">006281</w:t>
            </w:r>
          </w:p>
        </w:tc>
      </w:tr>
    </w:tbl>
    <w:p>
      <w:pPr>
        <w:pBdr>
          <w:top w:val="single" w:sz="6" w:space="0" w:color="000000"/>
        </w:pBdr>
        <w:spacing w:before="360" w:after="168" w:line="1" w:lineRule="exact"/>
      </w:pPr>
    </w:p>
    <w:p>
      <w:pPr>
        <w:spacing w:before="0"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FOR</w:t>
      </w:r>
      <w:r>
        <w:rPr>
          <w:b/>
          <w:bCs/>
        </w:rPr>
        <w:t xml:space="preserve"> </w:t>
      </w:r>
      <w:r>
        <w:rPr>
          <w:b/>
          <w:bCs/>
        </w:rPr>
        <w:t xml:space="preserve">APPELLANT</w:t>
      </w:r>
    </w:p>
    <w:p>
      <w:pPr>
        <w:spacing w:before="0" w:after="0" w:line="276" w:lineRule="exact"/>
        <w:ind w:left="0" w:firstLine="0"/>
        <w:jc w:val="center"/>
      </w:pPr>
      <w:r>
        <w:rPr>
          <w:b/>
          <w:bCs/>
        </w:rPr>
        <w:t xml:space="preserve">LOUISVILLE/​JEFFERSON</w:t>
      </w:r>
      <w:r>
        <w:rPr>
          <w:b/>
          <w:bCs/>
        </w:rPr>
        <w:t xml:space="preserve"> </w:t>
      </w:r>
      <w:r>
        <w:rPr>
          <w:b/>
          <w:bCs/>
        </w:rPr>
        <w:t xml:space="preserve">COUNTY</w:t>
      </w:r>
      <w:r>
        <w:rPr>
          <w:b/>
          <w:bCs/>
        </w:rPr>
        <w:t xml:space="preserve"> </w:t>
      </w:r>
      <w:r>
        <w:rPr>
          <w:b/>
          <w:bCs/>
        </w:rPr>
        <w:t xml:space="preserve">METROPOLITAN</w:t>
      </w:r>
      <w:r>
        <w:rPr>
          <w:b/>
          <w:bCs/>
        </w:rPr>
        <w:t xml:space="preserve"> </w:t>
      </w:r>
      <w:r>
        <w:rPr>
          <w:b/>
          <w:bCs/>
        </w:rPr>
        <w:t xml:space="preserve">GOVERNMENT</w:t>
      </w:r>
    </w:p>
    <w:p>
      <w:pPr>
        <w:pBdr>
          <w:top w:val="single" w:sz="6" w:space="0" w:color="000000"/>
        </w:pBdr>
        <w:spacing w:before="168" w:after="0" w:line="1" w:lineRule="exact"/>
      </w:pPr>
    </w:p>
    <w:p>
      <w:pPr>
        <w:spacing w:before="360" w:after="120" w:line="276" w:lineRule="exact"/>
        <w:ind w:left="0" w:firstLine="0"/>
        <w:jc w:val="left"/>
      </w:pPr>
      <w:r>
        <w:t xml:space="preserve">Respectfully</w:t>
      </w:r>
      <w:r>
        <w:t xml:space="preserve"> </w:t>
      </w:r>
      <w:r>
        <w:t xml:space="preserve">submitted,</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4140"/>
        <w:gridCol w:w="4500"/>
      </w:tblGrid>
      <w:tr>
        <w:trPr>
          <w:cantSplit/>
        </w:trPr>
        <w:tc>
          <w:tcPr>
            <w:tcW w:w="4140" w:type="dxa"/>
          </w:tcPr>
          <w:p>
            <w:pPr>
              <w:spacing w:before="0" w:after="0" w:line="276" w:lineRule="exact"/>
              <w:ind w:left="0" w:firstLine="0"/>
              <w:jc w:val="left"/>
            </w:pPr>
            <w:r>
              <w:rPr>
                <w:b/>
                <w:bCs/>
              </w:rPr>
              <w:t xml:space="preserve">MICHAEL</w:t>
            </w:r>
            <w:r>
              <w:rPr>
                <w:b/>
                <w:bCs/>
              </w:rPr>
              <w:t xml:space="preserve"> </w:t>
            </w:r>
            <w:r>
              <w:rPr>
                <w:b/>
                <w:bCs/>
              </w:rPr>
              <w:t xml:space="preserve">J.</w:t>
            </w:r>
            <w:r>
              <w:rPr>
                <w:b/>
                <w:bCs/>
              </w:rPr>
              <w:t xml:space="preserve"> </w:t>
            </w:r>
            <w:r>
              <w:rPr>
                <w:b/>
                <w:bCs/>
              </w:rPr>
              <w:t xml:space="preserve">O’CONNELL</w:t>
            </w:r>
          </w:p>
          <w:p>
            <w:pPr>
              <w:spacing w:before="0" w:after="0" w:line="276" w:lineRule="exact"/>
              <w:ind w:left="0" w:firstLine="0"/>
              <w:jc w:val="left"/>
            </w:pPr>
            <w:r>
              <w:rPr>
                <w:b/>
                <w:bCs/>
              </w:rPr>
              <w:t xml:space="preserve">JEFFERSON</w:t>
            </w:r>
            <w:r>
              <w:rPr>
                <w:b/>
                <w:bCs/>
              </w:rPr>
              <w:t xml:space="preserve"> </w:t>
            </w:r>
            <w:r>
              <w:rPr>
                <w:b/>
                <w:bCs/>
              </w:rPr>
              <w:t xml:space="preserve">COUNTY</w:t>
            </w:r>
            <w:r>
              <w:rPr>
                <w:b/>
                <w:bCs/>
              </w:rPr>
              <w:t xml:space="preserve"> </w:t>
            </w:r>
            <w:r>
              <w:rPr>
                <w:b/>
                <w:bCs/>
              </w:rPr>
              <w:t xml:space="preserve">ATTORNEY</w:t>
            </w:r>
          </w:p>
        </w:tc>
        <w:tc>
          <w:tcPr>
            <w:tcW w:w="4500" w:type="dxa"/>
            <w:tcMar>
              <w:left w:w="360" w:type="dxa"/>
            </w:tcMar>
          </w:tcPr>
          <w:p>
            <w:pPr>
              <w:spacing w:before="0" w:after="0" w:line="276" w:lineRule="exact"/>
              <w:ind w:left="0" w:firstLine="0"/>
              <w:jc w:val="left"/>
            </w:pPr>
            <w:r>
              <w:rPr>
                <w:b/>
                <w:bCs/>
              </w:rPr>
              <w:t xml:space="preserve">Richard</w:t>
            </w:r>
            <w:r>
              <w:rPr>
                <w:b/>
                <w:bCs/>
              </w:rPr>
              <w:t xml:space="preserve"> </w:t>
            </w:r>
            <w:r>
              <w:rPr>
                <w:b/>
                <w:bCs/>
              </w:rPr>
              <w:t xml:space="preserve">Elder</w:t>
            </w:r>
          </w:p>
          <w:p>
            <w:pPr>
              <w:spacing w:before="0" w:after="0" w:line="276" w:lineRule="exact"/>
              <w:ind w:left="0" w:firstLine="0"/>
              <w:jc w:val="left"/>
            </w:pPr>
            <w:r>
              <w:rPr>
                <w:b/>
                <w:bCs/>
              </w:rPr>
              <w:t xml:space="preserve">John</w:t>
            </w:r>
            <w:r>
              <w:rPr>
                <w:b/>
                <w:bCs/>
              </w:rPr>
              <w:t xml:space="preserve"> </w:t>
            </w:r>
            <w:r>
              <w:rPr>
                <w:b/>
                <w:bCs/>
              </w:rPr>
              <w:t xml:space="preserve">S.</w:t>
            </w:r>
            <w:r>
              <w:rPr>
                <w:b/>
                <w:bCs/>
              </w:rPr>
              <w:t xml:space="preserve"> </w:t>
            </w:r>
            <w:r>
              <w:rPr>
                <w:b/>
                <w:bCs/>
              </w:rPr>
              <w:t xml:space="preserve">Harrison</w:t>
            </w:r>
          </w:p>
          <w:p>
            <w:pPr>
              <w:spacing w:before="0" w:after="0" w:line="276" w:lineRule="exact"/>
              <w:ind w:left="0" w:firstLine="0"/>
              <w:jc w:val="left"/>
            </w:pPr>
            <w:r>
              <w:t xml:space="preserve">Assistant</w:t>
            </w:r>
            <w:r>
              <w:t xml:space="preserve"> </w:t>
            </w:r>
            <w:r>
              <w:t xml:space="preserve">Jefferson</w:t>
            </w:r>
            <w:r>
              <w:t xml:space="preserve"> </w:t>
            </w:r>
            <w:r>
              <w:t xml:space="preserve">County</w:t>
            </w:r>
            <w:r>
              <w:t xml:space="preserve"> </w:t>
            </w:r>
            <w:r>
              <w:t xml:space="preserve">Attorneys</w:t>
            </w:r>
          </w:p>
          <w:p>
            <w:pPr>
              <w:spacing w:before="0" w:after="0" w:line="276" w:lineRule="exact"/>
              <w:ind w:left="0" w:firstLine="0"/>
              <w:jc w:val="left"/>
            </w:pPr>
            <w:r>
              <w:t xml:space="preserve">First</w:t>
            </w:r>
            <w:r>
              <w:t xml:space="preserve"> </w:t>
            </w:r>
            <w:r>
              <w:t xml:space="preserve">Trust</w:t>
            </w:r>
            <w:r>
              <w:t xml:space="preserve"> </w:t>
            </w:r>
            <w:r>
              <w:t xml:space="preserve">Centre</w:t>
            </w:r>
          </w:p>
          <w:p>
            <w:pPr>
              <w:spacing w:before="0" w:after="0" w:line="276" w:lineRule="exact"/>
              <w:ind w:left="0" w:firstLine="0"/>
              <w:jc w:val="left"/>
            </w:pPr>
            <w:r>
              <w:t xml:space="preserve">200</w:t>
            </w:r>
            <w:r>
              <w:t xml:space="preserve"> </w:t>
            </w:r>
            <w:r>
              <w:t xml:space="preserve">South</w:t>
            </w:r>
            <w:r>
              <w:t xml:space="preserve"> </w:t>
            </w:r>
            <w:r>
              <w:t xml:space="preserve">Fifth</w:t>
            </w:r>
            <w:r>
              <w:t xml:space="preserve"> </w:t>
            </w:r>
            <w:r>
              <w:t xml:space="preserve">Street,</w:t>
            </w:r>
            <w:r>
              <w:t xml:space="preserve"> </w:t>
            </w:r>
            <w:r>
              <w:t xml:space="preserve">Suite</w:t>
            </w:r>
            <w:r>
              <w:t xml:space="preserve"> </w:t>
            </w:r>
            <w:r>
              <w:t xml:space="preserve">300N</w:t>
            </w:r>
          </w:p>
          <w:p>
            <w:pPr>
              <w:spacing w:before="0" w:after="0" w:line="276" w:lineRule="exact"/>
              <w:ind w:left="0" w:firstLine="0"/>
              <w:jc w:val="left"/>
            </w:pPr>
            <w:r>
              <w:t xml:space="preserve">Louisville,</w:t>
            </w:r>
            <w:r>
              <w:t xml:space="preserve"> </w:t>
            </w:r>
            <w:r>
              <w:t xml:space="preserve">KY</w:t>
            </w:r>
            <w:r>
              <w:t xml:space="preserve"> </w:t>
            </w:r>
            <w:r>
              <w:t xml:space="preserve">40202</w:t>
            </w:r>
          </w:p>
          <w:p>
            <w:pPr>
              <w:spacing w:before="0" w:after="0" w:line="276" w:lineRule="exact"/>
              <w:ind w:left="0" w:firstLine="0"/>
              <w:jc w:val="left"/>
            </w:pPr>
            <w:r>
              <w:t xml:space="preserve">(502)</w:t>
            </w:r>
            <w:r>
              <w:t xml:space="preserve"> </w:t>
            </w:r>
            <w:r>
              <w:t xml:space="preserve">574</w:t>
              <w:noBreakHyphen/>
              <w:t xml:space="preserve">3225</w:t>
            </w:r>
          </w:p>
          <w:p>
            <w:pPr>
              <w:spacing w:before="0" w:after="0" w:line="276" w:lineRule="exact"/>
              <w:ind w:left="0" w:firstLine="0"/>
              <w:jc w:val="left"/>
            </w:pPr>
            <w:r>
              <w:t xml:space="preserve">richard.elder@louisvilleky.gov</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Louisville/​Jefferson</w:t>
            </w:r>
            <w:r>
              <w:rPr>
                <w:i/>
                <w:iCs/>
              </w:rPr>
              <w:t xml:space="preserve"> </w:t>
            </w:r>
            <w:r>
              <w:rPr>
                <w:i/>
                <w:iCs/>
              </w:rPr>
              <w:t xml:space="preserve">County</w:t>
            </w:r>
            <w:r>
              <w:rPr>
                <w:i/>
                <w:iCs/>
              </w:rPr>
              <w:t xml:space="preserve"> </w:t>
            </w:r>
            <w:r>
              <w:rPr>
                <w:i/>
                <w:iCs/>
              </w:rPr>
              <w:t xml:space="preserve">Metropolitan</w:t>
            </w:r>
            <w:r>
              <w:rPr>
                <w:i/>
                <w:iCs/>
              </w:rPr>
              <w:t xml:space="preserve"> </w:t>
            </w:r>
            <w:r>
              <w:rPr>
                <w:i/>
                <w:iCs/>
              </w:rPr>
              <w:t xml:space="preserve">Government</w:t>
            </w:r>
          </w:p>
        </w:tc>
      </w:tr>
    </w:tbl>
    <w:p>
      <w:pPr>
        <w:spacing w:before="0" w:after="0" w:line="36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144"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96" w:line="276"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15</w:t>
            </w:r>
            <w:r>
              <w:t xml:space="preserve"> </w:t>
            </w:r>
            <w:r>
              <w:t xml:space="preserve">day</w:t>
            </w:r>
            <w:r>
              <w:t xml:space="preserve"> </w:t>
            </w:r>
            <w:r>
              <w:t xml:space="preserve">of</w:t>
            </w:r>
            <w:r>
              <w:t xml:space="preserve"> </w:t>
            </w:r>
            <w:r>
              <w:t xml:space="preserve">October,</w:t>
            </w:r>
            <w:r>
              <w:t xml:space="preserve"> </w:t>
            </w:r>
            <w:r>
              <w:t xml:space="preserve">2024,</w:t>
            </w:r>
            <w:r>
              <w:t xml:space="preserve"> </w:t>
            </w:r>
            <w:r>
              <w:t xml:space="preserve">Appellant</w:t>
            </w:r>
            <w:r>
              <w:t xml:space="preserve"> </w:t>
            </w:r>
            <w:r>
              <w:t xml:space="preserve">Louisville/​Jefferson</w:t>
            </w:r>
            <w:r>
              <w:t xml:space="preserve"> </w:t>
            </w:r>
            <w:r>
              <w:t xml:space="preserve">County</w:t>
            </w:r>
            <w:r>
              <w:t xml:space="preserve"> </w:t>
            </w:r>
            <w:r>
              <w:t xml:space="preserve">Metropolitan</w:t>
            </w:r>
            <w:r>
              <w:t xml:space="preserve"> </w:t>
            </w:r>
            <w:r>
              <w:t xml:space="preserve">Government’s</w:t>
            </w:r>
            <w:r>
              <w:t xml:space="preserve"> </w:t>
            </w:r>
            <w:r>
              <w:t xml:space="preserve">Reply</w:t>
            </w:r>
            <w:r>
              <w:t xml:space="preserve"> </w:t>
            </w:r>
            <w:r>
              <w:t xml:space="preserve">Brief</w:t>
            </w:r>
            <w:r>
              <w:t xml:space="preserve"> </w:t>
            </w:r>
            <w:r>
              <w:t xml:space="preserve">was</w:t>
            </w:r>
            <w:r>
              <w:t xml:space="preserve"> </w:t>
            </w:r>
            <w:r>
              <w:t xml:space="preserve">filed</w:t>
            </w:r>
            <w:r>
              <w:t xml:space="preserve"> </w:t>
            </w:r>
            <w:r>
              <w:t xml:space="preserve">via</w:t>
            </w:r>
            <w:r>
              <w:t xml:space="preserve"> </w:t>
            </w:r>
            <w:r>
              <w:t xml:space="preserve">the</w:t>
            </w:r>
            <w:r>
              <w:t xml:space="preserve"> </w:t>
            </w:r>
            <w:r>
              <w:t xml:space="preserve">Electronic</w:t>
            </w:r>
            <w:r>
              <w:t xml:space="preserve"> </w:t>
            </w:r>
            <w:r>
              <w:t xml:space="preserve">Filing</w:t>
            </w:r>
            <w:r>
              <w:t xml:space="preserve"> </w:t>
            </w:r>
            <w:r>
              <w:t xml:space="preserve">System</w:t>
            </w:r>
            <w:r>
              <w:t xml:space="preserve"> </w:t>
            </w:r>
            <w:r>
              <w:t xml:space="preserve">to</w:t>
            </w:r>
            <w:r>
              <w:t xml:space="preserve"> </w:t>
            </w:r>
            <w:r>
              <w:t xml:space="preserve">the</w:t>
            </w:r>
            <w:r>
              <w:t xml:space="preserve"> </w:t>
            </w:r>
            <w:r>
              <w:t xml:space="preserve">Commonwealth</w:t>
            </w:r>
            <w:r>
              <w:t xml:space="preserve"> </w:t>
            </w:r>
            <w:r>
              <w:t xml:space="preserve">of</w:t>
            </w:r>
            <w:r>
              <w:t xml:space="preserve"> </w:t>
            </w:r>
            <w:r>
              <w:t xml:space="preserve">Kentucky</w:t>
            </w:r>
            <w:r>
              <w:t xml:space="preserve"> </w:t>
            </w:r>
            <w:r>
              <w:t xml:space="preserve">Court</w:t>
            </w:r>
            <w:r>
              <w:t xml:space="preserve"> </w:t>
            </w:r>
            <w:r>
              <w:t xml:space="preserve">of</w:t>
            </w:r>
            <w:r>
              <w:t xml:space="preserve"> </w:t>
            </w:r>
            <w:r>
              <w:t xml:space="preserve">Appeals,</w:t>
            </w:r>
            <w:r>
              <w:t xml:space="preserve"> </w:t>
            </w:r>
            <w:r>
              <w:t xml:space="preserve">Kate</w:t>
            </w:r>
            <w:r>
              <w:t xml:space="preserve"> </w:t>
            </w:r>
            <w:r>
              <w:t xml:space="preserve">Morgan,</w:t>
            </w:r>
            <w:r>
              <w:t xml:space="preserve"> </w:t>
            </w:r>
            <w:r>
              <w:t xml:space="preserve">Clerk,</w:t>
            </w:r>
            <w:r>
              <w:t xml:space="preserve"> </w:t>
            </w:r>
            <w:r>
              <w:t xml:space="preserve">669</w:t>
            </w:r>
            <w:r>
              <w:t xml:space="preserve"> </w:t>
            </w:r>
            <w:r>
              <w:t xml:space="preserve">Chamberlain</w:t>
            </w:r>
            <w:r>
              <w:t xml:space="preserve"> </w:t>
            </w:r>
            <w:r>
              <w:t xml:space="preserve">Ave.,</w:t>
            </w:r>
            <w:r>
              <w:t xml:space="preserve"> </w:t>
            </w:r>
            <w:r>
              <w:t xml:space="preserve">Suite</w:t>
            </w:r>
            <w:r>
              <w:t xml:space="preserve"> </w:t>
            </w:r>
            <w:r>
              <w:t xml:space="preserve">B,</w:t>
            </w:r>
            <w:r>
              <w:t xml:space="preserve"> </w:t>
            </w:r>
            <w:r>
              <w:t xml:space="preserve">Frankfort,</w:t>
            </w:r>
            <w:r>
              <w:t xml:space="preserve"> </w:t>
            </w:r>
            <w:r>
              <w:t xml:space="preserve">KY</w:t>
            </w:r>
            <w:r>
              <w:t xml:space="preserve"> </w:t>
            </w:r>
            <w:r>
              <w:t xml:space="preserve">40601;</w:t>
            </w:r>
            <w:r>
              <w:t xml:space="preserve"> </w:t>
            </w:r>
            <w:r>
              <w:t xml:space="preserve">and</w:t>
            </w:r>
            <w:r>
              <w:t xml:space="preserve"> </w:t>
            </w:r>
            <w:r>
              <w:t xml:space="preserve">copies</w:t>
            </w:r>
            <w:r>
              <w:t xml:space="preserve"> </w:t>
            </w:r>
            <w:r>
              <w:t xml:space="preserve">were</w:t>
            </w:r>
            <w:r>
              <w:t xml:space="preserve"> </w:t>
            </w:r>
            <w:r>
              <w:t xml:space="preserve">electronically</w:t>
            </w:r>
            <w:r>
              <w:t xml:space="preserve"> </w:t>
            </w:r>
            <w:r>
              <w:t xml:space="preserve">served</w:t>
            </w:r>
            <w:r>
              <w:t xml:space="preserve"> </w:t>
            </w:r>
            <w:r>
              <w:t xml:space="preserve">and/​or</w:t>
            </w:r>
            <w:r>
              <w:t xml:space="preserve"> </w:t>
            </w:r>
            <w:r>
              <w:t xml:space="preserve">mailed,</w:t>
            </w:r>
            <w:r>
              <w:t xml:space="preserve"> </w:t>
            </w:r>
            <w:r>
              <w:t xml:space="preserve">via</w:t>
            </w:r>
            <w:r>
              <w:t xml:space="preserve"> </w:t>
            </w:r>
            <w:r>
              <w:t xml:space="preserve">First</w:t>
            </w:r>
            <w:r>
              <w:t xml:space="preserve"> </w:t>
            </w:r>
            <w:r>
              <w:t xml:space="preserve">Class</w:t>
            </w:r>
            <w:r>
              <w:t xml:space="preserve"> </w:t>
            </w:r>
            <w:r>
              <w:t xml:space="preserve">Mail,</w:t>
            </w:r>
            <w:r>
              <w:t xml:space="preserve"> </w:t>
            </w:r>
            <w:r>
              <w:t xml:space="preserve">postage</w:t>
            </w:r>
            <w:r>
              <w:t xml:space="preserve"> </w:t>
            </w:r>
            <w:r>
              <w:t xml:space="preserve">prepaid</w:t>
            </w:r>
            <w:r>
              <w:t xml:space="preserve"> </w:t>
            </w:r>
            <w:r>
              <w:t xml:space="preserve">upon:</w:t>
            </w:r>
            <w:r>
              <w:t xml:space="preserve"> </w:t>
            </w:r>
            <w:r>
              <w:t xml:space="preserve">Hon.</w:t>
            </w:r>
            <w:r>
              <w:t xml:space="preserve"> </w:t>
            </w:r>
            <w:r>
              <w:t xml:space="preserve">Melissa</w:t>
            </w:r>
            <w:r>
              <w:t xml:space="preserve"> </w:t>
            </w:r>
            <w:r>
              <w:t xml:space="preserve">Logan</w:t>
            </w:r>
            <w:r>
              <w:t xml:space="preserve"> </w:t>
            </w:r>
            <w:r>
              <w:t xml:space="preserve">Bellows,</w:t>
            </w:r>
            <w:r>
              <w:t xml:space="preserve"> </w:t>
            </w:r>
            <w:r>
              <w:t xml:space="preserve">Judge,</w:t>
            </w:r>
            <w:r>
              <w:t xml:space="preserve"> </w:t>
            </w:r>
            <w:r>
              <w:t xml:space="preserve">Jefferson</w:t>
            </w:r>
            <w:r>
              <w:t xml:space="preserve"> </w:t>
            </w:r>
            <w:r>
              <w:t xml:space="preserve">Circuit</w:t>
            </w:r>
            <w:r>
              <w:t xml:space="preserve"> </w:t>
            </w:r>
            <w:r>
              <w:t xml:space="preserve">Court,</w:t>
            </w:r>
            <w:r>
              <w:t xml:space="preserve"> </w:t>
            </w:r>
            <w:r>
              <w:t xml:space="preserve">Division</w:t>
            </w:r>
            <w:r>
              <w:t xml:space="preserve"> </w:t>
            </w:r>
            <w:r>
              <w:t xml:space="preserve">Seven,</w:t>
            </w:r>
            <w:r>
              <w:t xml:space="preserve"> </w:t>
            </w:r>
            <w:r>
              <w:t xml:space="preserve">700</w:t>
            </w:r>
            <w:r>
              <w:t xml:space="preserve"> </w:t>
            </w:r>
            <w:r>
              <w:t xml:space="preserve">West</w:t>
            </w:r>
            <w:r>
              <w:t xml:space="preserve"> </w:t>
            </w:r>
            <w:r>
              <w:t xml:space="preserve">Jefferson</w:t>
            </w:r>
            <w:r>
              <w:t xml:space="preserve"> </w:t>
            </w:r>
            <w:r>
              <w:t xml:space="preserve">Street,</w:t>
            </w:r>
            <w:r>
              <w:t xml:space="preserve"> </w:t>
            </w:r>
            <w:r>
              <w:t xml:space="preserve">Louisville,</w:t>
            </w:r>
            <w:r>
              <w:t xml:space="preserve"> </w:t>
            </w:r>
            <w:r>
              <w:t xml:space="preserve">KY</w:t>
            </w:r>
            <w:r>
              <w:t xml:space="preserve"> </w:t>
            </w:r>
            <w:r>
              <w:t xml:space="preserve">40202;</w:t>
            </w:r>
            <w:r>
              <w:t xml:space="preserve"> </w:t>
            </w:r>
            <w:r>
              <w:t xml:space="preserve">and</w:t>
            </w:r>
            <w:r>
              <w:t xml:space="preserve"> </w:t>
            </w:r>
            <w:r>
              <w:t xml:space="preserve">Hon.</w:t>
            </w:r>
            <w:r>
              <w:t xml:space="preserve"> </w:t>
            </w:r>
            <w:r>
              <w:t xml:space="preserve">Oliver</w:t>
            </w:r>
            <w:r>
              <w:t xml:space="preserve"> </w:t>
            </w:r>
            <w:r>
              <w:t xml:space="preserve">H.</w:t>
            </w:r>
            <w:r>
              <w:t xml:space="preserve"> </w:t>
            </w:r>
            <w:r>
              <w:t xml:space="preserve">Barber,</w:t>
            </w:r>
            <w:r>
              <w:t xml:space="preserve"> </w:t>
            </w:r>
            <w:r>
              <w:t xml:space="preserve">Jr.,</w:t>
            </w:r>
            <w:r>
              <w:t xml:space="preserve"> </w:t>
            </w:r>
            <w:r>
              <w:t xml:space="preserve">802</w:t>
            </w:r>
            <w:r>
              <w:t xml:space="preserve"> </w:t>
            </w:r>
            <w:r>
              <w:t xml:space="preserve">Lily</w:t>
            </w:r>
            <w:r>
              <w:t xml:space="preserve"> </w:t>
            </w:r>
            <w:r>
              <w:t xml:space="preserve">Creek</w:t>
            </w:r>
            <w:r>
              <w:t xml:space="preserve"> </w:t>
            </w:r>
            <w:r>
              <w:t xml:space="preserve">Rd.,</w:t>
            </w:r>
            <w:r>
              <w:t xml:space="preserve"> </w:t>
            </w:r>
            <w:r>
              <w:t xml:space="preserve">Louisville</w:t>
            </w:r>
            <w:r>
              <w:t xml:space="preserve"> </w:t>
            </w:r>
            <w:r>
              <w:t xml:space="preserve">KY,</w:t>
            </w:r>
            <w:r>
              <w:t xml:space="preserve"> </w:t>
            </w:r>
            <w:r>
              <w:t xml:space="preserve">40299;</w:t>
            </w:r>
            <w:r>
              <w:t xml:space="preserve"> </w:t>
            </w:r>
            <w:r>
              <w:t xml:space="preserve">I</w:t>
            </w:r>
            <w:r>
              <w:t xml:space="preserve"> </w:t>
            </w:r>
            <w:r>
              <w:t xml:space="preserve">hereby</w:t>
            </w:r>
            <w:r>
              <w:t xml:space="preserve"> </w:t>
            </w:r>
            <w:r>
              <w:t xml:space="preserve">further</w:t>
            </w:r>
            <w:r>
              <w:t xml:space="preserve"> </w:t>
            </w:r>
            <w:r>
              <w:t xml:space="preserve">certify</w:t>
            </w:r>
            <w:r>
              <w:t xml:space="preserve"> </w:t>
            </w:r>
            <w:r>
              <w:t xml:space="preserve">that</w:t>
            </w:r>
            <w:r>
              <w:t xml:space="preserve"> </w:t>
            </w:r>
            <w:r>
              <w:t xml:space="preserve">the</w:t>
            </w:r>
            <w:r>
              <w:t xml:space="preserve"> </w:t>
            </w:r>
            <w:r>
              <w:t xml:space="preserve">record</w:t>
            </w:r>
            <w:r>
              <w:t xml:space="preserve"> </w:t>
            </w:r>
            <w:r>
              <w:t xml:space="preserve">on</w:t>
            </w:r>
            <w:r>
              <w:t xml:space="preserve"> </w:t>
            </w:r>
            <w:r>
              <w:t xml:space="preserve">appeal</w:t>
            </w:r>
            <w:r>
              <w:t xml:space="preserve"> </w:t>
            </w:r>
            <w:r>
              <w:t xml:space="preserve">has</w:t>
            </w:r>
            <w:r>
              <w:t xml:space="preserve"> </w:t>
            </w:r>
            <w:r>
              <w:t xml:space="preserve">been</w:t>
            </w:r>
            <w:r>
              <w:t xml:space="preserve"> </w:t>
            </w:r>
            <w:r>
              <w:t xml:space="preserve">returned</w:t>
            </w:r>
            <w:r>
              <w:t xml:space="preserve"> </w:t>
            </w:r>
            <w:r>
              <w:t xml:space="preserve">to</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Jefferson</w:t>
            </w:r>
            <w:r>
              <w:t xml:space="preserve"> </w:t>
            </w:r>
            <w:r>
              <w:t xml:space="preserve">Circuit</w:t>
            </w:r>
            <w:r>
              <w:t xml:space="preserve"> </w:t>
            </w:r>
            <w:r>
              <w:t xml:space="preserve">Court.</w:t>
            </w:r>
          </w:p>
          <w:p>
            <w:pPr>
              <w:spacing w:before="192" w:after="0" w:line="276" w:lineRule="exact"/>
              <w:ind w:left="4320" w:firstLine="0"/>
              <w:jc w:val="left"/>
            </w:pPr>
            <w:r>
              <w:rPr>
                <w:u w:val="single"/>
              </w:rPr>
              <w:t xml:space="preserve">/s/</w:t>
            </w:r>
            <w:r>
              <w:rPr>
                <w:u w:val="single"/>
              </w:rPr>
              <w:t xml:space="preserve"> </w:t>
            </w:r>
            <w:r>
              <w:rPr>
                <w:i/>
                <w:iCs/>
                <w:u w:val="single"/>
              </w:rPr>
              <w:t xml:space="preserve">Richard</w:t>
            </w:r>
            <w:r>
              <w:rPr>
                <w:i/>
                <w:iCs/>
                <w:u w:val="single"/>
              </w:rPr>
              <w:t xml:space="preserve"> </w:t>
            </w:r>
            <w:r>
              <w:rPr>
                <w:i/>
                <w:iCs/>
                <w:u w:val="single"/>
              </w:rPr>
              <w:t xml:space="preserve">Elder</w:t>
            </w:r>
          </w:p>
          <w:p>
            <w:pPr>
              <w:spacing w:before="0" w:after="0" w:line="276" w:lineRule="exact"/>
              <w:ind w:left="4320" w:firstLine="0"/>
              <w:jc w:val="left"/>
            </w:pPr>
            <w:r>
              <w:t xml:space="preserve">Richard</w:t>
            </w:r>
            <w:r>
              <w:t xml:space="preserve"> </w:t>
            </w:r>
            <w:r>
              <w:t xml:space="preserve">Elder</w:t>
            </w:r>
          </w:p>
        </w:tc>
      </w:tr>
    </w:tbl>
    <w:p>
      <w:pPr>
        <w:spacing w:before="0" w:after="0" w:line="1" w:lineRule="exact"/>
        <w:sectPr>
          <w:footerReference w:type="default" r:id="rIdXdNone"/>
          <w:pgSz w:w="12240" w:h="15840"/>
          <w:pgMar w:top="1440" w:right="1440" w:bottom="1440" w:left="2160" w:header="720" w:footer="732" w:gutter="0"/>
        </w:sectPr>
      </w:pPr>
    </w:p>
    <w:p>
      <w:pPr>
        <w:pageBreakBefore/>
        <w:spacing w:before="0" w:after="0" w:line="1" w:lineRule="exact"/>
      </w:pPr>
    </w:p>
    <w:p>
      <w:pPr>
        <w:keepNext/>
        <w:keepLines/>
        <w:spacing w:before="0" w:after="168"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8640"/>
        </w:tabs>
        <w:spacing w:before="168" w:after="0" w:line="276" w:lineRule="exact"/>
        <w:ind w:left="360" w:right="1120" w:hanging="360"/>
      </w:pPr>
      <w:r>
        <w:rPr>
          <w:i/>
          <w:iCs/>
        </w:rPr>
        <w:t xml:space="preserve">Campbell</w:t>
      </w:r>
      <w:r>
        <w:rPr>
          <w:i/>
          <w:iCs/>
        </w:rPr>
        <w:t xml:space="preserve"> </w:t>
      </w:r>
      <w:r>
        <w:rPr>
          <w:i/>
          <w:iCs/>
        </w:rPr>
        <w:t xml:space="preserve">v.</w:t>
      </w:r>
      <w:r>
        <w:rPr>
          <w:i/>
          <w:iCs/>
        </w:rPr>
        <w:t xml:space="preserve"> </w:t>
      </w:r>
      <w:r>
        <w:rPr>
          <w:i/>
          <w:iCs/>
        </w:rPr>
        <w:t xml:space="preserve">University</w:t>
      </w:r>
      <w:r>
        <w:rPr>
          <w:i/>
          <w:iCs/>
        </w:rPr>
        <w:t xml:space="preserve"> </w:t>
      </w:r>
      <w:r>
        <w:rPr>
          <w:i/>
          <w:iCs/>
        </w:rPr>
        <w:t xml:space="preserve">of</w:t>
      </w:r>
      <w:r>
        <w:rPr>
          <w:i/>
          <w:iCs/>
        </w:rPr>
        <w:t xml:space="preserve"> </w:t>
      </w:r>
      <w:r>
        <w:rPr>
          <w:i/>
          <w:iCs/>
        </w:rPr>
        <w:t xml:space="preserve">Louisville</w:t>
      </w:r>
      <w:r>
        <w:t xml:space="preserve">,</w:t>
      </w:r>
      <w:r>
        <w:t xml:space="preserve"> </w:t>
      </w:r>
      <w:r>
        <w:t xml:space="preserve">862</w:t>
      </w:r>
      <w:r>
        <w:t xml:space="preserve"> </w:t>
      </w:r>
      <w:r>
        <w:t xml:space="preserve">F.</w:t>
      </w:r>
      <w:r>
        <w:t xml:space="preserve"> </w:t>
      </w:r>
      <w:r>
        <w:t xml:space="preserve">Supp.</w:t>
      </w:r>
      <w:r>
        <w:t xml:space="preserve"> </w:t>
      </w:r>
      <w:r>
        <w:t xml:space="preserve">2d</w:t>
      </w:r>
      <w:r>
        <w:t xml:space="preserve"> </w:t>
      </w:r>
      <w:r>
        <w:t xml:space="preserve">578</w:t>
      </w:r>
      <w:r>
        <w:t xml:space="preserve"> </w:t>
      </w:r>
      <w:r>
        <w:t xml:space="preserve">(W.D.</w:t>
      </w:r>
      <w:r>
        <w:t xml:space="preserve"> </w:t>
      </w:r>
      <w:r>
        <w:t xml:space="preserve">Ky.</w:t>
      </w:r>
      <w:r>
        <w:t xml:space="preserve"> </w:t>
      </w:r>
      <w:r>
        <w:t xml:space="preserve">2012)</w:t>
      </w:r>
      <w:r>
        <w:t xml:space="preserve">   </w:t>
      </w:r>
      <w:r>
        <w:tab/>
      </w:r>
      <w:r>
        <w:t xml:space="preserve">1</w:t>
      </w:r>
    </w:p>
    <w:p>
      <w:pPr>
        <w:keepLines/>
        <w:tabs>
          <w:tab w:val="right" w:leader="dot" w:pos="8640"/>
        </w:tabs>
        <w:spacing w:before="168" w:after="0" w:line="276" w:lineRule="exact"/>
        <w:ind w:left="360" w:right="1120" w:hanging="360"/>
      </w:pPr>
      <w:r>
        <w:rPr>
          <w:i/>
          <w:iCs/>
        </w:rPr>
        <w:t xml:space="preserve">University</w:t>
      </w:r>
      <w:r>
        <w:rPr>
          <w:i/>
          <w:iCs/>
        </w:rPr>
        <w:t xml:space="preserve"> </w:t>
      </w:r>
      <w:r>
        <w:rPr>
          <w:i/>
          <w:iCs/>
        </w:rPr>
        <w:t xml:space="preserve">of</w:t>
      </w:r>
      <w:r>
        <w:rPr>
          <w:i/>
          <w:iCs/>
        </w:rPr>
        <w:t xml:space="preserve"> </w:t>
      </w:r>
      <w:r>
        <w:rPr>
          <w:i/>
          <w:iCs/>
        </w:rPr>
        <w:t xml:space="preserve">Louisville</w:t>
      </w:r>
      <w:r>
        <w:rPr>
          <w:i/>
          <w:iCs/>
        </w:rPr>
        <w:t xml:space="preserve"> </w:t>
      </w:r>
      <w:r>
        <w:rPr>
          <w:i/>
          <w:iCs/>
        </w:rPr>
        <w:t xml:space="preserve">v.</w:t>
      </w:r>
      <w:r>
        <w:rPr>
          <w:i/>
          <w:iCs/>
        </w:rPr>
        <w:t xml:space="preserve"> </w:t>
      </w:r>
      <w:r>
        <w:rPr>
          <w:i/>
          <w:iCs/>
        </w:rPr>
        <w:t xml:space="preserve">Bohm</w:t>
      </w:r>
      <w:r>
        <w:t xml:space="preserve">,</w:t>
      </w:r>
      <w:r>
        <w:t xml:space="preserve"> </w:t>
      </w:r>
      <w:r>
        <w:t xml:space="preserve">No.</w:t>
      </w:r>
      <w:r>
        <w:t xml:space="preserve"> </w:t>
      </w:r>
      <w:r>
        <w:t xml:space="preserve">2017-CA</w:t>
        <w:noBreakHyphen/>
        <w:t xml:space="preserve">00935-MR,</w:t>
      </w:r>
      <w:r>
        <w:t xml:space="preserve"> </w:t>
      </w:r>
      <w:r>
        <w:t xml:space="preserve">2019</w:t>
      </w:r>
      <w:r>
        <w:t xml:space="preserve"> </w:t>
      </w:r>
      <w:r>
        <w:t xml:space="preserve">WL</w:t>
      </w:r>
      <w:r>
        <w:t xml:space="preserve"> </w:t>
      </w:r>
      <w:r>
        <w:t xml:space="preserve">1422912</w:t>
      </w:r>
      <w:r>
        <w:t xml:space="preserve"> </w:t>
      </w:r>
      <w:r>
        <w:t xml:space="preserve">(Ky.</w:t>
      </w:r>
      <w:r>
        <w:t xml:space="preserve"> </w:t>
      </w:r>
      <w:r>
        <w:t xml:space="preserve">App.</w:t>
      </w:r>
      <w:r>
        <w:t xml:space="preserve"> </w:t>
      </w:r>
      <w:r>
        <w:t xml:space="preserve">Mar.</w:t>
      </w:r>
      <w:r>
        <w:t xml:space="preserve"> </w:t>
      </w:r>
      <w:r>
        <w:t xml:space="preserve">29,</w:t>
      </w:r>
      <w:r>
        <w:t xml:space="preserve"> </w:t>
      </w:r>
      <w:r>
        <w:t xml:space="preserve">2019)</w:t>
      </w:r>
      <w:r>
        <w:t xml:space="preserve">   </w:t>
      </w:r>
      <w:r>
        <w:tab/>
      </w:r>
      <w:r>
        <w:t xml:space="preserve">1, 2</w:t>
      </w:r>
    </w:p>
    <w:p>
      <w:pPr>
        <w:keepLines/>
        <w:tabs>
          <w:tab w:val="right" w:leader="dot" w:pos="8640"/>
        </w:tabs>
        <w:spacing w:before="168" w:after="0" w:line="276" w:lineRule="exact"/>
        <w:ind w:left="360" w:right="1120" w:hanging="360"/>
      </w:pPr>
      <w:r>
        <w:rPr>
          <w:i/>
          <w:iCs/>
        </w:rPr>
        <w:t xml:space="preserve">University</w:t>
      </w:r>
      <w:r>
        <w:rPr>
          <w:i/>
          <w:iCs/>
        </w:rPr>
        <w:t xml:space="preserve"> </w:t>
      </w:r>
      <w:r>
        <w:rPr>
          <w:i/>
          <w:iCs/>
        </w:rPr>
        <w:t xml:space="preserve">of</w:t>
      </w:r>
      <w:r>
        <w:rPr>
          <w:i/>
          <w:iCs/>
        </w:rPr>
        <w:t xml:space="preserve"> </w:t>
      </w:r>
      <w:r>
        <w:rPr>
          <w:i/>
          <w:iCs/>
        </w:rPr>
        <w:t xml:space="preserve">Louisville</w:t>
      </w:r>
      <w:r>
        <w:rPr>
          <w:i/>
          <w:iCs/>
        </w:rPr>
        <w:t xml:space="preserve"> </w:t>
      </w:r>
      <w:r>
        <w:rPr>
          <w:i/>
          <w:iCs/>
        </w:rPr>
        <w:t xml:space="preserve">v.</w:t>
      </w:r>
      <w:r>
        <w:rPr>
          <w:i/>
          <w:iCs/>
        </w:rPr>
        <w:t xml:space="preserve"> </w:t>
      </w:r>
      <w:r>
        <w:rPr>
          <w:i/>
          <w:iCs/>
        </w:rPr>
        <w:t xml:space="preserve">Rothstein</w:t>
      </w:r>
      <w:r>
        <w:t xml:space="preserve">,</w:t>
      </w:r>
      <w:r>
        <w:t xml:space="preserve"> </w:t>
      </w:r>
      <w:r>
        <w:t xml:space="preserve">532</w:t>
      </w:r>
      <w:r>
        <w:t xml:space="preserve"> </w:t>
      </w:r>
      <w:r>
        <w:t xml:space="preserve">S.W.3d</w:t>
      </w:r>
      <w:r>
        <w:t xml:space="preserve"> </w:t>
      </w:r>
      <w:r>
        <w:t xml:space="preserve">644</w:t>
      </w:r>
      <w:r>
        <w:t xml:space="preserve"> </w:t>
      </w:r>
      <w:r>
        <w:t xml:space="preserve">(Ky.</w:t>
      </w:r>
      <w:r>
        <w:t xml:space="preserve"> </w:t>
      </w:r>
      <w:r>
        <w:t xml:space="preserve">2017)</w:t>
      </w:r>
      <w:r>
        <w:t xml:space="preserve">   </w:t>
      </w:r>
      <w:r>
        <w:tab/>
      </w:r>
      <w:r>
        <w:t xml:space="preserve">1, 2</w:t>
      </w:r>
    </w:p>
    <w:p>
      <w:pPr>
        <w:keepLines/>
        <w:tabs>
          <w:tab w:val="right" w:leader="dot" w:pos="8640"/>
        </w:tabs>
        <w:spacing w:before="168" w:after="0" w:line="276" w:lineRule="exact"/>
        <w:ind w:left="360" w:right="1120" w:hanging="360"/>
      </w:pPr>
      <w:r>
        <w:rPr>
          <w:i/>
          <w:iCs/>
        </w:rPr>
        <w:t xml:space="preserve">Withers</w:t>
      </w:r>
      <w:r>
        <w:rPr>
          <w:i/>
          <w:iCs/>
        </w:rPr>
        <w:t xml:space="preserve"> </w:t>
      </w:r>
      <w:r>
        <w:rPr>
          <w:i/>
          <w:iCs/>
        </w:rPr>
        <w:t xml:space="preserve">v.</w:t>
      </w:r>
      <w:r>
        <w:rPr>
          <w:i/>
          <w:iCs/>
        </w:rPr>
        <w:t xml:space="preserve"> </w:t>
      </w:r>
      <w:r>
        <w:rPr>
          <w:i/>
          <w:iCs/>
        </w:rPr>
        <w:t xml:space="preserve">University</w:t>
      </w:r>
      <w:r>
        <w:rPr>
          <w:i/>
          <w:iCs/>
        </w:rPr>
        <w:t xml:space="preserve"> </w:t>
      </w:r>
      <w:r>
        <w:rPr>
          <w:i/>
          <w:iCs/>
        </w:rPr>
        <w:t xml:space="preserve">of</w:t>
      </w:r>
      <w:r>
        <w:rPr>
          <w:i/>
          <w:iCs/>
        </w:rPr>
        <w:t xml:space="preserve"> </w:t>
      </w:r>
      <w:r>
        <w:rPr>
          <w:i/>
          <w:iCs/>
        </w:rPr>
        <w:t xml:space="preserve">Kentucky</w:t>
      </w:r>
      <w:r>
        <w:t xml:space="preserve">,</w:t>
      </w:r>
      <w:r>
        <w:t xml:space="preserve"> </w:t>
      </w:r>
      <w:r>
        <w:t xml:space="preserve">939</w:t>
      </w:r>
      <w:r>
        <w:t xml:space="preserve"> </w:t>
      </w:r>
      <w:r>
        <w:t xml:space="preserve">S.W.2d</w:t>
      </w:r>
      <w:r>
        <w:t xml:space="preserve"> </w:t>
      </w:r>
      <w:r>
        <w:t xml:space="preserve">340</w:t>
      </w:r>
      <w:r>
        <w:t xml:space="preserve"> </w:t>
      </w:r>
      <w:r>
        <w:t xml:space="preserve">(Ky.</w:t>
      </w:r>
      <w:r>
        <w:t xml:space="preserve"> </w:t>
      </w:r>
      <w:r>
        <w:t xml:space="preserve">1997)</w:t>
      </w:r>
      <w:r>
        <w:t xml:space="preserve">   </w:t>
      </w:r>
      <w:r>
        <w:tab/>
      </w:r>
      <w:r>
        <w:t xml:space="preserve">2</w:t>
      </w:r>
    </w:p>
    <w:p>
      <w:pPr>
        <w:keepNext/>
        <w:keepLines/>
        <w:spacing w:before="288" w:after="48" w:line="276" w:lineRule="exact"/>
        <w:ind w:left="0" w:firstLine="0"/>
        <w:jc w:val="left"/>
      </w:pPr>
      <w:r>
        <w:rPr>
          <w:b/>
          <w:bCs/>
        </w:rPr>
        <w:t xml:space="preserve">Statutes</w:t>
      </w:r>
    </w:p>
    <w:p>
      <w:pPr>
        <w:keepLines/>
        <w:tabs>
          <w:tab w:val="right" w:leader="dot" w:pos="8640"/>
        </w:tabs>
        <w:spacing w:before="168" w:after="0" w:line="276" w:lineRule="exact"/>
        <w:ind w:left="360" w:right="1120" w:hanging="360"/>
      </w:pPr>
      <w:r>
        <w:t xml:space="preserve">KRS</w:t>
      </w:r>
      <w:r>
        <w:t xml:space="preserve"> </w:t>
      </w:r>
      <w:r>
        <w:t xml:space="preserve">45A.245</w:t>
      </w:r>
      <w:r>
        <w:t xml:space="preserve">   </w:t>
      </w:r>
      <w:r>
        <w:tab/>
      </w:r>
      <w:r>
        <w:t xml:space="preserve">1, 2</w:t>
      </w:r>
    </w:p>
    <w:p>
      <w:pPr>
        <w:keepNext/>
        <w:keepLines/>
        <w:spacing w:before="288" w:after="48" w:line="276" w:lineRule="exact"/>
        <w:ind w:left="0" w:firstLine="0"/>
        <w:jc w:val="left"/>
      </w:pPr>
      <w:r>
        <w:rPr>
          <w:b/>
          <w:bCs/>
        </w:rPr>
        <w:t xml:space="preserve">Rules</w:t>
      </w:r>
    </w:p>
    <w:p>
      <w:pPr>
        <w:keepLines/>
        <w:tabs>
          <w:tab w:val="right" w:leader="dot" w:pos="8640"/>
        </w:tabs>
        <w:spacing w:before="168" w:after="0" w:line="276" w:lineRule="exact"/>
        <w:ind w:left="360" w:right="1120" w:hanging="360"/>
      </w:pPr>
      <w:r>
        <w:t xml:space="preserve">RAP</w:t>
      </w:r>
      <w:r>
        <w:t xml:space="preserve"> </w:t>
      </w:r>
      <w:r>
        <w:t xml:space="preserve">41</w:t>
      </w:r>
      <w:r>
        <w:t xml:space="preserve">   </w:t>
      </w:r>
      <w:r>
        <w:tab/>
      </w:r>
      <w:r>
        <w:t xml:space="preserve">1</w:t>
      </w:r>
    </w:p>
    <w:p>
      <w:pPr>
        <w:spacing w:before="0" w:after="0" w:line="1" w:lineRule="exact"/>
        <w:sectPr>
          <w:footerReference w:type="default" r:id="rIdXdPage"/>
          <w:pgSz w:w="12240" w:h="15840"/>
          <w:pgMar w:top="1440" w:right="1440" w:bottom="1440" w:left="2160" w:header="720" w:footer="732" w:gutter="0"/>
          <w:pgNumType w:fmt="lowerRoman" w:start="1"/>
        </w:sectPr>
      </w:pPr>
    </w:p>
    <w:p>
      <w:pPr>
        <w:keepNext/>
        <w:keepLines/>
        <w:spacing w:before="0" w:after="168" w:line="276" w:lineRule="exact"/>
        <w:ind w:left="0" w:firstLine="0"/>
        <w:jc w:val="center"/>
      </w:pPr>
      <w:r>
        <w:rPr>
          <w:b/>
          <w:bCs/>
        </w:rPr>
        <w:t xml:space="preserve">I.</w:t>
      </w:r>
      <w:r>
        <w:rPr>
          <w:b/>
          <w:bCs/>
        </w:rPr>
        <w:t xml:space="preserve"> </w:t>
      </w:r>
      <w:r>
        <w:rPr>
          <w:b/>
          <w:bCs/>
        </w:rPr>
        <w:t xml:space="preserve">METRO’S</w:t>
      </w:r>
      <w:r>
        <w:rPr>
          <w:b/>
          <w:bCs/>
        </w:rPr>
        <w:t xml:space="preserve"> </w:t>
      </w:r>
      <w:r>
        <w:rPr>
          <w:b/>
          <w:bCs/>
        </w:rPr>
        <w:t xml:space="preserve">SOVEREIGN</w:t>
      </w:r>
      <w:r>
        <w:rPr>
          <w:b/>
          <w:bCs/>
        </w:rPr>
        <w:t xml:space="preserve"> </w:t>
      </w:r>
      <w:r>
        <w:rPr>
          <w:b/>
          <w:bCs/>
        </w:rPr>
        <w:t xml:space="preserve">IMMNUITY</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WAIVED</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TORT-BASED</w:t>
      </w:r>
      <w:r>
        <w:rPr>
          <w:b/>
          <w:bCs/>
        </w:rPr>
        <w:t xml:space="preserve"> </w:t>
      </w:r>
      <w:r>
        <w:rPr>
          <w:b/>
          <w:bCs/>
        </w:rPr>
        <w:t xml:space="preserve">GOOD</w:t>
      </w:r>
      <w:r>
        <w:rPr>
          <w:b/>
          <w:bCs/>
        </w:rPr>
        <w:t xml:space="preserve"> </w:t>
      </w:r>
      <w:r>
        <w:rPr>
          <w:b/>
          <w:bCs/>
        </w:rPr>
        <w:t xml:space="preserve">FAITH</w:t>
      </w:r>
      <w:r>
        <w:rPr>
          <w:b/>
          <w:bCs/>
        </w:rPr>
        <w:t xml:space="preserve"> </w:t>
      </w:r>
      <w:r>
        <w:rPr>
          <w:b/>
          <w:bCs/>
        </w:rPr>
        <w:t xml:space="preserve">AND</w:t>
      </w:r>
      <w:r>
        <w:rPr>
          <w:b/>
          <w:bCs/>
        </w:rPr>
        <w:t xml:space="preserve"> </w:t>
      </w:r>
      <w:r>
        <w:rPr>
          <w:b/>
          <w:bCs/>
        </w:rPr>
        <w:t xml:space="preserve">FAIR</w:t>
      </w:r>
      <w:r>
        <w:rPr>
          <w:b/>
          <w:bCs/>
        </w:rPr>
        <w:t xml:space="preserve"> </w:t>
      </w:r>
      <w:r>
        <w:rPr>
          <w:b/>
          <w:bCs/>
        </w:rPr>
        <w:t xml:space="preserve">DEALING</w:t>
      </w:r>
      <w:r>
        <w:rPr>
          <w:b/>
          <w:bCs/>
        </w:rPr>
        <w:t xml:space="preserve"> </w:t>
      </w:r>
      <w:r>
        <w:rPr>
          <w:b/>
          <w:bCs/>
        </w:rPr>
        <w:t xml:space="preserve">CLAIM.</w:t>
      </w:r>
    </w:p>
    <w:p>
      <w:pPr>
        <w:pStyle w:val="BodyTextNote"/>
      </w:pPr>
      <w:r>
        <w:t xml:space="preserve">Plaintiff’s sole argument – raised for the first time on appeal – for why its good faith and fair dealing claims should be allowed to proceed is a half-page argument that ignores any distinction between contract claims and derivative tort claims. (Brief for Appellee at p. 3).</w:t>
      </w:r>
      <w:r>
        <w:rPr>
          <w:rStyle w:val="FootnoteReference"/>
        </w:rPr>
        <w:footnoteReference w:id="9"/>
      </w:r>
      <w:r>
        <w:t xml:space="preserve"> </w:t>
      </w:r>
      <w:r>
        <w:t xml:space="preserve">Plaintiff correctly points out the Kentucky Model Procurement Code (“KMPC”) waives sovereign immunity for contract claims with the Commonwealth of Kentucky.</w:t>
      </w:r>
      <w:r>
        <w:t xml:space="preserve"> </w:t>
      </w:r>
      <w:r>
        <w:rPr>
          <w:i/>
          <w:iCs/>
        </w:rPr>
        <w:t xml:space="preserve">See</w:t>
      </w:r>
      <w:r>
        <w:t xml:space="preserve"> </w:t>
      </w:r>
      <w:r>
        <w:t xml:space="preserve">KRS 45A.245.</w:t>
      </w:r>
      <w:r>
        <w:t xml:space="preserve"> </w:t>
      </w:r>
      <w:r>
        <w:t xml:space="preserve">This waiver is not limited to contract claims entered into pursuant to the KMPC.</w:t>
      </w:r>
      <w:r>
        <w:t xml:space="preserve"> </w:t>
      </w:r>
      <w:r>
        <w:rPr>
          <w:i/>
          <w:iCs/>
        </w:rPr>
        <w:t xml:space="preserve">University of Louisville v. Rothstein</w:t>
      </w:r>
      <w:r>
        <w:t xml:space="preserve">, 532 S.W.3d 644, 647 (Ky. 2017). However, it is recognized as a limited one.</w:t>
      </w:r>
      <w:r>
        <w:t xml:space="preserve"> </w:t>
      </w:r>
      <w:r>
        <w:rPr>
          <w:i/>
          <w:iCs/>
        </w:rPr>
        <w:t xml:space="preserve">Id.</w:t>
      </w:r>
      <w:r>
        <w:t xml:space="preserve"> </w:t>
      </w:r>
      <w:r>
        <w:t xml:space="preserve">at FN 2 (citing</w:t>
      </w:r>
      <w:r>
        <w:t xml:space="preserve"> </w:t>
      </w:r>
      <w:r>
        <w:rPr>
          <w:i/>
          <w:iCs/>
        </w:rPr>
        <w:t xml:space="preserve">Campbell</w:t>
      </w:r>
      <w:r>
        <w:rPr>
          <w:i/>
          <w:iCs/>
        </w:rPr>
        <w:t xml:space="preserve"> </w:t>
      </w:r>
      <w:r>
        <w:rPr>
          <w:i/>
          <w:iCs/>
        </w:rPr>
        <w:t xml:space="preserve">v. University of Louisville</w:t>
      </w:r>
      <w:r>
        <w:t xml:space="preserve">, 862 F.Supp. 2d 578, 585 (W.D. Ky. 2012)).</w:t>
      </w:r>
      <w:r>
        <w:rPr>
          <w:rStyle w:val="FootnoteReference"/>
        </w:rPr>
        <w:footnoteReference w:id="10"/>
      </w:r>
    </w:p>
    <w:p>
      <w:pPr>
        <w:pStyle w:val="BodyTextNote"/>
      </w:pPr>
      <w:r>
        <w:t xml:space="preserve">Plaintiff’s exact argument – that KRS 45A.245</w:t>
      </w:r>
      <w:r>
        <w:t xml:space="preserve"> </w:t>
      </w:r>
      <w:r>
        <w:t xml:space="preserve">also waived state sovereign immunity for claims of the breach of implied the covenant of good faith and fair dealing – was explicitly considered and rejected by this Court in</w:t>
      </w:r>
      <w:r>
        <w:t xml:space="preserve"> </w:t>
      </w:r>
      <w:r>
        <w:rPr>
          <w:i/>
          <w:iCs/>
        </w:rPr>
        <w:t xml:space="preserve">University of Louisville v. Bohm</w:t>
      </w:r>
      <w:r>
        <w:t xml:space="preserve">, No. 2017-CA</w:t>
      </w:r>
      <w:r>
        <w:noBreakHyphen/>
      </w:r>
      <w:r>
        <w:t xml:space="preserve">00935-MR; 2019 WL 1422912 (Ky. App. March 29, 2019).</w:t>
      </w:r>
      <w:r>
        <w:rPr>
          <w:rStyle w:val="FootnoteReference"/>
        </w:rPr>
        <w:footnoteReference w:id="11"/>
      </w:r>
      <w:r>
        <w:t xml:space="preserve"> </w:t>
      </w:r>
      <w:r>
        <w:t xml:space="preserve">In</w:t>
      </w:r>
      <w:r>
        <w:t xml:space="preserve"> </w:t>
      </w:r>
      <w:r>
        <w:rPr>
          <w:i/>
          <w:iCs/>
        </w:rPr>
        <w:t xml:space="preserve">Bohm</w:t>
      </w:r>
      <w:r>
        <w:t xml:space="preserve">, this Court held that a claim for the breach of the implied covenant of good faith and fair dealing was based in tort, for which the sovereign state cannot be held liable, despite finding that Bohm</w:t>
      </w:r>
      <w:r>
        <w:t xml:space="preserve"> </w:t>
      </w:r>
      <w:r>
        <w:t xml:space="preserve">had a valid and enforceable contract with the University.</w:t>
      </w:r>
      <w:r>
        <w:t xml:space="preserve"> </w:t>
      </w:r>
      <w:r>
        <w:rPr>
          <w:i/>
          <w:iCs/>
        </w:rPr>
        <w:t xml:space="preserve">Id.</w:t>
      </w:r>
      <w:r>
        <w:t xml:space="preserve"> </w:t>
      </w:r>
      <w:r>
        <w:t xml:space="preserve">at *6. The Court explicitly rejected Bohm’s</w:t>
      </w:r>
      <w:r>
        <w:t xml:space="preserve"> </w:t>
      </w:r>
      <w:r>
        <w:t xml:space="preserve">argument that the KMPC imposed a duty of good faith and fair dealing on the state beyond the context of a construction contract, or that KRS 45A.245</w:t>
      </w:r>
      <w:r>
        <w:t xml:space="preserve"> </w:t>
      </w:r>
      <w:r>
        <w:t xml:space="preserve">waived immunity for that claim: “[w]e find Bohm’s</w:t>
      </w:r>
      <w:r>
        <w:t xml:space="preserve"> </w:t>
      </w:r>
      <w:r>
        <w:t xml:space="preserve">reliance on the KMPC for support of his claim of the breach of the covenant of good faith and fair dealing in an employment claim unpersuasive.”</w:t>
      </w:r>
      <w:r>
        <w:t xml:space="preserve"> </w:t>
      </w:r>
      <w:r>
        <w:rPr>
          <w:i/>
          <w:iCs/>
        </w:rPr>
        <w:t xml:space="preserve">Id.</w:t>
      </w:r>
      <w:r>
        <w:t xml:space="preserve"> </w:t>
      </w:r>
      <w:r>
        <w:t xml:space="preserve">Further, the</w:t>
      </w:r>
      <w:r>
        <w:t xml:space="preserve"> </w:t>
      </w:r>
      <w:r>
        <w:rPr>
          <w:i/>
          <w:iCs/>
        </w:rPr>
        <w:t xml:space="preserve">Bohm</w:t>
      </w:r>
      <w:r>
        <w:t xml:space="preserve"> </w:t>
      </w:r>
      <w:r>
        <w:t xml:space="preserve">opinion was decided after</w:t>
      </w:r>
      <w:r>
        <w:t xml:space="preserve"> </w:t>
      </w:r>
      <w:r>
        <w:rPr>
          <w:i/>
          <w:iCs/>
        </w:rPr>
        <w:t xml:space="preserve">Rothstein</w:t>
      </w:r>
      <w:r>
        <w:t xml:space="preserve">, and cites it extensively.</w:t>
      </w:r>
      <w:r>
        <w:t xml:space="preserve"> </w:t>
      </w:r>
      <w:r>
        <w:rPr>
          <w:i/>
          <w:iCs/>
        </w:rPr>
        <w:t xml:space="preserve">Id.</w:t>
      </w:r>
      <w:r>
        <w:t xml:space="preserve"> </w:t>
      </w:r>
      <w:r>
        <w:t xml:space="preserve">Plaintiff’s reliance on</w:t>
      </w:r>
      <w:r>
        <w:t xml:space="preserve"> </w:t>
      </w:r>
      <w:r>
        <w:rPr>
          <w:i/>
          <w:iCs/>
        </w:rPr>
        <w:t xml:space="preserve">Rothstein</w:t>
      </w:r>
      <w:r>
        <w:t xml:space="preserve">, without addressing</w:t>
      </w:r>
      <w:r>
        <w:t xml:space="preserve"> </w:t>
      </w:r>
      <w:r>
        <w:rPr>
          <w:i/>
          <w:iCs/>
        </w:rPr>
        <w:t xml:space="preserve">Bohm</w:t>
      </w:r>
      <w:r>
        <w:t xml:space="preserve">, is therefore inapposite. Indeed, Plaintiff fails to mention</w:t>
      </w:r>
      <w:r>
        <w:t xml:space="preserve"> </w:t>
      </w:r>
      <w:r>
        <w:rPr>
          <w:i/>
          <w:iCs/>
        </w:rPr>
        <w:t xml:space="preserve">Bohm</w:t>
      </w:r>
      <w:r>
        <w:t xml:space="preserve"> </w:t>
      </w:r>
      <w:r>
        <w:t xml:space="preserve">at all, even to argue why it was incorrectly decided.</w:t>
      </w:r>
    </w:p>
    <w:p>
      <w:pPr>
        <w:pStyle w:val="BodyText"/>
      </w:pPr>
      <w:r>
        <w:t xml:space="preserve">This Court’s rationale in rejecting this type of claim in</w:t>
      </w:r>
      <w:r>
        <w:t xml:space="preserve"> </w:t>
      </w:r>
      <w:r>
        <w:rPr>
          <w:i/>
          <w:iCs/>
        </w:rPr>
        <w:t xml:space="preserve">Bohm</w:t>
      </w:r>
      <w:r>
        <w:t xml:space="preserve"> </w:t>
      </w:r>
      <w:r>
        <w:t xml:space="preserve">was correct. Courts will find a waiver of sovereign immunity only where stated “by the most express language or by such overwhelming implications from the text as [will] leave no room for any other reasonable construction.”</w:t>
      </w:r>
      <w:r>
        <w:t xml:space="preserve"> </w:t>
      </w:r>
      <w:r>
        <w:rPr>
          <w:i/>
          <w:iCs/>
        </w:rPr>
        <w:t xml:space="preserve">Withers</w:t>
      </w:r>
      <w:r>
        <w:rPr>
          <w:i/>
          <w:iCs/>
        </w:rPr>
        <w:t xml:space="preserve"> </w:t>
      </w:r>
      <w:r>
        <w:rPr>
          <w:i/>
          <w:iCs/>
        </w:rPr>
        <w:t xml:space="preserve">v. University of Kentucky</w:t>
      </w:r>
      <w:r>
        <w:t xml:space="preserve">, 939 S.W.2d 340, 346 (Ky. 1997) (internal citations omitted). Thus, while KRS 45A.245</w:t>
      </w:r>
      <w:r>
        <w:t xml:space="preserve"> </w:t>
      </w:r>
      <w:r>
        <w:t xml:space="preserve">and</w:t>
      </w:r>
      <w:r>
        <w:t xml:space="preserve"> </w:t>
      </w:r>
      <w:r>
        <w:rPr>
          <w:i/>
          <w:iCs/>
        </w:rPr>
        <w:t xml:space="preserve">Rothstein</w:t>
      </w:r>
      <w:r>
        <w:t xml:space="preserve"> </w:t>
      </w:r>
      <w:r>
        <w:t xml:space="preserve">delineate a waiver of sovereign immunity as it relates to breach of contract actions, that limited statutory waiver cannot be read to expressly include claims for the breach of implied covenants grounded in tort law.</w:t>
      </w:r>
      <w:r>
        <w:t xml:space="preserve"> </w:t>
      </w:r>
      <w:r>
        <w:rPr>
          <w:i/>
          <w:iCs/>
        </w:rPr>
        <w:t xml:space="preserve">Id.</w:t>
      </w:r>
      <w:r>
        <w:t xml:space="preserve"> </w:t>
      </w:r>
      <w:r>
        <w:t xml:space="preserve">Further, KRS 45A.245</w:t>
      </w:r>
      <w:r>
        <w:t xml:space="preserve"> </w:t>
      </w:r>
      <w:r>
        <w:t xml:space="preserve">cannot be said to extend that waiver to the breach of an implied covenant by such overwhelming implication from its text as to leave no other room for reasonable construction.</w:t>
      </w:r>
      <w:r>
        <w:t xml:space="preserve"> </w:t>
      </w:r>
      <w:r>
        <w:rPr>
          <w:i/>
          <w:iCs/>
        </w:rPr>
        <w:t xml:space="preserve">Id.</w:t>
      </w:r>
    </w:p>
    <w:p>
      <w:pPr>
        <w:pStyle w:val="BodyText"/>
      </w:pPr>
      <w:r>
        <w:t xml:space="preserve">Because there is no waiver of Metro’s sovereign immunity from tort-based claims derived from a contract, and because attempts to have such a waiver recognized were rejected, Metro remains immune from Plaintiff’s claims for breach of the implied covenant of good faith and fair dealing. The trial court therefore erred in allowing those claims to go to the jury, and reversal is appropriate.</w:t>
      </w:r>
    </w:p>
    <w:p>
      <w:pPr>
        <w:keepNext/>
        <w:keepLines/>
        <w:spacing w:before="288" w:after="168" w:line="276" w:lineRule="exact"/>
        <w:ind w:left="0" w:firstLine="0"/>
        <w:jc w:val="center"/>
      </w:pPr>
      <w:r>
        <w:rPr>
          <w:b/>
          <w:bCs/>
        </w:rPr>
        <w:t xml:space="preserve">CONCLUSION</w:t>
      </w:r>
    </w:p>
    <w:p>
      <w:pPr>
        <w:pStyle w:val="BodyText"/>
      </w:pPr>
      <w:r>
        <w:t xml:space="preserve">For the reasons set forth above, and in its initial brief to the Court, Metro respectfully requests that this Court reverse the trial court and remand this case with instructions to bar the asserted tort claims for which Metro is immune.</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4320" w:firstLine="0"/>
              <w:jc w:val="left"/>
            </w:pPr>
            <w:r>
              <w:t xml:space="preserve">Respectfully</w:t>
            </w:r>
            <w:r>
              <w:t xml:space="preserve"> </w:t>
            </w:r>
            <w:r>
              <w:t xml:space="preserve">submitted,</w:t>
            </w:r>
          </w:p>
          <w:p>
            <w:pPr>
              <w:spacing w:before="276" w:after="0" w:line="276" w:lineRule="exact"/>
              <w:ind w:left="4320" w:firstLine="0"/>
              <w:jc w:val="left"/>
            </w:pPr>
            <w:r>
              <w:rPr>
                <w:u w:val="single"/>
              </w:rPr>
              <w:t xml:space="preserve">/s/</w:t>
            </w:r>
            <w:r>
              <w:rPr>
                <w:u w:val="single"/>
              </w:rPr>
              <w:t xml:space="preserve"> </w:t>
            </w:r>
            <w:r>
              <w:rPr>
                <w:i/>
                <w:iCs/>
                <w:u w:val="single"/>
              </w:rPr>
              <w:t xml:space="preserve">Richard</w:t>
            </w:r>
            <w:r>
              <w:rPr>
                <w:i/>
                <w:iCs/>
                <w:u w:val="single"/>
              </w:rPr>
              <w:t xml:space="preserve"> </w:t>
            </w:r>
            <w:r>
              <w:rPr>
                <w:i/>
                <w:iCs/>
                <w:u w:val="single"/>
              </w:rPr>
              <w:t xml:space="preserve">Elder</w:t>
            </w:r>
          </w:p>
          <w:p>
            <w:pPr>
              <w:spacing w:before="0" w:after="0" w:line="276" w:lineRule="exact"/>
              <w:ind w:left="4320" w:firstLine="0"/>
              <w:jc w:val="left"/>
            </w:pPr>
            <w:r>
              <w:t xml:space="preserve">Richard</w:t>
            </w:r>
            <w:r>
              <w:t xml:space="preserve"> </w:t>
            </w:r>
            <w:r>
              <w:t xml:space="preserve">Elder</w:t>
            </w:r>
          </w:p>
          <w:p>
            <w:pPr>
              <w:spacing w:before="0" w:after="0" w:line="276" w:lineRule="exact"/>
              <w:ind w:left="4320" w:firstLine="0"/>
              <w:jc w:val="left"/>
            </w:pPr>
            <w:r>
              <w:t xml:space="preserve">John</w:t>
            </w:r>
            <w:r>
              <w:t xml:space="preserve"> </w:t>
            </w:r>
            <w:r>
              <w:t xml:space="preserve">S.</w:t>
            </w:r>
            <w:r>
              <w:t xml:space="preserve"> </w:t>
            </w:r>
            <w:r>
              <w:t xml:space="preserve">Harrison</w:t>
            </w:r>
          </w:p>
          <w:p>
            <w:pPr>
              <w:spacing w:before="0" w:after="0" w:line="276" w:lineRule="exact"/>
              <w:ind w:left="4320" w:firstLine="0"/>
              <w:jc w:val="left"/>
            </w:pPr>
            <w:r>
              <w:t xml:space="preserve">Assistant</w:t>
            </w:r>
            <w:r>
              <w:t xml:space="preserve"> </w:t>
            </w:r>
            <w:r>
              <w:t xml:space="preserve">Jefferson</w:t>
            </w:r>
            <w:r>
              <w:t xml:space="preserve"> </w:t>
            </w:r>
            <w:r>
              <w:t xml:space="preserve">County</w:t>
            </w:r>
            <w:r>
              <w:t xml:space="preserve"> </w:t>
            </w:r>
            <w:r>
              <w:t xml:space="preserve">Attorneys</w:t>
            </w:r>
          </w:p>
          <w:p>
            <w:pPr>
              <w:spacing w:before="0" w:after="0" w:line="276" w:lineRule="exact"/>
              <w:ind w:left="4320" w:firstLine="0"/>
              <w:jc w:val="left"/>
            </w:pPr>
            <w:r>
              <w:t xml:space="preserve">200</w:t>
            </w:r>
            <w:r>
              <w:t xml:space="preserve"> </w:t>
            </w:r>
            <w:r>
              <w:t xml:space="preserve">South</w:t>
            </w:r>
            <w:r>
              <w:t xml:space="preserve"> </w:t>
            </w:r>
            <w:r>
              <w:t xml:space="preserve">Fifth</w:t>
            </w:r>
            <w:r>
              <w:t xml:space="preserve"> </w:t>
            </w:r>
            <w:r>
              <w:t xml:space="preserve">Street,</w:t>
            </w:r>
            <w:r>
              <w:t xml:space="preserve"> </w:t>
            </w:r>
            <w:r>
              <w:t xml:space="preserve">300N</w:t>
            </w:r>
          </w:p>
          <w:p>
            <w:pPr>
              <w:spacing w:before="0" w:after="0" w:line="276" w:lineRule="exact"/>
              <w:ind w:left="4320" w:firstLine="0"/>
              <w:jc w:val="left"/>
            </w:pPr>
            <w:r>
              <w:t xml:space="preserve">Louisville,</w:t>
            </w:r>
            <w:r>
              <w:t xml:space="preserve"> </w:t>
            </w:r>
            <w:r>
              <w:t xml:space="preserve">KY</w:t>
            </w:r>
            <w:r>
              <w:t xml:space="preserve"> </w:t>
            </w:r>
            <w:r>
              <w:t xml:space="preserve">40202</w:t>
            </w:r>
          </w:p>
          <w:p>
            <w:pPr>
              <w:spacing w:before="0" w:after="0" w:line="276" w:lineRule="exact"/>
              <w:ind w:left="4320" w:firstLine="0"/>
              <w:jc w:val="left"/>
            </w:pPr>
            <w:r>
              <w:t xml:space="preserve">(502)</w:t>
            </w:r>
            <w:r>
              <w:t xml:space="preserve"> </w:t>
            </w:r>
            <w:r>
              <w:t xml:space="preserve">574</w:t>
              <w:noBreakHyphen/>
              <w:t xml:space="preserve">6333</w:t>
            </w:r>
          </w:p>
          <w:p>
            <w:pPr>
              <w:spacing w:before="0" w:after="0" w:line="276" w:lineRule="exact"/>
              <w:ind w:left="4320" w:firstLine="0"/>
              <w:jc w:val="left"/>
            </w:pPr>
            <w:r>
              <w:t xml:space="preserve">richard.elder@louisvilleky.gov</w:t>
            </w:r>
          </w:p>
          <w:p>
            <w:pPr>
              <w:spacing w:before="0" w:after="0" w:line="276" w:lineRule="exact"/>
              <w:ind w:left="432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Louisville</w:t>
            </w:r>
            <w:r>
              <w:rPr>
                <w:i/>
                <w:iCs/>
              </w:rPr>
              <w:t xml:space="preserve"> </w:t>
            </w:r>
            <w:r>
              <w:rPr>
                <w:i/>
                <w:iCs/>
              </w:rPr>
              <w:t xml:space="preserve">Metropolitan</w:t>
            </w:r>
            <w:r>
              <w:rPr>
                <w:i/>
                <w:iCs/>
              </w:rPr>
              <w:t xml:space="preserve"> </w:t>
            </w:r>
            <w:r>
              <w:rPr>
                <w:i/>
                <w:iCs/>
              </w:rPr>
              <w:t xml:space="preserve">Government</w:t>
            </w:r>
          </w:p>
        </w:tc>
      </w:tr>
    </w:tbl>
    <w:sectPr>
      <w:footerReference w:type="default" r:id="rIdXdPage"/>
      <w:pgSz w:w="12240" w:h="15840"/>
      <w:pgMar w:top="1440" w:right="1440" w:bottom="1440" w:left="216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 never actually opposed the motion to dismiss its good faith and fair dealing claim, and expressly told the Court through counsel it believed that claim was dismissed. (</w:t>
      </w:r>
      <w:r>
        <w:rPr>
          <w:i/>
          <w:iCs/>
        </w:rPr>
        <w:t xml:space="preserve">See</w:t>
      </w:r>
      <w:r>
        <w:t xml:space="preserve"> </w:t>
      </w:r>
      <w:r>
        <w:t xml:space="preserve">Brief for Appellant at pp. 3</w:t>
      </w:r>
      <w:r>
        <w:noBreakHyphen/>
      </w:r>
      <w:r>
        <w:t xml:space="preserve">4)</w:t>
      </w:r>
    </w:p>
  </w:footnote>
  <w:footnote w:id="10">
    <w:p>
      <w:pPr>
        <w:pStyle w:val="FootnoteText"/>
      </w:pPr>
      <w:r>
        <w:rPr>
          <w:rStyle w:val="FootnoteReference"/>
        </w:rPr>
        <w:footnoteRef/>
      </w:r>
      <w:r>
        <w:t xml:space="preserve"> </w:t>
      </w:r>
      <w:r>
        <w:t xml:space="preserve">As previously noted, Plaintiff’s claims under the KMPC were dismissed with prejudice for failure to state a claim for relief by a separate trial court and Plaintiff never appealed the dismissal. (Brief for Appellant at FN 3).</w:t>
      </w:r>
    </w:p>
  </w:footnote>
  <w:footnote w:id="11">
    <w:p>
      <w:pPr>
        <w:pStyle w:val="FootnoteText"/>
      </w:pPr>
      <w:r>
        <w:rPr>
          <w:rStyle w:val="FootnoteReference"/>
        </w:rPr>
        <w:footnoteRef/>
      </w:r>
      <w:r>
        <w:t xml:space="preserve"> </w:t>
      </w:r>
      <w:r>
        <w:t xml:space="preserve">This unpublished case is cited as persuasive authority pursuant to RAP 41.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