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OHIO</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240" w:after="0" w:line="276" w:lineRule="exact"/>
              <w:ind w:left="0" w:firstLine="0"/>
              <w:jc w:val="left"/>
            </w:pPr>
            <w:r>
              <w:t xml:space="preserve">In</w:t>
            </w:r>
            <w:r>
              <w:t xml:space="preserve"> </w:t>
            </w:r>
            <w:r>
              <w:t xml:space="preserve">the</w:t>
            </w:r>
            <w:r>
              <w:t xml:space="preserve"> </w:t>
            </w:r>
            <w:r>
              <w:t xml:space="preserve">Matter</w:t>
            </w:r>
            <w:r>
              <w:t xml:space="preserve"> </w:t>
            </w:r>
            <w:r>
              <w:t xml:space="preserve">of</w:t>
            </w:r>
            <w:r>
              <w:t xml:space="preserve"> </w:t>
            </w:r>
            <w:r>
              <w:t xml:space="preserve">the</w:t>
            </w:r>
            <w:r>
              <w:t xml:space="preserve"> </w:t>
            </w:r>
            <w:r>
              <w:t xml:space="preserve">Application</w:t>
            </w:r>
            <w:r>
              <w:t xml:space="preserve"> </w:t>
            </w:r>
            <w:r>
              <w:t xml:space="preserve">of</w:t>
            </w:r>
            <w:r>
              <w:t xml:space="preserve"> </w:t>
            </w:r>
            <w:r>
              <w:t xml:space="preserve">Ohio</w:t>
            </w:r>
            <w:r>
              <w:t xml:space="preserve"> </w:t>
            </w:r>
            <w:r>
              <w:t xml:space="preserve">Edison</w:t>
            </w:r>
            <w:r>
              <w:t xml:space="preserve"> </w:t>
            </w:r>
            <w:r>
              <w:t xml:space="preserve">Company,</w:t>
            </w:r>
            <w:r>
              <w:t xml:space="preserve"> </w:t>
            </w:r>
            <w:r>
              <w:t xml:space="preserve">The</w:t>
            </w:r>
            <w:r>
              <w:t xml:space="preserve"> </w:t>
            </w:r>
            <w:r>
              <w:t xml:space="preserve">Cleveland</w:t>
            </w:r>
            <w:r>
              <w:t xml:space="preserve"> </w:t>
            </w:r>
            <w:r>
              <w:t xml:space="preserve">Electric</w:t>
            </w:r>
            <w:r>
              <w:t xml:space="preserve"> </w:t>
            </w:r>
            <w:r>
              <w:t xml:space="preserve">Illuminating</w:t>
            </w:r>
            <w:r>
              <w:t xml:space="preserve"> </w:t>
            </w:r>
            <w:r>
              <w:t xml:space="preserve">Company,</w:t>
            </w:r>
            <w:r>
              <w:t xml:space="preserve"> </w:t>
            </w:r>
            <w:r>
              <w:t xml:space="preserve">and</w:t>
            </w:r>
            <w:r>
              <w:t xml:space="preserve"> </w:t>
            </w:r>
            <w:r>
              <w:t xml:space="preserve">The</w:t>
            </w:r>
            <w:r>
              <w:t xml:space="preserve"> </w:t>
            </w:r>
            <w:r>
              <w:t xml:space="preserve">Toledo</w:t>
            </w:r>
            <w:r>
              <w:t xml:space="preserve"> </w:t>
            </w:r>
            <w:r>
              <w:t xml:space="preserve">Edison</w:t>
            </w:r>
            <w:r>
              <w:t xml:space="preserve"> </w:t>
            </w:r>
            <w:r>
              <w:t xml:space="preserve">Company</w:t>
            </w:r>
            <w:r>
              <w:t xml:space="preserve"> </w:t>
            </w:r>
            <w:r>
              <w:t xml:space="preserve">for</w:t>
            </w:r>
            <w:r>
              <w:t xml:space="preserve"> </w:t>
            </w:r>
            <w:r>
              <w:t xml:space="preserve">Authority</w:t>
            </w:r>
            <w:r>
              <w:t xml:space="preserve"> </w:t>
            </w:r>
            <w:r>
              <w:t xml:space="preserve">to</w:t>
            </w:r>
            <w:r>
              <w:t xml:space="preserve"> </w:t>
            </w:r>
            <w:r>
              <w:t xml:space="preserve">Provide</w:t>
            </w:r>
            <w:r>
              <w:t xml:space="preserve"> </w:t>
            </w:r>
            <w:r>
              <w:t xml:space="preserve">a</w:t>
            </w:r>
            <w:r>
              <w:t xml:space="preserve"> </w:t>
            </w:r>
            <w:r>
              <w:t xml:space="preserve">Standard</w:t>
            </w:r>
            <w:r>
              <w:t xml:space="preserve"> </w:t>
            </w:r>
            <w:r>
              <w:t xml:space="preserve">Service</w:t>
            </w:r>
            <w:r>
              <w:t xml:space="preserve"> </w:t>
            </w:r>
            <w:r>
              <w:t xml:space="preserve">Offer</w:t>
            </w:r>
            <w:r>
              <w:t xml:space="preserve"> </w:t>
            </w:r>
            <w:r>
              <w:t xml:space="preserve">Pursuant</w:t>
            </w:r>
            <w:r>
              <w:t xml:space="preserve"> </w:t>
            </w:r>
            <w:r>
              <w:t xml:space="preserve">to</w:t>
            </w:r>
            <w:r>
              <w:t xml:space="preserve"> </w:t>
            </w:r>
            <w:r>
              <w:t xml:space="preserve">R.C.</w:t>
            </w:r>
            <w:r>
              <w:t xml:space="preserve"> </w:t>
            </w:r>
            <w:r>
              <w:t xml:space="preserve">4928.143</w:t>
            </w:r>
            <w:r>
              <w:t xml:space="preserve"> </w:t>
            </w:r>
            <w:r>
              <w:t xml:space="preserve">in</w:t>
            </w:r>
            <w:r>
              <w:t xml:space="preserve"> </w:t>
            </w:r>
            <w:r>
              <w:t xml:space="preserve">the</w:t>
            </w:r>
            <w:r>
              <w:t xml:space="preserve"> </w:t>
            </w:r>
            <w:r>
              <w:t xml:space="preserve">Form</w:t>
            </w:r>
            <w:r>
              <w:t xml:space="preserve"> </w:t>
            </w:r>
            <w:r>
              <w:t xml:space="preserve">of</w:t>
            </w:r>
            <w:r>
              <w:t xml:space="preserve"> </w:t>
            </w:r>
            <w:r>
              <w:t xml:space="preserve">an</w:t>
            </w:r>
            <w:r>
              <w:t xml:space="preserve"> </w:t>
            </w:r>
            <w:r>
              <w:t xml:space="preserve">Electric</w:t>
            </w:r>
            <w:r>
              <w:t xml:space="preserve"> </w:t>
            </w:r>
            <w:r>
              <w:t xml:space="preserve">Security</w:t>
            </w:r>
            <w:r>
              <w:t xml:space="preserve"> </w:t>
            </w:r>
            <w:r>
              <w:t xml:space="preserve">Plan.</w:t>
            </w:r>
          </w:p>
          <w:p>
            <w:pPr>
              <w:spacing w:before="96" w:after="0" w:line="276" w:lineRule="exact"/>
              <w:ind w:left="2592" w:firstLine="0"/>
              <w:jc w:val="left"/>
            </w:pPr>
          </w:p>
        </w:tc>
        <w:tc>
          <w:tcPr>
            <w:tcW w:w="4464" w:type="dxa"/>
            <w:tcMar>
              <w:left w:w="360" w:type="dxa"/>
            </w:tcMar>
          </w:tcPr>
          <w:p>
            <w:pPr>
              <w:spacing w:before="240" w:after="0" w:line="276" w:lineRule="exact"/>
              <w:ind w:left="0" w:firstLine="0"/>
              <w:jc w:val="left"/>
            </w:pPr>
            <w:r>
              <w:t xml:space="preserve">Supreme</w:t>
            </w:r>
            <w:r>
              <w:t xml:space="preserve"> </w:t>
            </w:r>
            <w:r>
              <w:t xml:space="preserve">Court</w:t>
            </w:r>
            <w:r>
              <w:t xml:space="preserve"> </w:t>
            </w:r>
            <w:r>
              <w:t xml:space="preserve">Case</w:t>
            </w:r>
            <w:r>
              <w:t xml:space="preserve"> </w:t>
            </w:r>
            <w:r>
              <w:t xml:space="preserve">No.</w:t>
            </w:r>
            <w:r>
              <w:t xml:space="preserve"> </w:t>
            </w:r>
            <w:r>
              <w:t xml:space="preserve">17</w:t>
              <w:noBreakHyphen/>
              <w:t xml:space="preserve">1444</w:t>
            </w:r>
            <w:r>
              <w:t xml:space="preserve"> </w:t>
            </w:r>
            <w:r>
              <w:t xml:space="preserve">&amp;</w:t>
            </w:r>
            <w:r>
              <w:t xml:space="preserve"> </w:t>
            </w:r>
            <w:r>
              <w:t xml:space="preserve">17</w:t>
              <w:noBreakHyphen/>
              <w:t xml:space="preserve">1664</w:t>
            </w:r>
            <w:r>
              <w:t xml:space="preserve"> </w:t>
            </w:r>
            <w:r>
              <w:t xml:space="preserve">(consolidated)</w:t>
            </w:r>
          </w:p>
          <w:p>
            <w:pPr>
              <w:spacing w:before="288" w:after="0" w:line="276" w:lineRule="exact"/>
              <w:ind w:left="0" w:firstLine="0"/>
              <w:jc w:val="left"/>
            </w:pPr>
            <w:r>
              <w:t xml:space="preserve">On</w:t>
            </w:r>
            <w:r>
              <w:t xml:space="preserve"> </w:t>
            </w:r>
            <w:r>
              <w:t xml:space="preserve">Appeal</w:t>
            </w:r>
            <w:r>
              <w:t xml:space="preserve"> </w:t>
            </w:r>
            <w:r>
              <w:t xml:space="preserve">from</w:t>
            </w:r>
            <w:r>
              <w:t xml:space="preserve"> </w:t>
            </w:r>
            <w:r>
              <w:t xml:space="preserve">the</w:t>
            </w:r>
            <w:r>
              <w:t xml:space="preserve"> </w:t>
            </w:r>
            <w:r>
              <w:t xml:space="preserve">Public</w:t>
            </w:r>
            <w:r>
              <w:t xml:space="preserve"> </w:t>
            </w:r>
            <w:r>
              <w:t xml:space="preserve">Utilities</w:t>
            </w:r>
            <w:r>
              <w:t xml:space="preserve"> </w:t>
            </w:r>
            <w:r>
              <w:t xml:space="preserve">Commission</w:t>
            </w:r>
            <w:r>
              <w:t xml:space="preserve"> </w:t>
            </w:r>
            <w:r>
              <w:t xml:space="preserve">of</w:t>
            </w:r>
            <w:r>
              <w:t xml:space="preserve"> </w:t>
            </w:r>
            <w:r>
              <w:t xml:space="preserve">Ohio,</w:t>
            </w:r>
            <w:r>
              <w:t xml:space="preserve"> </w:t>
            </w:r>
            <w:r>
              <w:t xml:space="preserve">Case</w:t>
            </w:r>
            <w:r>
              <w:t xml:space="preserve"> </w:t>
            </w:r>
            <w:r>
              <w:t xml:space="preserve">No.</w:t>
            </w:r>
            <w:r>
              <w:t xml:space="preserve"> </w:t>
            </w:r>
            <w:r>
              <w:t xml:space="preserve">14</w:t>
              <w:noBreakHyphen/>
              <w:t xml:space="preserve">1297-EL-SSO</w:t>
            </w:r>
          </w:p>
        </w:tc>
      </w:tr>
    </w:tbl>
    <w:p>
      <w:pPr>
        <w:spacing w:before="480" w:after="0" w:line="276"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RECONSIDERATION</w:t>
      </w:r>
      <w:r>
        <w:rPr>
          <w:b/>
          <w:bCs/>
        </w:rPr>
        <w:t xml:space="preserve"> </w:t>
      </w:r>
      <w:r>
        <w:rPr>
          <w:b/>
          <w:bCs/>
        </w:rPr>
        <w:t xml:space="preserve">OF</w:t>
      </w:r>
      <w:r>
        <w:rPr>
          <w:b/>
          <w:bCs/>
        </w:rPr>
        <w:t xml:space="preserve"> </w:t>
      </w:r>
      <w:r>
        <w:rPr>
          <w:b/>
          <w:bCs/>
        </w:rPr>
        <w:t xml:space="preserve">OHIO</w:t>
      </w:r>
      <w:r>
        <w:rPr>
          <w:b/>
          <w:bCs/>
        </w:rPr>
        <w:t xml:space="preserve"> </w:t>
      </w:r>
      <w:r>
        <w:rPr>
          <w:b/>
          <w:bCs/>
        </w:rPr>
        <w:t xml:space="preserve">EDISON</w:t>
      </w:r>
      <w:r>
        <w:rPr>
          <w:b/>
          <w:bCs/>
        </w:rPr>
        <w:t xml:space="preserve"> </w:t>
      </w:r>
      <w:r>
        <w:rPr>
          <w:b/>
          <w:bCs/>
        </w:rPr>
        <w:t xml:space="preserve">COMPANY,</w:t>
      </w:r>
      <w:r>
        <w:rPr>
          <w:b/>
          <w:bCs/>
        </w:rPr>
        <w:t xml:space="preserve"> </w:t>
      </w:r>
      <w:r>
        <w:rPr>
          <w:b/>
          <w:bCs/>
        </w:rPr>
        <w:t xml:space="preserve">THE</w:t>
      </w:r>
      <w:r>
        <w:rPr>
          <w:b/>
          <w:bCs/>
        </w:rPr>
        <w:t xml:space="preserve"> </w:t>
      </w:r>
      <w:r>
        <w:rPr>
          <w:b/>
          <w:bCs/>
        </w:rPr>
        <w:t xml:space="preserve">CLEVELAND</w:t>
      </w:r>
      <w:r>
        <w:rPr>
          <w:b/>
          <w:bCs/>
        </w:rPr>
        <w:t xml:space="preserve"> </w:t>
      </w:r>
      <w:r>
        <w:rPr>
          <w:b/>
          <w:bCs/>
        </w:rPr>
        <w:t xml:space="preserve">ELECTRIC</w:t>
      </w:r>
      <w:r>
        <w:rPr>
          <w:b/>
          <w:bCs/>
        </w:rPr>
        <w:t xml:space="preserve"> </w:t>
      </w:r>
      <w:r>
        <w:rPr>
          <w:b/>
          <w:bCs/>
        </w:rPr>
        <w:t xml:space="preserve">ILLUMINATING</w:t>
      </w:r>
      <w:r>
        <w:rPr>
          <w:b/>
          <w:bCs/>
        </w:rPr>
        <w:t xml:space="preserve"> </w:t>
      </w:r>
      <w:r>
        <w:rPr>
          <w:b/>
          <w:bCs/>
        </w:rPr>
        <w:t xml:space="preserve">COMPANY</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TOLEDO</w:t>
      </w:r>
      <w:r>
        <w:rPr>
          <w:b/>
          <w:bCs/>
        </w:rPr>
        <w:t xml:space="preserve"> </w:t>
      </w:r>
      <w:r>
        <w:rPr>
          <w:b/>
          <w:bCs/>
        </w:rPr>
        <w:t xml:space="preserve">EDISON</w:t>
      </w:r>
      <w:r>
        <w:rPr>
          <w:b/>
          <w:bCs/>
        </w:rPr>
        <w:t xml:space="preserve"> </w:t>
      </w:r>
      <w:r>
        <w:rPr>
          <w:b/>
          <w:bCs/>
        </w:rPr>
        <w:t xml:space="preserve">COMPANY</w:t>
      </w:r>
    </w:p>
    <w:p>
      <w:pPr>
        <w:spacing w:before="192" w:after="0" w:line="276" w:lineRule="exact"/>
        <w:ind w:left="0" w:firstLine="0"/>
        <w:jc w:val="center"/>
      </w:pPr>
      <w:r>
        <w:t xml:space="preserve">On</w:t>
      </w:r>
      <w:r>
        <w:t xml:space="preserve"> </w:t>
      </w:r>
      <w:r>
        <w:t xml:space="preserve">behalf</w:t>
      </w:r>
      <w:r>
        <w:t xml:space="preserve"> </w:t>
      </w:r>
      <w:r>
        <w:t xml:space="preserve">of</w:t>
      </w:r>
      <w:r>
        <w:t xml:space="preserve"> </w:t>
      </w:r>
      <w:r>
        <w:t xml:space="preserve">Intervening</w:t>
      </w:r>
      <w:r>
        <w:t xml:space="preserve"> </w:t>
      </w:r>
      <w:r>
        <w:t xml:space="preserve">Appellees</w:t>
      </w:r>
      <w:r>
        <w:t xml:space="preserve"> </w:t>
      </w:r>
      <w:r>
        <w:t xml:space="preserve">Ohio</w:t>
      </w:r>
      <w:r>
        <w:t xml:space="preserve"> </w:t>
      </w:r>
      <w:r>
        <w:t xml:space="preserve">Edison</w:t>
      </w:r>
      <w:r>
        <w:t xml:space="preserve"> </w:t>
      </w:r>
      <w:r>
        <w:t xml:space="preserve">Company,</w:t>
      </w:r>
      <w:r>
        <w:t xml:space="preserve"> </w:t>
      </w:r>
      <w:r>
        <w:t xml:space="preserve">The</w:t>
      </w:r>
      <w:r>
        <w:t xml:space="preserve"> </w:t>
      </w:r>
      <w:r>
        <w:t xml:space="preserve">Cleveland</w:t>
      </w:r>
      <w:r>
        <w:t xml:space="preserve"> </w:t>
      </w:r>
      <w:r>
        <w:t xml:space="preserve">Electric</w:t>
      </w:r>
      <w:r>
        <w:t xml:space="preserve"> </w:t>
      </w:r>
      <w:r>
        <w:t xml:space="preserve">Illuminating</w:t>
      </w:r>
      <w:r>
        <w:t xml:space="preserve"> </w:t>
      </w:r>
      <w:r>
        <w:t xml:space="preserve">Company</w:t>
      </w:r>
      <w:r>
        <w:t xml:space="preserve"> </w:t>
      </w:r>
      <w:r>
        <w:t xml:space="preserve">and</w:t>
      </w:r>
      <w:r>
        <w:t xml:space="preserve"> </w:t>
      </w:r>
      <w:r>
        <w:t xml:space="preserve">The</w:t>
      </w:r>
      <w:r>
        <w:t xml:space="preserve"> </w:t>
      </w:r>
      <w:r>
        <w:t xml:space="preserve">Toledo</w:t>
      </w:r>
      <w:r>
        <w:t xml:space="preserve"> </w:t>
      </w:r>
      <w:r>
        <w:t xml:space="preserve">Edison</w:t>
      </w:r>
      <w:r>
        <w:t xml:space="preserve"> </w:t>
      </w:r>
      <w:r>
        <w:t xml:space="preserve">Company</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Mark</w:t>
            </w:r>
            <w:r>
              <w:t xml:space="preserve"> </w:t>
            </w:r>
            <w:r>
              <w:t xml:space="preserve">I.</w:t>
            </w:r>
            <w:r>
              <w:t xml:space="preserve"> </w:t>
            </w:r>
            <w:r>
              <w:t xml:space="preserve">Wallach</w:t>
            </w:r>
            <w:r>
              <w:t xml:space="preserve"> </w:t>
            </w:r>
            <w:r>
              <w:t xml:space="preserve">(0010948)</w:t>
            </w:r>
          </w:p>
          <w:p>
            <w:pPr>
              <w:spacing w:before="0" w:after="0" w:line="276" w:lineRule="exact"/>
              <w:ind w:left="0" w:firstLine="0"/>
              <w:jc w:val="left"/>
            </w:pPr>
            <w:r>
              <w:t xml:space="preserve">Walter</w:t>
            </w:r>
            <w:r>
              <w:t xml:space="preserve"> </w:t>
            </w:r>
            <w:r>
              <w:t xml:space="preserve">|</w:t>
            </w:r>
            <w:r>
              <w:t xml:space="preserve"> </w:t>
            </w:r>
            <w:r>
              <w:t xml:space="preserve">Haverfield</w:t>
            </w:r>
            <w:r>
              <w:t xml:space="preserve"> </w:t>
            </w:r>
            <w:r>
              <w:t xml:space="preserve">LLP</w:t>
            </w:r>
          </w:p>
          <w:p>
            <w:pPr>
              <w:spacing w:before="0" w:after="0" w:line="276" w:lineRule="exact"/>
              <w:ind w:left="0" w:firstLine="0"/>
              <w:jc w:val="left"/>
            </w:pPr>
            <w:r>
              <w:t xml:space="preserve">1301</w:t>
            </w:r>
            <w:r>
              <w:t xml:space="preserve"> </w:t>
            </w:r>
            <w:r>
              <w:t xml:space="preserve">East</w:t>
            </w:r>
            <w:r>
              <w:t xml:space="preserve"> </w:t>
            </w:r>
            <w:r>
              <w:t xml:space="preserve">9th</w:t>
            </w:r>
            <w:r>
              <w:t xml:space="preserve"> </w:t>
            </w:r>
            <w:r>
              <w:t xml:space="preserve">Street,</w:t>
            </w:r>
            <w:r>
              <w:t xml:space="preserve"> </w:t>
            </w:r>
            <w:r>
              <w:t xml:space="preserve">Suite</w:t>
            </w:r>
            <w:r>
              <w:t xml:space="preserve"> </w:t>
            </w:r>
            <w:r>
              <w:t xml:space="preserve">3500</w:t>
            </w:r>
          </w:p>
          <w:p>
            <w:pPr>
              <w:spacing w:before="0" w:after="0" w:line="276" w:lineRule="exact"/>
              <w:ind w:left="0" w:firstLine="0"/>
              <w:jc w:val="left"/>
            </w:pPr>
            <w:r>
              <w:t xml:space="preserve">Cleveland,</w:t>
            </w:r>
            <w:r>
              <w:t xml:space="preserve"> </w:t>
            </w:r>
            <w:r>
              <w:t xml:space="preserve">OH</w:t>
            </w:r>
            <w:r>
              <w:t xml:space="preserve"> </w:t>
            </w:r>
            <w:r>
              <w:t xml:space="preserve">44114</w:t>
            </w:r>
          </w:p>
          <w:p>
            <w:pPr>
              <w:spacing w:before="0" w:after="0" w:line="276" w:lineRule="exact"/>
              <w:ind w:left="0" w:firstLine="0"/>
              <w:jc w:val="left"/>
            </w:pPr>
            <w:r>
              <w:t xml:space="preserve">(216)</w:t>
            </w:r>
            <w:r>
              <w:t xml:space="preserve"> </w:t>
            </w:r>
            <w:r>
              <w:t xml:space="preserve">928</w:t>
              <w:noBreakHyphen/>
              <w:t xml:space="preserve">2939</w:t>
            </w:r>
          </w:p>
          <w:p>
            <w:pPr>
              <w:spacing w:before="0" w:after="0" w:line="276" w:lineRule="exact"/>
              <w:ind w:left="0" w:firstLine="0"/>
              <w:jc w:val="left"/>
            </w:pPr>
            <w:r>
              <w:t xml:space="preserve">mwallach@walterhav.com</w:t>
            </w:r>
          </w:p>
          <w:p>
            <w:pPr>
              <w:spacing w:before="0" w:after="0" w:line="276" w:lineRule="exact"/>
              <w:ind w:left="0" w:firstLine="0"/>
              <w:jc w:val="left"/>
            </w:pPr>
          </w:p>
          <w:p>
            <w:pPr>
              <w:spacing w:before="0" w:after="0" w:line="276" w:lineRule="exact"/>
              <w:ind w:left="0" w:firstLine="0"/>
              <w:jc w:val="left"/>
            </w:pPr>
            <w:r>
              <w:t xml:space="preserve">Shannon</w:t>
            </w:r>
            <w:r>
              <w:t xml:space="preserve"> </w:t>
            </w:r>
            <w:r>
              <w:t xml:space="preserve">Fisk</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Earthjustice</w:t>
            </w:r>
          </w:p>
          <w:p>
            <w:pPr>
              <w:spacing w:before="0" w:after="0" w:line="276" w:lineRule="exact"/>
              <w:ind w:left="0" w:firstLine="0"/>
              <w:jc w:val="left"/>
            </w:pPr>
            <w:r>
              <w:t xml:space="preserve">1617</w:t>
            </w:r>
            <w:r>
              <w:t xml:space="preserve"> </w:t>
            </w:r>
            <w:r>
              <w:t xml:space="preserve">John</w:t>
            </w:r>
            <w:r>
              <w:t xml:space="preserve"> </w:t>
            </w:r>
            <w:r>
              <w:t xml:space="preserve">F.</w:t>
            </w:r>
            <w:r>
              <w:t xml:space="preserve"> </w:t>
            </w:r>
            <w:r>
              <w:t xml:space="preserve">Kennedy</w:t>
            </w:r>
            <w:r>
              <w:t xml:space="preserve"> </w:t>
            </w:r>
            <w:r>
              <w:t xml:space="preserve">Blvd.,</w:t>
            </w:r>
            <w:r>
              <w:t xml:space="preserve"> </w:t>
            </w:r>
            <w:r>
              <w:t xml:space="preserve">Suite</w:t>
            </w:r>
            <w:r>
              <w:t xml:space="preserve"> </w:t>
            </w:r>
            <w:r>
              <w:t xml:space="preserve">1130</w:t>
            </w:r>
          </w:p>
          <w:p>
            <w:pPr>
              <w:spacing w:before="0" w:after="0" w:line="276" w:lineRule="exact"/>
              <w:ind w:left="0" w:firstLine="0"/>
              <w:jc w:val="left"/>
            </w:pPr>
            <w:r>
              <w:t xml:space="preserve">Philadelphia,</w:t>
            </w:r>
            <w:r>
              <w:t xml:space="preserve"> </w:t>
            </w:r>
            <w:r>
              <w:t xml:space="preserve">PA</w:t>
            </w:r>
            <w:r>
              <w:t xml:space="preserve"> </w:t>
            </w:r>
            <w:r>
              <w:t xml:space="preserve">19103</w:t>
            </w:r>
          </w:p>
          <w:p>
            <w:pPr>
              <w:spacing w:before="0" w:after="0" w:line="276" w:lineRule="exact"/>
              <w:ind w:left="0" w:firstLine="0"/>
              <w:jc w:val="left"/>
            </w:pPr>
            <w:r>
              <w:t xml:space="preserve">(215)</w:t>
            </w:r>
            <w:r>
              <w:t xml:space="preserve"> </w:t>
            </w:r>
            <w:r>
              <w:t xml:space="preserve">717</w:t>
              <w:noBreakHyphen/>
              <w:t xml:space="preserve">4522</w:t>
            </w:r>
          </w:p>
          <w:p>
            <w:pPr>
              <w:spacing w:before="0" w:after="0" w:line="276" w:lineRule="exact"/>
              <w:ind w:left="0" w:firstLine="0"/>
              <w:jc w:val="left"/>
            </w:pPr>
            <w:r>
              <w:t xml:space="preserve">sfisk@earthjustice.org</w:t>
            </w:r>
          </w:p>
        </w:tc>
        <w:tc>
          <w:tcPr>
            <w:tcW w:w="4896" w:type="dxa"/>
            <w:tcMar>
              <w:left w:w="432" w:type="dxa"/>
            </w:tcMar>
          </w:tcPr>
          <w:p>
            <w:pPr>
              <w:spacing w:before="0" w:after="0" w:line="276" w:lineRule="exact"/>
              <w:ind w:left="0" w:firstLine="0"/>
              <w:jc w:val="left"/>
            </w:pPr>
            <w:r>
              <w:t xml:space="preserve">James</w:t>
            </w:r>
            <w:r>
              <w:t xml:space="preserve"> </w:t>
            </w:r>
            <w:r>
              <w:t xml:space="preserve">F.</w:t>
            </w:r>
            <w:r>
              <w:t xml:space="preserve"> </w:t>
            </w:r>
            <w:r>
              <w:t xml:space="preserve">Lang</w:t>
            </w:r>
            <w:r>
              <w:t xml:space="preserve"> </w:t>
            </w:r>
            <w:r>
              <w:t xml:space="preserve">(0059668)</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N.</w:t>
            </w:r>
            <w:r>
              <w:t xml:space="preserve"> </w:t>
            </w:r>
            <w:r>
              <w:t xml:space="preserve">Trevor</w:t>
            </w:r>
            <w:r>
              <w:t xml:space="preserve"> </w:t>
            </w:r>
            <w:r>
              <w:t xml:space="preserve">Alexander</w:t>
            </w:r>
            <w:r>
              <w:t xml:space="preserve"> </w:t>
            </w:r>
            <w:r>
              <w:t xml:space="preserve">(0080713)</w:t>
            </w:r>
          </w:p>
          <w:p>
            <w:pPr>
              <w:spacing w:before="0" w:after="0" w:line="276" w:lineRule="exact"/>
              <w:ind w:left="0" w:firstLine="0"/>
              <w:jc w:val="left"/>
            </w:pPr>
            <w:r>
              <w:t xml:space="preserve">CALFEE,</w:t>
            </w:r>
            <w:r>
              <w:t xml:space="preserve"> </w:t>
            </w:r>
            <w:r>
              <w:t xml:space="preserve">HALTER</w:t>
            </w:r>
            <w:r>
              <w:t xml:space="preserve"> </w:t>
            </w:r>
            <w:r>
              <w:t xml:space="preserve">&amp;</w:t>
            </w:r>
            <w:r>
              <w:t xml:space="preserve"> </w:t>
            </w:r>
            <w:r>
              <w:t xml:space="preserve">GRISWOLD</w:t>
            </w:r>
            <w:r>
              <w:t xml:space="preserve"> </w:t>
            </w:r>
            <w:r>
              <w:t xml:space="preserve">LLP</w:t>
            </w:r>
          </w:p>
          <w:p>
            <w:pPr>
              <w:spacing w:before="0" w:after="0" w:line="276" w:lineRule="exact"/>
              <w:ind w:left="0" w:firstLine="0"/>
              <w:jc w:val="left"/>
            </w:pPr>
            <w:r>
              <w:t xml:space="preserve">1405</w:t>
            </w:r>
            <w:r>
              <w:t xml:space="preserve"> </w:t>
            </w:r>
            <w:r>
              <w:t xml:space="preserve">East</w:t>
            </w:r>
            <w:r>
              <w:t xml:space="preserve"> </w:t>
            </w:r>
            <w:r>
              <w:t xml:space="preserve">Sixth</w:t>
            </w:r>
            <w:r>
              <w:t xml:space="preserve"> </w:t>
            </w:r>
            <w:r>
              <w:t xml:space="preserve">Street</w:t>
            </w:r>
          </w:p>
          <w:p>
            <w:pPr>
              <w:spacing w:before="0" w:after="0" w:line="276" w:lineRule="exact"/>
              <w:ind w:left="0" w:firstLine="0"/>
              <w:jc w:val="left"/>
            </w:pPr>
            <w:r>
              <w:t xml:space="preserve">Cleveland,</w:t>
            </w:r>
            <w:r>
              <w:t xml:space="preserve"> </w:t>
            </w:r>
            <w:r>
              <w:t xml:space="preserve">Ohio</w:t>
            </w:r>
            <w:r>
              <w:t xml:space="preserve"> </w:t>
            </w:r>
            <w:r>
              <w:t xml:space="preserve">44114</w:t>
            </w:r>
          </w:p>
          <w:p>
            <w:pPr>
              <w:spacing w:before="0" w:after="0" w:line="276" w:lineRule="exact"/>
              <w:ind w:left="0" w:firstLine="0"/>
              <w:jc w:val="left"/>
            </w:pPr>
            <w:r>
              <w:t xml:space="preserve">(216)</w:t>
            </w:r>
            <w:r>
              <w:t xml:space="preserve"> </w:t>
            </w:r>
            <w:r>
              <w:t xml:space="preserve">622</w:t>
              <w:noBreakHyphen/>
              <w:t xml:space="preserve">8200</w:t>
            </w:r>
          </w:p>
          <w:p>
            <w:pPr>
              <w:spacing w:before="0" w:after="0" w:line="276" w:lineRule="exact"/>
              <w:ind w:left="0" w:firstLine="0"/>
              <w:jc w:val="left"/>
            </w:pPr>
            <w:r>
              <w:t xml:space="preserve">(216)</w:t>
            </w:r>
            <w:r>
              <w:t xml:space="preserve"> </w:t>
            </w:r>
            <w:r>
              <w:t xml:space="preserve">241</w:t>
              <w:noBreakHyphen/>
              <w:t xml:space="preserve">0816</w:t>
            </w:r>
            <w:r>
              <w:t xml:space="preserve"> </w:t>
            </w:r>
            <w:r>
              <w:t xml:space="preserve">(fax)</w:t>
            </w:r>
          </w:p>
          <w:p>
            <w:pPr>
              <w:spacing w:before="0" w:after="0" w:line="276" w:lineRule="exact"/>
              <w:ind w:left="0" w:firstLine="0"/>
              <w:jc w:val="left"/>
            </w:pPr>
            <w:r>
              <w:t xml:space="preserve">jlang@calfee.com</w:t>
            </w:r>
          </w:p>
          <w:p>
            <w:pPr>
              <w:spacing w:before="0" w:after="0" w:line="276" w:lineRule="exact"/>
              <w:ind w:left="0" w:firstLine="0"/>
              <w:jc w:val="left"/>
            </w:pPr>
            <w:r>
              <w:t xml:space="preserve">talexander@calfee.com</w:t>
            </w:r>
          </w:p>
          <w:p>
            <w:pPr>
              <w:spacing w:before="0" w:after="0" w:line="276" w:lineRule="exact"/>
              <w:ind w:left="0" w:firstLine="0"/>
              <w:jc w:val="left"/>
            </w:pPr>
          </w:p>
          <w:p>
            <w:pPr>
              <w:spacing w:before="0" w:after="0" w:line="276" w:lineRule="exact"/>
              <w:ind w:left="0" w:firstLine="0"/>
              <w:jc w:val="left"/>
            </w:pPr>
            <w:r>
              <w:t xml:space="preserve">Attorneys</w:t>
            </w:r>
            <w:r>
              <w:t xml:space="preserve"> </w:t>
            </w:r>
            <w:r>
              <w:t xml:space="preserve">for</w:t>
            </w:r>
            <w:r>
              <w:t xml:space="preserve"> </w:t>
            </w:r>
            <w:r>
              <w:t xml:space="preserve">Intervening</w:t>
            </w:r>
            <w:r>
              <w:t xml:space="preserve"> </w:t>
            </w:r>
            <w:r>
              <w:t xml:space="preserve">Appellees,</w:t>
            </w:r>
            <w:r>
              <w:t xml:space="preserve"> </w:t>
            </w:r>
            <w:r>
              <w:t xml:space="preserve">Ohio</w:t>
            </w:r>
            <w:r>
              <w:t xml:space="preserve"> </w:t>
            </w:r>
            <w:r>
              <w:t xml:space="preserve">Edison</w:t>
            </w:r>
            <w:r>
              <w:t xml:space="preserve"> </w:t>
            </w:r>
            <w:r>
              <w:t xml:space="preserve">Company,</w:t>
            </w:r>
            <w:r>
              <w:t xml:space="preserve"> </w:t>
            </w:r>
            <w:r>
              <w:t xml:space="preserve">The</w:t>
            </w:r>
            <w:r>
              <w:t xml:space="preserve"> </w:t>
            </w:r>
            <w:r>
              <w:t xml:space="preserve">Cleveland</w:t>
            </w:r>
            <w:r>
              <w:t xml:space="preserve"> </w:t>
            </w:r>
            <w:r>
              <w:t xml:space="preserve">Electric</w:t>
            </w:r>
            <w:r>
              <w:t xml:space="preserve"> </w:t>
            </w:r>
            <w:r>
              <w:t xml:space="preserve">Illuminating</w:t>
            </w:r>
            <w:r>
              <w:t xml:space="preserve"> </w:t>
            </w:r>
            <w:r>
              <w:t xml:space="preserve">Company</w:t>
            </w:r>
            <w:r>
              <w:t xml:space="preserve"> </w:t>
            </w:r>
            <w:r>
              <w:t xml:space="preserve">and</w:t>
            </w:r>
            <w:r>
              <w:t xml:space="preserve"> </w:t>
            </w:r>
            <w:r>
              <w:t xml:space="preserve">The</w:t>
            </w:r>
            <w:r>
              <w:t xml:space="preserve"> </w:t>
            </w:r>
            <w:r>
              <w:t xml:space="preserve">Toledo</w:t>
            </w:r>
            <w:r>
              <w:t xml:space="preserve"> </w:t>
            </w:r>
            <w:r>
              <w:t xml:space="preserve">Edison</w:t>
            </w:r>
            <w:r>
              <w:t xml:space="preserve"> </w:t>
            </w:r>
            <w:r>
              <w:t xml:space="preserve">Company</w:t>
            </w:r>
          </w:p>
        </w:tc>
      </w:tr>
    </w:tbl>
    <w:p>
      <w:pPr>
        <w:spacing w:before="0" w:after="0" w:line="1" w:lineRule="exact"/>
        <w:sectPr>
          <w:footerReference w:type="default" r:id="rIdXdNone"/>
          <w:pgSz w:w="12240" w:h="15840"/>
          <w:pgMar w:top="1440" w:right="1440" w:bottom="1440" w:left="1440" w:header="720" w:footer="732" w:gutter="0"/>
        </w:sectPr>
      </w:pPr>
    </w:p>
    <w:p>
      <w:pPr>
        <w:pStyle w:val="BodyText"/>
      </w:pPr>
      <w:r>
        <w:t xml:space="preserve">This appeal required the Court to determine whether the Public Utilities Commission of Ohio (Commission) acted reasonably and lawfully when it authorized a Distribution Modernization Rider (Rider DMR) under R.C. 4928.143(B)⁠(2)⁠(h) for inclusion in the fourth electric security plan (ESP) of Ohio Edison Company, The Cleveland Electric Illuminating Company and The Toledo Edison Company (Companies). ESPs may include any “provisions regarding the utility’s distribution service, including, without limitation ⁠. ⁠. ⁠. ⁠, provisions regarding single issue ratemaking, a revenue decoupling mechanism or any other incentive ratemaking, and provisions regarding distribution infrastructure and modernization incentives for the electric distribution utility.” R.C. 4928.143(B)⁠(2)⁠(h) (emphasis added). Four members of the court – in a plurality opinion authored by Justice Donnelly and a concurrence authored by Justice DeWine – held that Rider DMR is not an “incentive” under R.C. 4928.143(B)⁠(2)⁠(h).</w:t>
      </w:r>
    </w:p>
    <w:p>
      <w:pPr>
        <w:pStyle w:val="BodyText"/>
      </w:pPr>
      <w:r>
        <w:t xml:space="preserve">The Companies respectfully move for reconsideration of the Court’s June 19, 2019 Opinion because the plain language of R.C. 4928.143(B)⁠(2)⁠(h) requires the Court to determine whether Rider DMR is a provision regarding distribution service. R.C. 4928.143(B)⁠(2)⁠(h) broadly authorizes any provisions regarding the Companies’ distribution service and lists several non-exclusive (i.e., non-limiting) examples. The question left unaddressed and unanswered by the plurality and concurring opinions is whether Rider DMR is a provision regarding the Companies’ distribution service. The Court’s finding that Rider DMR is not an “incentive” is not dispositive of this broader question. Importantly, the Commission approved Rider DMR on two separate and independent grounds – as an incentive and as a provision regarding the Companies’ distribution service, specifically a provision that gives the Companies access to capital markets in order to make distribution investments. As argued by the Companies below, this second ground also qualifies Rider DMR as single-issue ratemaking, one of the specific examples of provisions regarding distribution service enumerated in R.C. 4928.143(B)⁠(2)⁠(h). Neither the plurality opinion nor Justice DeWine’s concurrence addressed the Commission’s second ground for approving Rider DMR under R.C. 4928.143(B)⁠(2)⁠(h). This plainly is grounds for reconsideration so that the Court may complete the analysis required by statute.</w:t>
      </w:r>
    </w:p>
    <w:p>
      <w:pPr>
        <w:pStyle w:val="BodyText"/>
      </w:pPr>
      <w:r>
        <w:t xml:space="preserve">By completing its analysis of R.C. 4928.143(B)⁠(2)⁠(h), the Court not only will satisfy the statutory mandate but also will provide important guidance for all utilities in Ohio and the Commission regarding the scope of this provision. In other contexts, this Court consistently has found that the General Assembly’s use of “including” or “including, without limitation” in a statute indicates a partial, non-exhaustive list. The Court should find that “including, without limitation” has the same meaning in R.C. 4928.143(B)⁠(2)⁠(h), which necessarily requires analysis of all words used in the statute – both the broad category preceding this phrase and each of the sub-categories following it. There is no basis here to disregard the Court’s long-standing precedent, particularly when such an interpretation would be a serious and substantial limitation on the authority of the General Assembly. Thus, the Court should grant reconsideration to correct this error of law.</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Court’s</w:t>
      </w:r>
      <w:r>
        <w:rPr>
          <w:b/>
          <w:bCs/>
          <w:i/>
          <w:iCs/>
        </w:rPr>
        <w:t xml:space="preserve"> </w:t>
      </w:r>
      <w:r>
        <w:rPr>
          <w:b/>
          <w:bCs/>
          <w:i/>
          <w:iCs/>
        </w:rPr>
        <w:t xml:space="preserve">Opinion</w:t>
      </w:r>
      <w:r>
        <w:rPr>
          <w:b/>
          <w:bCs/>
          <w:i/>
          <w:iCs/>
        </w:rPr>
        <w:t xml:space="preserve"> </w:t>
      </w:r>
      <w:r>
        <w:rPr>
          <w:b/>
          <w:bCs/>
          <w:i/>
          <w:iCs/>
        </w:rPr>
        <w:t xml:space="preserve">Resolved</w:t>
      </w:r>
      <w:r>
        <w:rPr>
          <w:b/>
          <w:bCs/>
          <w:i/>
          <w:iCs/>
        </w:rPr>
        <w:t xml:space="preserve"> </w:t>
      </w:r>
      <w:r>
        <w:rPr>
          <w:b/>
          <w:bCs/>
          <w:i/>
          <w:iCs/>
        </w:rPr>
        <w:t xml:space="preserve">Only</w:t>
      </w:r>
      <w:r>
        <w:rPr>
          <w:b/>
          <w:bCs/>
          <w:i/>
          <w:iCs/>
        </w:rPr>
        <w:t xml:space="preserve"> </w:t>
      </w:r>
      <w:r>
        <w:rPr>
          <w:b/>
          <w:bCs/>
          <w:i/>
          <w:iCs/>
        </w:rPr>
        <w:t xml:space="preserve">One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Commission’s</w:t>
      </w:r>
      <w:r>
        <w:rPr>
          <w:b/>
          <w:bCs/>
          <w:i/>
          <w:iCs/>
        </w:rPr>
        <w:t xml:space="preserve"> </w:t>
      </w:r>
      <w:r>
        <w:rPr>
          <w:b/>
          <w:bCs/>
          <w:i/>
          <w:iCs/>
        </w:rPr>
        <w:t xml:space="preserve">Two</w:t>
      </w:r>
      <w:r>
        <w:rPr>
          <w:b/>
          <w:bCs/>
          <w:i/>
          <w:iCs/>
        </w:rPr>
        <w:t xml:space="preserve"> </w:t>
      </w:r>
      <w:r>
        <w:rPr>
          <w:b/>
          <w:bCs/>
          <w:i/>
          <w:iCs/>
        </w:rPr>
        <w:t xml:space="preserve">Grounds</w:t>
      </w:r>
      <w:r>
        <w:rPr>
          <w:b/>
          <w:bCs/>
          <w:i/>
          <w:iCs/>
        </w:rPr>
        <w:t xml:space="preserve"> </w:t>
      </w:r>
      <w:r>
        <w:rPr>
          <w:b/>
          <w:bCs/>
          <w:i/>
          <w:iCs/>
        </w:rPr>
        <w:t xml:space="preserve">for</w:t>
      </w:r>
      <w:r>
        <w:rPr>
          <w:b/>
          <w:bCs/>
          <w:i/>
          <w:iCs/>
        </w:rPr>
        <w:t xml:space="preserve"> </w:t>
      </w:r>
      <w:r>
        <w:rPr>
          <w:b/>
          <w:bCs/>
          <w:i/>
          <w:iCs/>
        </w:rPr>
        <w:t xml:space="preserve">Approval</w:t>
      </w:r>
      <w:r>
        <w:rPr>
          <w:b/>
          <w:bCs/>
          <w:i/>
          <w:iCs/>
        </w:rPr>
        <w:t xml:space="preserve"> </w:t>
      </w:r>
      <w:r>
        <w:rPr>
          <w:b/>
          <w:bCs/>
          <w:i/>
          <w:iCs/>
        </w:rPr>
        <w:t xml:space="preserve">of</w:t>
      </w:r>
      <w:r>
        <w:rPr>
          <w:b/>
          <w:bCs/>
          <w:i/>
          <w:iCs/>
        </w:rPr>
        <w:t xml:space="preserve"> </w:t>
      </w:r>
      <w:r>
        <w:rPr>
          <w:b/>
          <w:bCs/>
          <w:i/>
          <w:iCs/>
        </w:rPr>
        <w:t xml:space="preserve">Rider</w:t>
      </w:r>
      <w:r>
        <w:rPr>
          <w:b/>
          <w:bCs/>
          <w:i/>
          <w:iCs/>
        </w:rPr>
        <w:t xml:space="preserve"> </w:t>
      </w:r>
      <w:r>
        <w:rPr>
          <w:b/>
          <w:bCs/>
          <w:i/>
          <w:iCs/>
        </w:rPr>
        <w:t xml:space="preserve">DMR</w:t>
      </w:r>
      <w:r>
        <w:rPr>
          <w:b/>
          <w:bCs/>
          <w:i/>
          <w:iCs/>
        </w:rPr>
        <w:t xml:space="preserve"> </w:t>
      </w:r>
      <w:r>
        <w:rPr>
          <w:b/>
          <w:bCs/>
          <w:i/>
          <w:iCs/>
        </w:rPr>
        <w:t xml:space="preserve">Under</w:t>
      </w:r>
      <w:r>
        <w:rPr>
          <w:b/>
          <w:bCs/>
          <w:i/>
          <w:iCs/>
        </w:rPr>
        <w:t xml:space="preserve"> </w:t>
      </w:r>
      <w:r>
        <w:rPr>
          <w:b/>
          <w:bCs/>
          <w:i/>
          <w:iCs/>
        </w:rPr>
        <w:t xml:space="preserve">R.C.</w:t>
      </w:r>
      <w:r>
        <w:rPr>
          <w:b/>
          <w:bCs/>
          <w:i/>
          <w:iCs/>
        </w:rPr>
        <w:t xml:space="preserve"> </w:t>
      </w:r>
      <w:r>
        <w:rPr>
          <w:b/>
          <w:bCs/>
          <w:i/>
          <w:iCs/>
        </w:rPr>
        <w:t xml:space="preserve">4928.143(B)⁠(2)⁠(h).</w:t>
      </w:r>
    </w:p>
    <w:p>
      <w:pPr>
        <w:pStyle w:val="BodyText"/>
      </w:pPr>
      <w:r>
        <w:t xml:space="preserve">The Commission approved Rider DMR in its Fifth Entry on Rehearing. In paragraph 185 of the Fifth Entry, the Commission stated its two grounds for approving Rider DMR:</w:t>
      </w:r>
    </w:p>
    <w:p>
      <w:pPr>
        <w:pStyle w:val="BodyTextNote"/>
      </w:pPr>
      <w:r>
        <w:t xml:space="preserve">Rider DMR will provide a needed incentive to the Companies to</w:t>
      </w:r>
      <w:r>
        <w:t xml:space="preserve"> </w:t>
      </w:r>
      <w:r>
        <w:t xml:space="preserve">focus innovation and resources on grid modernization. Further,</w:t>
      </w:r>
      <w:r>
        <w:t xml:space="preserve"> </w:t>
      </w:r>
      <w:r>
        <w:t xml:space="preserve">Rider DMR will address a demonstrated need for credit support for</w:t>
      </w:r>
      <w:r>
        <w:t xml:space="preserve"> </w:t>
      </w:r>
      <w:r>
        <w:t xml:space="preserve">the Companies in order to ensure that the Companies have access</w:t>
      </w:r>
      <w:r>
        <w:t xml:space="preserve"> </w:t>
      </w:r>
      <w:r>
        <w:t xml:space="preserve">to capital markets in order make investments in their distribution</w:t>
      </w:r>
      <w:r>
        <w:t xml:space="preserve"> </w:t>
      </w:r>
      <w:r>
        <w:t xml:space="preserve">system. Fifth Entry, ¶ 185 (emphasis added). Similarly, the Commission’s Merit Brief separately argued the first ground and second ground for approval of Rider DMR.</w:t>
      </w:r>
      <w:r>
        <w:rPr>
          <w:rStyle w:val="FootnoteReference"/>
        </w:rPr>
        <w:footnoteReference w:id="9"/>
      </w:r>
      <w:r>
        <w:t xml:space="preserve"> </w:t>
      </w:r>
      <w:r>
        <w:t xml:space="preserve">The facts supporting the second ground are set out in paragraphs 192</w:t>
      </w:r>
      <w:r>
        <w:noBreakHyphen/>
      </w:r>
      <w:r>
        <w:t xml:space="preserve">95 of the Fifth Entry, namely that Rider DMR is a provision regarding distribution service under R.C. 4928.143(B)⁠(2)⁠(h) because it prevents a downgrade of the Companies’ credit rating and thereby enables cost-effective access to capital markets for purposes of investing in distribution infrastructure.</w:t>
      </w:r>
    </w:p>
    <w:p>
      <w:pPr>
        <w:pStyle w:val="BodyText"/>
      </w:pPr>
      <w:r>
        <w:t xml:space="preserve">Yet the Court’s Opinion addressed only the “incentive” ground and not the Companies’ “access to capital” ground for approving Rider DMR. Indeed, the concurrence asserts that the case “turns on the meaning of the word incentive” and concludes that Rider DMR “is not an incentive and hence not authorized under R.C. 4928.143(B)⁠(2)⁠(h).” Opinion, ¶¶ 57, 58 (DeWine, J., concurrence). Neither the plurality opinion nor the concurrence considered the “access to capital” ground for approval of Rider DMR, and neither considered whether Rider DMR was authorized by any other part or sub-part of R.C. 4928.143(B)⁠(2)⁠(h).</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Reconsider</w:t>
      </w:r>
      <w:r>
        <w:rPr>
          <w:b/>
          <w:bCs/>
          <w:i/>
          <w:iCs/>
        </w:rPr>
        <w:t xml:space="preserve"> </w:t>
      </w:r>
      <w:r>
        <w:rPr>
          <w:b/>
          <w:bCs/>
          <w:i/>
          <w:iCs/>
        </w:rPr>
        <w:t xml:space="preserve">its</w:t>
      </w:r>
      <w:r>
        <w:rPr>
          <w:b/>
          <w:bCs/>
          <w:i/>
          <w:iCs/>
        </w:rPr>
        <w:t xml:space="preserve"> </w:t>
      </w:r>
      <w:r>
        <w:rPr>
          <w:b/>
          <w:bCs/>
          <w:i/>
          <w:iCs/>
        </w:rPr>
        <w:t xml:space="preserve">Opinion</w:t>
      </w:r>
      <w:r>
        <w:rPr>
          <w:b/>
          <w:bCs/>
          <w:i/>
          <w:iCs/>
        </w:rPr>
        <w:t xml:space="preserve"> </w:t>
      </w:r>
      <w:r>
        <w:rPr>
          <w:b/>
          <w:bCs/>
          <w:i/>
          <w:iCs/>
        </w:rPr>
        <w:t xml:space="preserve">to</w:t>
      </w:r>
      <w:r>
        <w:rPr>
          <w:b/>
          <w:bCs/>
          <w:i/>
          <w:iCs/>
        </w:rPr>
        <w:t xml:space="preserve"> </w:t>
      </w:r>
      <w:r>
        <w:rPr>
          <w:b/>
          <w:bCs/>
          <w:i/>
          <w:iCs/>
        </w:rPr>
        <w:t xml:space="preserve">Address,</w:t>
      </w:r>
      <w:r>
        <w:rPr>
          <w:b/>
          <w:bCs/>
          <w:i/>
          <w:iCs/>
        </w:rPr>
        <w:t xml:space="preserve"> </w:t>
      </w:r>
      <w:r>
        <w:rPr>
          <w:b/>
          <w:bCs/>
          <w:i/>
          <w:iCs/>
        </w:rPr>
        <w:t xml:space="preserve">Consistent</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Language</w:t>
      </w:r>
      <w:r>
        <w:rPr>
          <w:b/>
          <w:bCs/>
          <w:i/>
          <w:iCs/>
        </w:rPr>
        <w:t xml:space="preserve"> </w:t>
      </w:r>
      <w:r>
        <w:rPr>
          <w:b/>
          <w:bCs/>
          <w:i/>
          <w:iCs/>
        </w:rPr>
        <w:t xml:space="preserve">of</w:t>
      </w:r>
      <w:r>
        <w:rPr>
          <w:b/>
          <w:bCs/>
          <w:i/>
          <w:iCs/>
        </w:rPr>
        <w:t xml:space="preserve"> </w:t>
      </w:r>
      <w:r>
        <w:rPr>
          <w:b/>
          <w:bCs/>
          <w:i/>
          <w:iCs/>
        </w:rPr>
        <w:t xml:space="preserve">R.C.</w:t>
      </w:r>
      <w:r>
        <w:rPr>
          <w:b/>
          <w:bCs/>
          <w:i/>
          <w:iCs/>
        </w:rPr>
        <w:t xml:space="preserve"> </w:t>
      </w:r>
      <w:r>
        <w:rPr>
          <w:b/>
          <w:bCs/>
          <w:i/>
          <w:iCs/>
        </w:rPr>
        <w:t xml:space="preserve">4928.143(B)⁠(2)⁠(h),</w:t>
      </w:r>
      <w:r>
        <w:rPr>
          <w:b/>
          <w:bCs/>
          <w:i/>
          <w:iCs/>
        </w:rPr>
        <w:t xml:space="preserve"> </w:t>
      </w:r>
      <w:r>
        <w:rPr>
          <w:b/>
          <w:bCs/>
          <w:i/>
          <w:iCs/>
        </w:rPr>
        <w:t xml:space="preserve">Whether</w:t>
      </w:r>
      <w:r>
        <w:rPr>
          <w:b/>
          <w:bCs/>
          <w:i/>
          <w:iCs/>
        </w:rPr>
        <w:t xml:space="preserve"> </w:t>
      </w:r>
      <w:r>
        <w:rPr>
          <w:b/>
          <w:bCs/>
          <w:i/>
          <w:iCs/>
        </w:rPr>
        <w:t xml:space="preserve">Rider</w:t>
      </w:r>
      <w:r>
        <w:rPr>
          <w:b/>
          <w:bCs/>
          <w:i/>
          <w:iCs/>
        </w:rPr>
        <w:t xml:space="preserve"> </w:t>
      </w:r>
      <w:r>
        <w:rPr>
          <w:b/>
          <w:bCs/>
          <w:i/>
          <w:iCs/>
        </w:rPr>
        <w:t xml:space="preserve">DMR</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Provision</w:t>
      </w:r>
      <w:r>
        <w:rPr>
          <w:b/>
          <w:bCs/>
          <w:i/>
          <w:iCs/>
        </w:rPr>
        <w:t xml:space="preserve"> </w:t>
      </w:r>
      <w:r>
        <w:rPr>
          <w:b/>
          <w:bCs/>
          <w:i/>
          <w:iCs/>
        </w:rPr>
        <w:t xml:space="preserve">Regarding</w:t>
      </w:r>
      <w:r>
        <w:rPr>
          <w:b/>
          <w:bCs/>
          <w:i/>
          <w:iCs/>
        </w:rPr>
        <w:t xml:space="preserve"> </w:t>
      </w:r>
      <w:r>
        <w:rPr>
          <w:b/>
          <w:bCs/>
          <w:i/>
          <w:iCs/>
        </w:rPr>
        <w:t xml:space="preserve">the</w:t>
      </w:r>
      <w:r>
        <w:rPr>
          <w:b/>
          <w:bCs/>
          <w:i/>
          <w:iCs/>
        </w:rPr>
        <w:t xml:space="preserve"> </w:t>
      </w:r>
      <w:r>
        <w:rPr>
          <w:b/>
          <w:bCs/>
          <w:i/>
          <w:iCs/>
        </w:rPr>
        <w:t xml:space="preserve">Companies’</w:t>
      </w:r>
      <w:r>
        <w:rPr>
          <w:b/>
          <w:bCs/>
          <w:i/>
          <w:iCs/>
        </w:rPr>
        <w:t xml:space="preserve"> </w:t>
      </w:r>
      <w:r>
        <w:rPr>
          <w:b/>
          <w:bCs/>
          <w:i/>
          <w:iCs/>
        </w:rPr>
        <w:t xml:space="preserve">Distribution</w:t>
      </w:r>
      <w:r>
        <w:rPr>
          <w:b/>
          <w:bCs/>
          <w:i/>
          <w:iCs/>
        </w:rPr>
        <w:t xml:space="preserve"> </w:t>
      </w:r>
      <w:r>
        <w:rPr>
          <w:b/>
          <w:bCs/>
          <w:i/>
          <w:iCs/>
        </w:rPr>
        <w:t xml:space="preserve">Service</w:t>
      </w:r>
      <w:r>
        <w:rPr>
          <w:b/>
          <w:bCs/>
          <w:i/>
          <w:iCs/>
        </w:rPr>
        <w:t xml:space="preserve"> </w:t>
      </w:r>
      <w:r>
        <w:rPr>
          <w:b/>
          <w:bCs/>
          <w:i/>
          <w:iCs/>
        </w:rPr>
        <w:t xml:space="preserve">or</w:t>
      </w:r>
      <w:r>
        <w:rPr>
          <w:b/>
          <w:bCs/>
          <w:i/>
          <w:iCs/>
        </w:rPr>
        <w:t xml:space="preserve"> </w:t>
      </w:r>
      <w:r>
        <w:rPr>
          <w:b/>
          <w:bCs/>
          <w:i/>
          <w:iCs/>
        </w:rPr>
        <w:t xml:space="preserve">Single-Issue</w:t>
      </w:r>
      <w:r>
        <w:rPr>
          <w:b/>
          <w:bCs/>
          <w:i/>
          <w:iCs/>
        </w:rPr>
        <w:t xml:space="preserve"> </w:t>
      </w:r>
      <w:r>
        <w:rPr>
          <w:b/>
          <w:bCs/>
          <w:i/>
          <w:iCs/>
        </w:rPr>
        <w:t xml:space="preserve">Ratemaking.</w:t>
      </w:r>
    </w:p>
    <w:p>
      <w:pPr>
        <w:pStyle w:val="BodyText"/>
      </w:pPr>
      <w:r>
        <w:t xml:space="preserve">The Court’s plurality and concurring opinions misread R.C. 4928.143(B)⁠(2)⁠(h) by focusing exclusively on whether Rider DMR is a “distribution modernization incentive.” The Commission also has authority under R.C. 4928.143(B)⁠(2)⁠(h) to approve any provision regarding a utility’s distribution service, including, without limitation, a single-issue ratemaking provision. In the Companies’ ESP proceeding, the Commission found that Rider DMR was a reasonable provision regarding the Companies’ distribution service because it would ensure that the Companies have access to capital markets (which access clearly was threatened) in order to make investments in their distribution system. Fifth Entry, ¶¶ 185, 192</w:t>
      </w:r>
      <w:r>
        <w:noBreakHyphen/>
      </w:r>
      <w:r>
        <w:t xml:space="preserve">95, 281. Even if Rider DMR is not an incentive, the Commission had authority to approve Rider DMR under the plain language of R.C. 4928.143(B)⁠(2)⁠(h) because Rider DMR is a provision regarding the Companies’ distribution service.</w:t>
      </w:r>
    </w:p>
    <w:p>
      <w:pPr>
        <w:pStyle w:val="BodyText"/>
      </w:pPr>
      <w:r>
        <w:t xml:space="preserve">In the alternative, if the Court determines that the Commission may approve only the distribution provision examples listed in division (B)⁠(2)⁠(h) – provisions regarding single issue ratemaking, a revenue decoupling mechanism or any other incentive ratemaking, and provisions regarding distribution infrastructure and modernization incentives for the electric distribution utility – then the Commission had authority to approve Rider DMR as a single-issue ratemaking provision. See Fifth Entry, ¶¶ 127, 185. See also id., ¶ 290 (“R.C. 4928.143(B)⁠(2)⁠(h) explicitly authorizes ‘single issue ratemaking’ and ‘incentive ratemaking.’” (emphasis added)). The Companies made this argument below. See Fifth Entry, ¶ 127. Rider DMR addresses the single issue of the Companies’ demonstrated need to maintain the Companies’ investment grade credit rating, access capital markets at a reasonable cost and borrow the billions of dollars needed for grid modernization.</w:t>
      </w:r>
    </w:p>
    <w:p>
      <w:pPr>
        <w:pStyle w:val="BodyText"/>
      </w:pPr>
      <w:r>
        <w:t xml:space="preserve">The Court should grant reconsideration because the plain language of R.C. 4928.143(B)⁠(2) requires further analysis by the Court. The Court found that Rider DMR is not a distribution modernization incentive. Now, the Court must determine whether Rider DMR is a provision regarding the Companies’ distribution service or, in the alternative, whether Rider DMR is a single-issue ratemaking provision.</w:t>
      </w:r>
    </w:p>
    <w:p>
      <w:pPr>
        <w:keepNext/>
        <w:keepLines/>
        <w:spacing w:before="264" w:after="144" w:line="276"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Grant</w:t>
      </w:r>
      <w:r>
        <w:rPr>
          <w:b/>
          <w:bCs/>
          <w:i/>
          <w:iCs/>
        </w:rPr>
        <w:t xml:space="preserve"> </w:t>
      </w:r>
      <w:r>
        <w:rPr>
          <w:b/>
          <w:bCs/>
          <w:i/>
          <w:iCs/>
        </w:rPr>
        <w:t xml:space="preserve">Reconsideration</w:t>
      </w:r>
      <w:r>
        <w:rPr>
          <w:b/>
          <w:bCs/>
          <w:i/>
          <w:iCs/>
        </w:rPr>
        <w:t xml:space="preserve"> </w:t>
      </w:r>
      <w:r>
        <w:rPr>
          <w:b/>
          <w:bCs/>
          <w:i/>
          <w:iCs/>
        </w:rPr>
        <w:t xml:space="preserve">Because</w:t>
      </w:r>
      <w:r>
        <w:rPr>
          <w:b/>
          <w:bCs/>
          <w:i/>
          <w:iCs/>
        </w:rPr>
        <w:t xml:space="preserve"> </w:t>
      </w:r>
      <w:r>
        <w:rPr>
          <w:b/>
          <w:bCs/>
          <w:i/>
          <w:iCs/>
        </w:rPr>
        <w:t xml:space="preserve">Distribution</w:t>
      </w:r>
      <w:r>
        <w:rPr>
          <w:b/>
          <w:bCs/>
          <w:i/>
          <w:iCs/>
        </w:rPr>
        <w:t xml:space="preserve"> </w:t>
      </w:r>
      <w:r>
        <w:rPr>
          <w:b/>
          <w:bCs/>
          <w:i/>
          <w:iCs/>
        </w:rPr>
        <w:t xml:space="preserve">Provisions</w:t>
      </w:r>
      <w:r>
        <w:rPr>
          <w:b/>
          <w:bCs/>
          <w:i/>
          <w:iCs/>
        </w:rPr>
        <w:t xml:space="preserve"> </w:t>
      </w:r>
      <w:r>
        <w:rPr>
          <w:b/>
          <w:bCs/>
          <w:i/>
          <w:iCs/>
        </w:rPr>
        <w:t xml:space="preserve">in</w:t>
      </w:r>
      <w:r>
        <w:rPr>
          <w:b/>
          <w:bCs/>
          <w:i/>
          <w:iCs/>
        </w:rPr>
        <w:t xml:space="preserve"> </w:t>
      </w:r>
      <w:r>
        <w:rPr>
          <w:b/>
          <w:bCs/>
          <w:i/>
          <w:iCs/>
        </w:rPr>
        <w:t xml:space="preserve">an</w:t>
      </w:r>
      <w:r>
        <w:rPr>
          <w:b/>
          <w:bCs/>
          <w:i/>
          <w:iCs/>
        </w:rPr>
        <w:t xml:space="preserve"> </w:t>
      </w:r>
      <w:r>
        <w:rPr>
          <w:b/>
          <w:bCs/>
          <w:i/>
          <w:iCs/>
        </w:rPr>
        <w:t xml:space="preserve">ESP</w:t>
      </w:r>
      <w:r>
        <w:rPr>
          <w:b/>
          <w:bCs/>
          <w:i/>
          <w:iCs/>
        </w:rPr>
        <w:t xml:space="preserve"> </w:t>
      </w:r>
      <w:r>
        <w:rPr>
          <w:b/>
          <w:bCs/>
          <w:i/>
          <w:iCs/>
        </w:rPr>
        <w:t xml:space="preserve">Approved</w:t>
      </w:r>
      <w:r>
        <w:rPr>
          <w:b/>
          <w:bCs/>
          <w:i/>
          <w:iCs/>
        </w:rPr>
        <w:t xml:space="preserve"> </w:t>
      </w:r>
      <w:r>
        <w:rPr>
          <w:b/>
          <w:bCs/>
          <w:i/>
          <w:iCs/>
        </w:rPr>
        <w:t xml:space="preserve">Under</w:t>
      </w:r>
      <w:r>
        <w:rPr>
          <w:b/>
          <w:bCs/>
          <w:i/>
          <w:iCs/>
        </w:rPr>
        <w:t xml:space="preserve"> </w:t>
      </w:r>
      <w:r>
        <w:rPr>
          <w:b/>
          <w:bCs/>
          <w:i/>
          <w:iCs/>
        </w:rPr>
        <w:t xml:space="preserve">R.C.</w:t>
      </w:r>
      <w:r>
        <w:rPr>
          <w:b/>
          <w:bCs/>
          <w:i/>
          <w:iCs/>
        </w:rPr>
        <w:t xml:space="preserve"> </w:t>
      </w:r>
      <w:r>
        <w:rPr>
          <w:b/>
          <w:bCs/>
          <w:i/>
          <w:iCs/>
        </w:rPr>
        <w:t xml:space="preserve">4928.143(B)⁠(2)⁠(h)</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Limited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Four</w:t>
      </w:r>
    </w:p>
    <w:p>
      <w:pPr>
        <w:pStyle w:val="BodyText"/>
      </w:pPr>
      <w:r>
        <w:t xml:space="preserve">Categories Specifically Authorized Therein.</w:t>
      </w:r>
    </w:p>
    <w:p>
      <w:pPr>
        <w:pStyle w:val="BodyText"/>
      </w:pPr>
      <w:r>
        <w:t xml:space="preserve">The Court’s exclusive focus on whether Rider DMR is an incentive suggests, wrongly, that the Commission is limited to approving only the four categories of distribution provisions that follow “including, without limitation” in R.C. 4928.143(B)⁠(2)⁠(h). But “including, without limitation” does not mean “including only the following.” The Court has never interpreted “including, without limitation” in this manner. Instead, the Court has interpreted this language to mean that what follows is a partial list of items that easily qualify as examples of the category that precedes the list. See, e.g., State v. Anderson, 138 Ohio St.3d 264, 2014-Ohio</w:t>
      </w:r>
      <w:r>
        <w:noBreakHyphen/>
      </w:r>
      <w:r>
        <w:t xml:space="preserve">542, 6 N.E.3d 23, ¶ 45 (list is illustrative, not exhaustive); State v. Thompson, 92 Ohio St. 3d 584, 588, 752 N.E.2d 276 (2001) (same); State v. Lozano, 90 Ohio St. 3d 560, 562, 740 N.E.2d 273 (2001) (same). See also Chesapeake Exploration, L.L.C. v. Buell, 144 Ohio St.3d 490, 2015-Ohio</w:t>
      </w:r>
      <w:r>
        <w:noBreakHyphen/>
      </w:r>
      <w:r>
        <w:t xml:space="preserve">4551, 45 N.E.3d 185, ¶ 35 (“[t]he word ‘including’ indicates a partial list” that is not exhaustive or otherwise limiting). Decades of well-established Supreme Court precedent make clear that the use of “including” in a statute (let alone the more emphatic “including, but not limited to”) denotes a partial listing, not an exhaustive one. Thus, R.C. 4928.143(B)⁠(2)⁠(h) authorizes provisions regarding a utility’s distribution service, and the four items that follow are a partial list of such provisions.</w:t>
      </w:r>
    </w:p>
    <w:p>
      <w:pPr>
        <w:pStyle w:val="BodyText"/>
      </w:pPr>
      <w:r>
        <w:t xml:space="preserve">The language in division (B)⁠(2)⁠(h) can and should be distinguished from the “include, without limitation, any of the following” language that appears in division (B)⁠(2). The Court found in In re Columbus S. Power Co., 128 Ohio St.3d 512, 2011-Ohio</w:t>
      </w:r>
      <w:r>
        <w:noBreakHyphen/>
      </w:r>
      <w:r>
        <w:t xml:space="preserve">1788, 947 N.E.2d 655, ¶ 32, that “R.C. 4928.143(B)⁠(2) allows plans to include only ‘any of the following’ provisions. It does not allow plans to include ‘any provision.’” In contrast, R.C. 4928.143(B)⁠(2)⁠(h) broadly allows any provisions regarding a utility’s distribution service, which may include, but are not limited to, the four sub-categories set out therein. Any reading of the statute that ignores this distinction is clearly erroneous and must be corrected. If a statute authorizes “any ice cream, including, without limitation, vanilla, strawberry, chocolate or butter pecan,” then any type of ice cream will do. But here, the Court asked only whether Rider DMR was one of several non-exhaustive sub-categories (the “butter pecan”), without also deciding whether it related to distribution service.</w:t>
      </w:r>
    </w:p>
    <w:p>
      <w:pPr>
        <w:pStyle w:val="BodyText"/>
      </w:pPr>
      <w:r>
        <w:t xml:space="preserve">The Court’s exclusive focus on “incentives” creates grave concern that the Court is attempting to limit the Commission’s authority granted to it by the General Assembly. The Court’s analysis must begin with the language of the statute, and the Court must give effect to the words used, making neither additions nor deletions from the words chosen by the General Assembly. In re Application of Ohio Power Co., 140 Ohio St.3d 509, 2014-Ohio</w:t>
      </w:r>
      <w:r>
        <w:noBreakHyphen/>
      </w:r>
      <w:r>
        <w:t xml:space="preserve">4271, 20 N.E.3d 699, ¶¶ 20, 24; In re Columbus S. Power Co., 138 Ohio St.3d 448, 2014-Ohio</w:t>
      </w:r>
      <w:r>
        <w:noBreakHyphen/>
      </w:r>
      <w:r>
        <w:t xml:space="preserve">462, 8 N.E.3d 863, ¶ 26. See also Ohio Neighborhood Fin., Inc. v. Scott, 139 Ohio St.3d 536, 2014-Ohio</w:t>
      </w:r>
      <w:r>
        <w:noBreakHyphen/>
      </w:r>
      <w:r>
        <w:t xml:space="preserve">2440, 13 N.E.3d 1115, ¶ 26 (Court cannot rewrite unambiguous statute); State v. Tolliver, 140 Ohio St.3d 420, 2014-Ohio</w:t>
      </w:r>
      <w:r>
        <w:noBreakHyphen/>
      </w:r>
      <w:r>
        <w:t xml:space="preserve">3744, 19 N.E.3d 870, ¶ 10 (“It is our duty ‘to give effect to the words used, not to delete words used or to insert words not used.’”); Armstrong v. John R. Jurgensen Co., 136 Ohio St.3d 58, 2013-Ohio</w:t>
      </w:r>
      <w:r>
        <w:noBreakHyphen/>
      </w:r>
      <w:r>
        <w:t xml:space="preserve">2237, 990 N.E.2d 568, ¶ 12 (“The court may not delete or insert words, but must give effect to the words the General Assembly has chosen.”). The Court cannot add “any of the following” to division (B)⁠(2)⁠(h). Nor can the Court impose conditions that do not appear in the plain language of division (B)⁠(2)⁠(h). Nor can the Court decide which kinds of distribution provisions may or may not be approved under division (B)⁠(2)⁠(h). This is within the sound discretion of the Commission. If there is concern that division (B)⁠(2)⁠(h) is too broad, then recourse is to the General Assembly, not this Court. On reconsideration, the Court should give effect to all of the words in R.C. 4928.143(B)⁠(2)⁠(h).</w:t>
      </w:r>
    </w:p>
    <w:p>
      <w:pPr>
        <w:pStyle w:val="BodyText"/>
      </w:pPr>
      <w:r>
        <w:t xml:space="preserve">Accordingly, the Companies request that this Court reconsider and vacate its Opinion and give due consideration to the arguments set forth herein and render an Order on Reconsideration consistent with those arguments.</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James</w:t>
                  </w:r>
                  <w:r>
                    <w:t xml:space="preserve"> </w:t>
                  </w:r>
                  <w:r>
                    <w:t xml:space="preserve">F.</w:t>
                  </w:r>
                  <w:r>
                    <w:t xml:space="preserve"> </w:t>
                  </w:r>
                  <w:r>
                    <w:t xml:space="preserve">Lang</w:t>
                  </w:r>
                </w:p>
                <w:p>
                  <w:pPr>
                    <w:spacing w:before="0" w:after="0" w:line="276" w:lineRule="exact"/>
                    <w:ind w:left="0" w:firstLine="0"/>
                    <w:jc w:val="left"/>
                  </w:pPr>
                  <w:r>
                    <w:t xml:space="preserve">James</w:t>
                  </w:r>
                  <w:r>
                    <w:t xml:space="preserve"> </w:t>
                  </w:r>
                  <w:r>
                    <w:t xml:space="preserve">F.</w:t>
                  </w:r>
                  <w:r>
                    <w:t xml:space="preserve"> </w:t>
                  </w:r>
                  <w:r>
                    <w:t xml:space="preserve">Lang</w:t>
                  </w:r>
                  <w:r>
                    <w:t xml:space="preserve"> </w:t>
                  </w:r>
                  <w:r>
                    <w:t xml:space="preserve">(0059668)</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N.</w:t>
                  </w:r>
                  <w:r>
                    <w:t xml:space="preserve"> </w:t>
                  </w:r>
                  <w:r>
                    <w:t xml:space="preserve">Trevor</w:t>
                  </w:r>
                  <w:r>
                    <w:t xml:space="preserve"> </w:t>
                  </w:r>
                  <w:r>
                    <w:t xml:space="preserve">Alexander</w:t>
                  </w:r>
                  <w:r>
                    <w:t xml:space="preserve"> </w:t>
                  </w:r>
                  <w:r>
                    <w:t xml:space="preserve">(0080713)</w:t>
                  </w:r>
                </w:p>
                <w:p>
                  <w:pPr>
                    <w:spacing w:before="0" w:after="0" w:line="276" w:lineRule="exact"/>
                    <w:ind w:left="0" w:firstLine="0"/>
                    <w:jc w:val="left"/>
                  </w:pPr>
                  <w:r>
                    <w:t xml:space="preserve">CALFEE,</w:t>
                  </w:r>
                  <w:r>
                    <w:t xml:space="preserve"> </w:t>
                  </w:r>
                  <w:r>
                    <w:t xml:space="preserve">HALTER</w:t>
                  </w:r>
                  <w:r>
                    <w:t xml:space="preserve"> </w:t>
                  </w:r>
                  <w:r>
                    <w:t xml:space="preserve">&amp;</w:t>
                  </w:r>
                  <w:r>
                    <w:t xml:space="preserve"> </w:t>
                  </w:r>
                  <w:r>
                    <w:t xml:space="preserve">GRISWOLD</w:t>
                  </w:r>
                  <w:r>
                    <w:t xml:space="preserve"> </w:t>
                  </w:r>
                  <w:r>
                    <w:t xml:space="preserve">LLP</w:t>
                  </w:r>
                </w:p>
                <w:p>
                  <w:pPr>
                    <w:spacing w:before="0" w:after="0" w:line="276" w:lineRule="exact"/>
                    <w:ind w:left="0" w:firstLine="0"/>
                    <w:jc w:val="left"/>
                  </w:pPr>
                  <w:r>
                    <w:t xml:space="preserve">1405</w:t>
                  </w:r>
                  <w:r>
                    <w:t xml:space="preserve"> </w:t>
                  </w:r>
                  <w:r>
                    <w:t xml:space="preserve">East</w:t>
                  </w:r>
                  <w:r>
                    <w:t xml:space="preserve"> </w:t>
                  </w:r>
                  <w:r>
                    <w:t xml:space="preserve">Sixth</w:t>
                  </w:r>
                  <w:r>
                    <w:t xml:space="preserve"> </w:t>
                  </w:r>
                  <w:r>
                    <w:t xml:space="preserve">Street</w:t>
                  </w:r>
                </w:p>
                <w:p>
                  <w:pPr>
                    <w:spacing w:before="0" w:after="0" w:line="276" w:lineRule="exact"/>
                    <w:ind w:left="0" w:firstLine="0"/>
                    <w:jc w:val="left"/>
                  </w:pPr>
                  <w:r>
                    <w:t xml:space="preserve">Cleveland,</w:t>
                  </w:r>
                  <w:r>
                    <w:t xml:space="preserve"> </w:t>
                  </w:r>
                  <w:r>
                    <w:t xml:space="preserve">Ohio</w:t>
                  </w:r>
                  <w:r>
                    <w:t xml:space="preserve"> </w:t>
                  </w:r>
                  <w:r>
                    <w:t xml:space="preserve">44114</w:t>
                  </w:r>
                </w:p>
                <w:p>
                  <w:pPr>
                    <w:spacing w:before="0" w:after="0" w:line="276" w:lineRule="exact"/>
                    <w:ind w:left="0" w:firstLine="0"/>
                    <w:jc w:val="left"/>
                  </w:pPr>
                  <w:r>
                    <w:t xml:space="preserve">(216)</w:t>
                  </w:r>
                  <w:r>
                    <w:t xml:space="preserve"> </w:t>
                  </w:r>
                  <w:r>
                    <w:t xml:space="preserve">622</w:t>
                    <w:noBreakHyphen/>
                    <w:t xml:space="preserve">8200</w:t>
                  </w:r>
                </w:p>
                <w:p>
                  <w:pPr>
                    <w:spacing w:before="0" w:after="0" w:line="276" w:lineRule="exact"/>
                    <w:ind w:left="0" w:firstLine="0"/>
                    <w:jc w:val="left"/>
                  </w:pPr>
                  <w:r>
                    <w:t xml:space="preserve">jlang@calfee.com</w:t>
                  </w:r>
                </w:p>
                <w:p>
                  <w:pPr>
                    <w:spacing w:before="0" w:after="0" w:line="276" w:lineRule="exact"/>
                    <w:ind w:left="0" w:firstLine="0"/>
                    <w:jc w:val="left"/>
                  </w:pPr>
                  <w:r>
                    <w:t xml:space="preserve">talexander@calfee.com</w:t>
                  </w:r>
                </w:p>
                <w:p>
                  <w:pPr>
                    <w:spacing w:before="0" w:after="0" w:line="276" w:lineRule="exact"/>
                    <w:ind w:left="0" w:firstLine="0"/>
                    <w:jc w:val="left"/>
                  </w:pPr>
                </w:p>
                <w:p>
                  <w:pPr>
                    <w:spacing w:before="0" w:after="0" w:line="276" w:lineRule="exact"/>
                    <w:ind w:left="0" w:firstLine="0"/>
                    <w:jc w:val="left"/>
                  </w:pPr>
                  <w:r>
                    <w:t xml:space="preserve">Attorneys</w:t>
                  </w:r>
                  <w:r>
                    <w:t xml:space="preserve"> </w:t>
                  </w:r>
                  <w:r>
                    <w:t xml:space="preserve">for</w:t>
                  </w:r>
                  <w:r>
                    <w:t xml:space="preserve"> </w:t>
                  </w:r>
                  <w:r>
                    <w:t xml:space="preserve">Intervening</w:t>
                  </w:r>
                  <w:r>
                    <w:t xml:space="preserve"> </w:t>
                  </w:r>
                  <w:r>
                    <w:t xml:space="preserve">Appellees,</w:t>
                  </w:r>
                  <w:r>
                    <w:t xml:space="preserve"> </w:t>
                  </w:r>
                  <w:r>
                    <w:t xml:space="preserve">Ohio</w:t>
                  </w:r>
                  <w:r>
                    <w:t xml:space="preserve"> </w:t>
                  </w:r>
                  <w:r>
                    <w:t xml:space="preserve">Edison</w:t>
                  </w:r>
                  <w:r>
                    <w:t xml:space="preserve"> </w:t>
                  </w:r>
                  <w:r>
                    <w:t xml:space="preserve">Company,</w:t>
                  </w:r>
                  <w:r>
                    <w:t xml:space="preserve"> </w:t>
                  </w:r>
                  <w:r>
                    <w:t xml:space="preserve">The</w:t>
                  </w:r>
                  <w:r>
                    <w:t xml:space="preserve"> </w:t>
                  </w:r>
                  <w:r>
                    <w:t xml:space="preserve">Cleveland</w:t>
                  </w:r>
                  <w:r>
                    <w:t xml:space="preserve"> </w:t>
                  </w:r>
                  <w:r>
                    <w:t xml:space="preserve">Electric</w:t>
                  </w:r>
                  <w:r>
                    <w:t xml:space="preserve"> </w:t>
                  </w:r>
                  <w:r>
                    <w:t xml:space="preserve">Illuminating</w:t>
                  </w:r>
                  <w:r>
                    <w:t xml:space="preserve"> </w:t>
                  </w:r>
                  <w:r>
                    <w:t xml:space="preserve">Company</w:t>
                  </w:r>
                  <w:r>
                    <w:t xml:space="preserve"> </w:t>
                  </w:r>
                  <w:r>
                    <w:t xml:space="preserve">and</w:t>
                  </w:r>
                  <w:r>
                    <w:t xml:space="preserve"> </w:t>
                  </w:r>
                  <w:r>
                    <w:t xml:space="preserve">The</w:t>
                  </w:r>
                  <w:r>
                    <w:t xml:space="preserve"> </w:t>
                  </w:r>
                  <w:r>
                    <w:t xml:space="preserve">Toledo</w:t>
                  </w:r>
                  <w:r>
                    <w:t xml:space="preserve"> </w:t>
                  </w:r>
                  <w:r>
                    <w:t xml:space="preserve">Edison</w:t>
                  </w:r>
                  <w:r>
                    <w:t xml:space="preserve"> </w:t>
                  </w:r>
                  <w:r>
                    <w:t xml:space="preserve">Company</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by</w:t>
      </w:r>
      <w:r>
        <w:t xml:space="preserve"> </w:t>
      </w:r>
      <w:r>
        <w:t xml:space="preserve">e-mail</w:t>
      </w:r>
      <w:r>
        <w:t xml:space="preserve"> </w:t>
      </w:r>
      <w:r>
        <w:t xml:space="preserve">on</w:t>
      </w:r>
      <w:r>
        <w:t xml:space="preserve"> </w:t>
      </w:r>
      <w:r>
        <w:t xml:space="preserve">July</w:t>
      </w:r>
      <w:r>
        <w:t xml:space="preserve"> </w:t>
      </w:r>
      <w:r>
        <w:t xml:space="preserve">1,</w:t>
      </w:r>
      <w:r>
        <w:t xml:space="preserve"> </w:t>
      </w:r>
      <w:r>
        <w:t xml:space="preserve">2019</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Thomas</w:t>
            </w:r>
            <w:r>
              <w:t xml:space="preserve"> </w:t>
            </w:r>
            <w:r>
              <w:t xml:space="preserve">W.</w:t>
            </w:r>
            <w:r>
              <w:t xml:space="preserve"> </w:t>
            </w:r>
            <w:r>
              <w:t xml:space="preserve">McNamee</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Public</w:t>
            </w:r>
            <w:r>
              <w:t xml:space="preserve"> </w:t>
            </w:r>
            <w:r>
              <w:t xml:space="preserve">Utilities</w:t>
            </w:r>
            <w:r>
              <w:t xml:space="preserve"> </w:t>
            </w:r>
            <w:r>
              <w:t xml:space="preserve">Section</w:t>
            </w:r>
          </w:p>
          <w:p>
            <w:pPr>
              <w:spacing w:before="0" w:after="0" w:line="276" w:lineRule="exact"/>
              <w:ind w:left="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16th</w:t>
            </w:r>
            <w:r>
              <w:t xml:space="preserve"> </w:t>
            </w:r>
            <w:r>
              <w:t xml:space="preserve">Floor</w:t>
            </w:r>
          </w:p>
          <w:p>
            <w:pPr>
              <w:spacing w:before="0" w:after="0" w:line="276" w:lineRule="exact"/>
              <w:ind w:left="0" w:firstLine="0"/>
              <w:jc w:val="left"/>
            </w:pPr>
            <w:r>
              <w:t xml:space="preserve">Columbus,</w:t>
            </w:r>
            <w:r>
              <w:t xml:space="preserve"> </w:t>
            </w:r>
            <w:r>
              <w:t xml:space="preserve">Ohio</w:t>
            </w:r>
            <w:r>
              <w:t xml:space="preserve"> </w:t>
            </w:r>
            <w:r>
              <w:t xml:space="preserve">43215</w:t>
              <w:noBreakHyphen/>
              <w:t xml:space="preserve">3414</w:t>
            </w:r>
          </w:p>
          <w:p>
            <w:pPr>
              <w:spacing w:before="0" w:after="0" w:line="276" w:lineRule="exact"/>
              <w:ind w:left="0" w:firstLine="0"/>
              <w:jc w:val="left"/>
            </w:pPr>
            <w:r>
              <w:t xml:space="preserve">thomas.mcnamee@ohioattorneygeneral.gov</w:t>
            </w:r>
          </w:p>
          <w:p>
            <w:pPr>
              <w:spacing w:before="0" w:after="0" w:line="276" w:lineRule="exact"/>
              <w:ind w:left="0" w:firstLine="0"/>
              <w:jc w:val="left"/>
            </w:pPr>
          </w:p>
          <w:p>
            <w:pPr>
              <w:spacing w:before="0" w:after="0" w:line="276" w:lineRule="exact"/>
              <w:ind w:left="0" w:firstLine="0"/>
              <w:jc w:val="left"/>
            </w:pPr>
            <w:r>
              <w:t xml:space="preserve">Attorney</w:t>
            </w:r>
            <w:r>
              <w:t xml:space="preserve"> </w:t>
            </w:r>
            <w:r>
              <w:t xml:space="preserve">for</w:t>
            </w:r>
            <w:r>
              <w:t xml:space="preserve"> </w:t>
            </w:r>
            <w:r>
              <w:t xml:space="preserve">Appellee,</w:t>
            </w:r>
            <w:r>
              <w:t xml:space="preserve"> </w:t>
            </w:r>
            <w:r>
              <w:t xml:space="preserve">The</w:t>
            </w:r>
            <w:r>
              <w:t xml:space="preserve"> </w:t>
            </w:r>
            <w:r>
              <w:t xml:space="preserve">Public</w:t>
            </w:r>
            <w:r>
              <w:t xml:space="preserve"> </w:t>
            </w:r>
            <w:r>
              <w:t xml:space="preserve">Utilities</w:t>
            </w:r>
            <w:r>
              <w:t xml:space="preserve"> </w:t>
            </w:r>
            <w:r>
              <w:t xml:space="preserve">Commission</w:t>
            </w:r>
            <w:r>
              <w:t xml:space="preserve"> </w:t>
            </w:r>
            <w:r>
              <w:t xml:space="preserve">of</w:t>
            </w:r>
            <w:r>
              <w:t xml:space="preserve"> </w:t>
            </w:r>
            <w:r>
              <w:t xml:space="preserve">Ohio</w:t>
            </w:r>
          </w:p>
        </w:tc>
        <w:tc>
          <w:tcPr>
            <w:tcW w:w="4896" w:type="dxa"/>
            <w:tcMar>
              <w:left w:w="432" w:type="dxa"/>
            </w:tcMar>
          </w:tcPr>
          <w:p>
            <w:pPr>
              <w:spacing w:before="0" w:after="0" w:line="276" w:lineRule="exact"/>
              <w:ind w:left="0" w:firstLine="0"/>
              <w:jc w:val="left"/>
            </w:pPr>
            <w:r>
              <w:t xml:space="preserve">Michael</w:t>
            </w:r>
            <w:r>
              <w:t xml:space="preserve"> </w:t>
            </w:r>
            <w:r>
              <w:t xml:space="preserve">L.</w:t>
            </w:r>
            <w:r>
              <w:t xml:space="preserve"> </w:t>
            </w:r>
            <w:r>
              <w:t xml:space="preserve">Kurtz</w:t>
            </w:r>
          </w:p>
          <w:p>
            <w:pPr>
              <w:spacing w:before="0" w:after="0" w:line="276" w:lineRule="exact"/>
              <w:ind w:left="0" w:firstLine="0"/>
              <w:jc w:val="left"/>
            </w:pPr>
            <w:r>
              <w:t xml:space="preserve">Jody</w:t>
            </w:r>
            <w:r>
              <w:t xml:space="preserve"> </w:t>
            </w:r>
            <w:r>
              <w:t xml:space="preserve">Kyler</w:t>
            </w:r>
            <w:r>
              <w:t xml:space="preserve"> </w:t>
            </w:r>
            <w:r>
              <w:t xml:space="preserve">Cohn</w:t>
            </w:r>
          </w:p>
          <w:p>
            <w:pPr>
              <w:spacing w:before="0" w:after="0" w:line="276" w:lineRule="exact"/>
              <w:ind w:left="0" w:firstLine="0"/>
              <w:jc w:val="left"/>
            </w:pPr>
            <w:r>
              <w:t xml:space="preserve">Boehm,</w:t>
            </w:r>
            <w:r>
              <w:t xml:space="preserve"> </w:t>
            </w:r>
            <w:r>
              <w:t xml:space="preserve">Kurtz</w:t>
            </w:r>
            <w:r>
              <w:t xml:space="preserve"> </w:t>
            </w:r>
            <w:r>
              <w:t xml:space="preserve">&amp;</w:t>
            </w:r>
            <w:r>
              <w:t xml:space="preserve"> </w:t>
            </w:r>
            <w:r>
              <w:t xml:space="preserve">Lowry</w:t>
            </w:r>
          </w:p>
          <w:p>
            <w:pPr>
              <w:spacing w:before="0" w:after="0" w:line="276" w:lineRule="exact"/>
              <w:ind w:left="0" w:firstLine="0"/>
              <w:jc w:val="left"/>
            </w:pPr>
            <w:r>
              <w:t xml:space="preserve">36</w:t>
            </w:r>
            <w:r>
              <w:t xml:space="preserve"> </w:t>
            </w:r>
            <w:r>
              <w:t xml:space="preserve">E.</w:t>
            </w:r>
            <w:r>
              <w:t xml:space="preserve"> </w:t>
            </w:r>
            <w:r>
              <w:t xml:space="preserve">Seventh</w:t>
            </w:r>
            <w:r>
              <w:t xml:space="preserve"> </w:t>
            </w:r>
            <w:r>
              <w:t xml:space="preserve">Street,</w:t>
            </w:r>
            <w:r>
              <w:t xml:space="preserve"> </w:t>
            </w:r>
            <w:r>
              <w:t xml:space="preserve">Suite</w:t>
            </w:r>
            <w:r>
              <w:t xml:space="preserve"> </w:t>
            </w:r>
            <w:r>
              <w:t xml:space="preserve">1510</w:t>
            </w:r>
          </w:p>
          <w:p>
            <w:pPr>
              <w:spacing w:before="0" w:after="0" w:line="276" w:lineRule="exact"/>
              <w:ind w:left="0" w:firstLine="0"/>
              <w:jc w:val="left"/>
            </w:pPr>
            <w:r>
              <w:t xml:space="preserve">Cincinnati,</w:t>
            </w:r>
            <w:r>
              <w:t xml:space="preserve"> </w:t>
            </w:r>
            <w:r>
              <w:t xml:space="preserve">Ohio</w:t>
            </w:r>
            <w:r>
              <w:t xml:space="preserve"> </w:t>
            </w:r>
            <w:r>
              <w:t xml:space="preserve">45202</w:t>
            </w:r>
          </w:p>
          <w:p>
            <w:pPr>
              <w:spacing w:before="0" w:after="0" w:line="276" w:lineRule="exact"/>
              <w:ind w:left="0" w:firstLine="0"/>
              <w:jc w:val="left"/>
            </w:pPr>
            <w:r>
              <w:t xml:space="preserve">mkurtz@BKLlawfirm.com</w:t>
            </w:r>
          </w:p>
          <w:p>
            <w:pPr>
              <w:spacing w:before="0" w:after="0" w:line="276" w:lineRule="exact"/>
              <w:ind w:left="0" w:firstLine="0"/>
              <w:jc w:val="left"/>
            </w:pPr>
            <w:r>
              <w:t xml:space="preserve">jkylercohn@BKLlawfirm.com</w:t>
            </w:r>
          </w:p>
        </w:tc>
      </w:tr>
    </w:tbl>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James</w:t>
            </w:r>
            <w:r>
              <w:t xml:space="preserve"> </w:t>
            </w:r>
            <w:r>
              <w:t xml:space="preserve">F.</w:t>
            </w:r>
            <w:r>
              <w:t xml:space="preserve"> </w:t>
            </w:r>
            <w:r>
              <w:t xml:space="preserve">Lang</w:t>
            </w:r>
          </w:p>
          <w:p>
            <w:pPr>
              <w:spacing w:before="0" w:after="0" w:line="276" w:lineRule="exact"/>
              <w:ind w:left="0" w:firstLine="0"/>
              <w:jc w:val="left"/>
            </w:pPr>
            <w:r>
              <w:t xml:space="preserve">James</w:t>
            </w:r>
            <w:r>
              <w:t xml:space="preserve"> </w:t>
            </w:r>
            <w:r>
              <w:t xml:space="preserve">F.</w:t>
            </w:r>
            <w:r>
              <w:t xml:space="preserve"> </w:t>
            </w:r>
            <w:r>
              <w:t xml:space="preserve">Lang</w:t>
            </w:r>
            <w:r>
              <w:t xml:space="preserve"> </w:t>
            </w:r>
            <w:r>
              <w:t xml:space="preserve">(0059668)</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N.</w:t>
            </w:r>
            <w:r>
              <w:t xml:space="preserve"> </w:t>
            </w:r>
            <w:r>
              <w:t xml:space="preserve">Trevor</w:t>
            </w:r>
            <w:r>
              <w:t xml:space="preserve"> </w:t>
            </w:r>
            <w:r>
              <w:t xml:space="preserve">Alexander</w:t>
            </w:r>
            <w:r>
              <w:t xml:space="preserve"> </w:t>
            </w:r>
            <w:r>
              <w:t xml:space="preserve">(0080713)</w:t>
            </w:r>
          </w:p>
          <w:p>
            <w:pPr>
              <w:spacing w:before="0" w:after="0" w:line="276" w:lineRule="exact"/>
              <w:ind w:left="0" w:firstLine="0"/>
              <w:jc w:val="left"/>
            </w:pPr>
            <w:r>
              <w:t xml:space="preserve">CALFEE,</w:t>
            </w:r>
            <w:r>
              <w:t xml:space="preserve"> </w:t>
            </w:r>
            <w:r>
              <w:t xml:space="preserve">HALTER</w:t>
            </w:r>
            <w:r>
              <w:t xml:space="preserve"> </w:t>
            </w:r>
            <w:r>
              <w:t xml:space="preserve">&amp;</w:t>
            </w:r>
            <w:r>
              <w:t xml:space="preserve"> </w:t>
            </w:r>
            <w:r>
              <w:t xml:space="preserve">GRISWOLD</w:t>
            </w:r>
            <w:r>
              <w:t xml:space="preserve"> </w:t>
            </w:r>
            <w:r>
              <w:t xml:space="preserve">LLP</w:t>
            </w:r>
          </w:p>
          <w:p>
            <w:pPr>
              <w:spacing w:before="0" w:after="0" w:line="276" w:lineRule="exact"/>
              <w:ind w:left="0" w:firstLine="0"/>
              <w:jc w:val="left"/>
            </w:pPr>
            <w:r>
              <w:t xml:space="preserve">1405</w:t>
            </w:r>
            <w:r>
              <w:t xml:space="preserve"> </w:t>
            </w:r>
            <w:r>
              <w:t xml:space="preserve">East</w:t>
            </w:r>
            <w:r>
              <w:t xml:space="preserve"> </w:t>
            </w:r>
            <w:r>
              <w:t xml:space="preserve">Sixth</w:t>
            </w:r>
            <w:r>
              <w:t xml:space="preserve"> </w:t>
            </w:r>
            <w:r>
              <w:t xml:space="preserve">Street</w:t>
            </w:r>
          </w:p>
          <w:p>
            <w:pPr>
              <w:spacing w:before="0" w:after="0" w:line="276" w:lineRule="exact"/>
              <w:ind w:left="0" w:firstLine="0"/>
              <w:jc w:val="left"/>
            </w:pPr>
            <w:r>
              <w:t xml:space="preserve">Cleveland,</w:t>
            </w:r>
            <w:r>
              <w:t xml:space="preserve"> </w:t>
            </w:r>
            <w:r>
              <w:t xml:space="preserve">Ohio</w:t>
            </w:r>
            <w:r>
              <w:t xml:space="preserve"> </w:t>
            </w:r>
            <w:r>
              <w:t xml:space="preserve">44114</w:t>
            </w:r>
          </w:p>
          <w:p>
            <w:pPr>
              <w:spacing w:before="0" w:after="0" w:line="276" w:lineRule="exact"/>
              <w:ind w:left="0" w:firstLine="0"/>
              <w:jc w:val="left"/>
            </w:pPr>
            <w:r>
              <w:t xml:space="preserve">(216)</w:t>
            </w:r>
            <w:r>
              <w:t xml:space="preserve"> </w:t>
            </w:r>
            <w:r>
              <w:t xml:space="preserve">622</w:t>
              <w:noBreakHyphen/>
              <w:t xml:space="preserve">8200</w:t>
            </w:r>
          </w:p>
          <w:p>
            <w:pPr>
              <w:spacing w:before="0" w:after="0" w:line="276" w:lineRule="exact"/>
              <w:ind w:left="0" w:firstLine="0"/>
              <w:jc w:val="left"/>
            </w:pPr>
            <w:r>
              <w:t xml:space="preserve">jlang@calfee.com</w:t>
            </w:r>
          </w:p>
          <w:p>
            <w:pPr>
              <w:spacing w:before="0" w:after="0" w:line="276" w:lineRule="exact"/>
              <w:ind w:left="0" w:firstLine="0"/>
              <w:jc w:val="left"/>
            </w:pPr>
            <w:r>
              <w:t xml:space="preserve">talexander@calfee.com</w:t>
            </w:r>
          </w:p>
          <w:p>
            <w:pPr>
              <w:spacing w:before="0" w:after="0" w:line="276" w:lineRule="exact"/>
              <w:ind w:left="0" w:firstLine="0"/>
              <w:jc w:val="left"/>
            </w:pPr>
          </w:p>
          <w:p>
            <w:pPr>
              <w:spacing w:before="0" w:after="0" w:line="276" w:lineRule="exact"/>
              <w:ind w:left="0" w:firstLine="0"/>
              <w:jc w:val="left"/>
            </w:pPr>
            <w:r>
              <w:t xml:space="preserve">Attorneys</w:t>
            </w:r>
            <w:r>
              <w:t xml:space="preserve"> </w:t>
            </w:r>
            <w:r>
              <w:t xml:space="preserve">for</w:t>
            </w:r>
            <w:r>
              <w:t xml:space="preserve"> </w:t>
            </w:r>
            <w:r>
              <w:t xml:space="preserve">Intervening</w:t>
            </w:r>
            <w:r>
              <w:t xml:space="preserve"> </w:t>
            </w:r>
            <w:r>
              <w:t xml:space="preserve">Appellees,</w:t>
            </w:r>
            <w:r>
              <w:t xml:space="preserve"> </w:t>
            </w:r>
            <w:r>
              <w:t xml:space="preserve">Ohio</w:t>
            </w:r>
            <w:r>
              <w:t xml:space="preserve"> </w:t>
            </w:r>
            <w:r>
              <w:t xml:space="preserve">Edison</w:t>
            </w:r>
            <w:r>
              <w:t xml:space="preserve"> </w:t>
            </w:r>
            <w:r>
              <w:t xml:space="preserve">Company,</w:t>
            </w:r>
            <w:r>
              <w:t xml:space="preserve"> </w:t>
            </w:r>
            <w:r>
              <w:t xml:space="preserve">The</w:t>
            </w:r>
            <w:r>
              <w:t xml:space="preserve"> </w:t>
            </w:r>
            <w:r>
              <w:t xml:space="preserve">Cleveland</w:t>
            </w:r>
            <w:r>
              <w:t xml:space="preserve"> </w:t>
            </w:r>
            <w:r>
              <w:t xml:space="preserve">Electric</w:t>
            </w:r>
            <w:r>
              <w:t xml:space="preserve"> </w:t>
            </w:r>
            <w:r>
              <w:t xml:space="preserve">Illuminating</w:t>
            </w:r>
            <w:r>
              <w:t xml:space="preserve"> </w:t>
            </w:r>
            <w:r>
              <w:t xml:space="preserve">Company</w:t>
            </w:r>
            <w:r>
              <w:t xml:space="preserve"> </w:t>
            </w:r>
            <w:r>
              <w:t xml:space="preserve">and</w:t>
            </w:r>
            <w:r>
              <w:t xml:space="preserve"> </w:t>
            </w:r>
            <w:r>
              <w:t xml:space="preserve">The</w:t>
            </w:r>
            <w:r>
              <w:t xml:space="preserve"> </w:t>
            </w:r>
            <w:r>
              <w:t xml:space="preserve">Toledo</w:t>
            </w:r>
            <w:r>
              <w:t xml:space="preserve"> </w:t>
            </w:r>
            <w:r>
              <w:t xml:space="preserve">Edison</w:t>
            </w:r>
            <w:r>
              <w:t xml:space="preserve"> </w:t>
            </w:r>
            <w:r>
              <w:t xml:space="preserve">Company</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Commission’s Merit Brief, pp. 7</w:t>
      </w:r>
      <w:r>
        <w:noBreakHyphen/>
      </w:r>
      <w:r>
        <w:t xml:space="preserve">11 (“access to capital” argument) and pp. 11</w:t>
      </w:r>
      <w:r>
        <w:noBreakHyphen/>
      </w:r>
      <w:r>
        <w:t xml:space="preserve">14 (“incentive” argument). Both arguments were preceded by the same heading – “The DMR is contemplated under R.C. 4928.143(B)⁠(2)⁠(h).” This may not have made the separation of arguments clear to the Court.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