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APPEALS</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OKLAHOMA</w:t>
      </w:r>
    </w:p>
    <w:p>
      <w:pPr>
        <w:spacing w:before="208" w:after="0" w:line="299" w:lineRule="exact"/>
        <w:ind w:left="0" w:firstLine="0"/>
        <w:jc w:val="center"/>
      </w:pPr>
      <w:r>
        <w:rPr>
          <w:b/>
          <w:bCs/>
        </w:rPr>
        <w:t xml:space="preserve">PCD</w:t>
        <w:noBreakHyphen/>
        <w:t xml:space="preserve">2019</w:t>
        <w:noBreakHyphen/>
        <w:t xml:space="preserve">124</w:t>
      </w:r>
    </w:p>
    <w:p>
      <w:pPr>
        <w:spacing w:before="312" w:after="0" w:line="299" w:lineRule="exact"/>
        <w:ind w:left="0" w:firstLine="0"/>
        <w:jc w:val="center"/>
      </w:pPr>
      <w:r>
        <w:t xml:space="preserve">SHAUN</w:t>
      </w:r>
      <w:r>
        <w:t xml:space="preserve"> </w:t>
      </w:r>
      <w:r>
        <w:t xml:space="preserve">MICHAEL</w:t>
      </w:r>
      <w:r>
        <w:t xml:space="preserve"> </w:t>
      </w:r>
      <w:r>
        <w:t xml:space="preserve">BOSSE,</w:t>
      </w:r>
    </w:p>
    <w:p>
      <w:pPr>
        <w:spacing w:before="0" w:after="0" w:line="299" w:lineRule="exact"/>
        <w:ind w:left="4320" w:firstLine="0"/>
        <w:jc w:val="left"/>
      </w:pPr>
      <w:r>
        <w:rPr>
          <w:i/>
          <w:iCs/>
        </w:rPr>
        <w:t xml:space="preserve">Petitioner,</w:t>
      </w:r>
    </w:p>
    <w:p>
      <w:pPr>
        <w:spacing w:before="130" w:after="0" w:line="299" w:lineRule="exact"/>
        <w:ind w:left="0" w:firstLine="0"/>
        <w:jc w:val="center"/>
      </w:pPr>
      <w:r>
        <w:t xml:space="preserve">v.</w:t>
      </w:r>
    </w:p>
    <w:p>
      <w:pPr>
        <w:spacing w:before="130" w:after="0" w:line="299" w:lineRule="exact"/>
        <w:ind w:left="0" w:firstLine="0"/>
        <w:jc w:val="center"/>
      </w:pPr>
      <w:r>
        <w:t xml:space="preserve">THE</w:t>
      </w:r>
      <w:r>
        <w:t xml:space="preserve"> </w:t>
      </w:r>
      <w:r>
        <w:t xml:space="preserve">STATE</w:t>
      </w:r>
      <w:r>
        <w:t xml:space="preserve"> </w:t>
      </w:r>
      <w:r>
        <w:t xml:space="preserve">OF</w:t>
      </w:r>
      <w:r>
        <w:t xml:space="preserve"> </w:t>
      </w:r>
      <w:r>
        <w:t xml:space="preserve">OKLAHOMA,</w:t>
      </w:r>
    </w:p>
    <w:p>
      <w:pPr>
        <w:spacing w:before="0" w:after="0" w:line="299" w:lineRule="exact"/>
        <w:ind w:left="4320" w:firstLine="0"/>
        <w:jc w:val="left"/>
      </w:pPr>
      <w:r>
        <w:rPr>
          <w:i/>
          <w:iCs/>
        </w:rPr>
        <w:t xml:space="preserve">Respondent.</w:t>
      </w:r>
    </w:p>
    <w:p>
      <w:pPr>
        <w:spacing w:before="2160" w:after="0" w:line="299" w:lineRule="exact"/>
        <w:ind w:left="648" w:right="648" w:firstLine="0"/>
        <w:jc w:val="center"/>
      </w:pPr>
      <w:r>
        <w:rPr>
          <w:b/>
          <w:bCs/>
        </w:rPr>
        <w:t xml:space="preserve">PETITION</w:t>
      </w:r>
      <w:r>
        <w:rPr>
          <w:b/>
          <w:bCs/>
        </w:rPr>
        <w:t xml:space="preserve"> </w:t>
      </w:r>
      <w:r>
        <w:rPr>
          <w:b/>
          <w:bCs/>
        </w:rPr>
        <w:t xml:space="preserve">FOR</w:t>
      </w:r>
      <w:r>
        <w:rPr>
          <w:b/>
          <w:bCs/>
        </w:rPr>
        <w:t xml:space="preserve"> </w:t>
      </w:r>
      <w:r>
        <w:rPr>
          <w:b/>
          <w:bCs/>
        </w:rPr>
        <w:t xml:space="preserve">REHEARING</w:t>
      </w:r>
    </w:p>
    <w:p>
      <w:pPr>
        <w:spacing w:before="2160" w:after="0" w:line="299" w:lineRule="exact"/>
        <w:ind w:left="3600" w:firstLine="0"/>
        <w:jc w:val="left"/>
      </w:pPr>
      <w:r>
        <w:rPr>
          <w:b/>
          <w:bCs/>
        </w:rPr>
        <w:t xml:space="preserve">MIKE</w:t>
      </w:r>
      <w:r>
        <w:rPr>
          <w:b/>
          <w:bCs/>
        </w:rPr>
        <w:t xml:space="preserve"> </w:t>
      </w:r>
      <w:r>
        <w:rPr>
          <w:b/>
          <w:bCs/>
        </w:rPr>
        <w:t xml:space="preserve">HUNTER</w:t>
      </w:r>
    </w:p>
    <w:p>
      <w:pPr>
        <w:spacing w:before="0" w:after="0" w:line="299" w:lineRule="exact"/>
        <w:ind w:left="3600" w:firstLine="0"/>
        <w:jc w:val="left"/>
      </w:pPr>
      <w:r>
        <w:rPr>
          <w:b/>
          <w:bCs/>
        </w:rPr>
        <w:t xml:space="preserve">ATTORNEY</w:t>
      </w:r>
      <w:r>
        <w:rPr>
          <w:b/>
          <w:bCs/>
        </w:rPr>
        <w:t xml:space="preserve"> </w:t>
      </w:r>
      <w:r>
        <w:rPr>
          <w:b/>
          <w:bCs/>
        </w:rPr>
        <w:t xml:space="preserve">GENERAL</w:t>
      </w:r>
      <w:r>
        <w:rPr>
          <w:b/>
          <w:bCs/>
        </w:rPr>
        <w:t xml:space="preserve"> </w:t>
      </w:r>
      <w:r>
        <w:rPr>
          <w:b/>
          <w:bCs/>
        </w:rPr>
        <w:t xml:space="preserve">OF</w:t>
      </w:r>
      <w:r>
        <w:rPr>
          <w:b/>
          <w:bCs/>
        </w:rPr>
        <w:t xml:space="preserve"> </w:t>
      </w:r>
      <w:r>
        <w:rPr>
          <w:b/>
          <w:bCs/>
        </w:rPr>
        <w:t xml:space="preserve">OKLAHOMA</w:t>
      </w:r>
    </w:p>
    <w:p>
      <w:pPr>
        <w:spacing w:before="0" w:after="0" w:line="299" w:lineRule="exact"/>
        <w:ind w:left="3600" w:firstLine="0"/>
        <w:jc w:val="left"/>
      </w:pPr>
      <w:r>
        <w:rPr>
          <w:b/>
          <w:bCs/>
        </w:rPr>
        <w:t xml:space="preserve">MITHUN</w:t>
      </w:r>
      <w:r>
        <w:rPr>
          <w:b/>
          <w:bCs/>
        </w:rPr>
        <w:t xml:space="preserve"> </w:t>
      </w:r>
      <w:r>
        <w:rPr>
          <w:b/>
          <w:bCs/>
        </w:rPr>
        <w:t xml:space="preserve">MANSINGHANI,</w:t>
      </w:r>
      <w:r>
        <w:rPr>
          <w:b/>
          <w:bCs/>
        </w:rPr>
        <w:t xml:space="preserve"> </w:t>
      </w:r>
      <w:r>
        <w:rPr>
          <w:b/>
          <w:bCs/>
        </w:rPr>
        <w:t xml:space="preserve">OBA</w:t>
      </w:r>
      <w:r>
        <w:rPr>
          <w:b/>
          <w:bCs/>
        </w:rPr>
        <w:t xml:space="preserve"> </w:t>
      </w:r>
      <w:r>
        <w:rPr>
          <w:b/>
          <w:bCs/>
        </w:rPr>
        <w:t xml:space="preserve">#32453</w:t>
      </w:r>
    </w:p>
    <w:p>
      <w:pPr>
        <w:spacing w:before="0" w:after="0" w:line="299" w:lineRule="exact"/>
        <w:ind w:left="3600" w:firstLine="0"/>
        <w:jc w:val="left"/>
      </w:pPr>
      <w:r>
        <w:rPr>
          <w:b/>
          <w:bCs/>
        </w:rPr>
        <w:t xml:space="preserve">SOLICITOR</w:t>
      </w:r>
      <w:r>
        <w:rPr>
          <w:b/>
          <w:bCs/>
        </w:rPr>
        <w:t xml:space="preserve"> </w:t>
      </w:r>
      <w:r>
        <w:rPr>
          <w:b/>
          <w:bCs/>
        </w:rPr>
        <w:t xml:space="preserve">GENERAL</w:t>
      </w:r>
    </w:p>
    <w:p>
      <w:pPr>
        <w:spacing w:before="0" w:after="0" w:line="299" w:lineRule="exact"/>
        <w:ind w:left="3600" w:firstLine="0"/>
        <w:jc w:val="left"/>
      </w:pPr>
      <w:r>
        <w:rPr>
          <w:b/>
          <w:bCs/>
        </w:rPr>
        <w:t xml:space="preserve">CAROLINE</w:t>
      </w:r>
      <w:r>
        <w:rPr>
          <w:b/>
          <w:bCs/>
        </w:rPr>
        <w:t xml:space="preserve"> </w:t>
      </w:r>
      <w:r>
        <w:rPr>
          <w:b/>
          <w:bCs/>
        </w:rPr>
        <w:t xml:space="preserve">E.J.</w:t>
      </w:r>
      <w:r>
        <w:rPr>
          <w:b/>
          <w:bCs/>
        </w:rPr>
        <w:t xml:space="preserve"> </w:t>
      </w:r>
      <w:r>
        <w:rPr>
          <w:b/>
          <w:bCs/>
        </w:rPr>
        <w:t xml:space="preserve">HUNT,</w:t>
      </w:r>
      <w:r>
        <w:rPr>
          <w:b/>
          <w:bCs/>
        </w:rPr>
        <w:t xml:space="preserve"> </w:t>
      </w:r>
      <w:r>
        <w:rPr>
          <w:b/>
          <w:bCs/>
        </w:rPr>
        <w:t xml:space="preserve">OBA</w:t>
      </w:r>
      <w:r>
        <w:rPr>
          <w:b/>
          <w:bCs/>
        </w:rPr>
        <w:t xml:space="preserve"> </w:t>
      </w:r>
      <w:r>
        <w:rPr>
          <w:b/>
          <w:bCs/>
        </w:rPr>
        <w:t xml:space="preserve">#32635</w:t>
      </w:r>
    </w:p>
    <w:p>
      <w:pPr>
        <w:spacing w:before="0" w:after="0" w:line="299" w:lineRule="exact"/>
        <w:ind w:left="3600" w:firstLine="0"/>
        <w:jc w:val="left"/>
      </w:pPr>
      <w:r>
        <w:rPr>
          <w:b/>
          <w:bCs/>
        </w:rPr>
        <w:t xml:space="preserve">ASSISTANT</w:t>
      </w:r>
      <w:r>
        <w:rPr>
          <w:b/>
          <w:bCs/>
        </w:rPr>
        <w:t xml:space="preserve"> </w:t>
      </w:r>
      <w:r>
        <w:rPr>
          <w:b/>
          <w:bCs/>
        </w:rPr>
        <w:t xml:space="preserve">ATTORNEY</w:t>
      </w:r>
      <w:r>
        <w:rPr>
          <w:b/>
          <w:bCs/>
        </w:rPr>
        <w:t xml:space="preserve"> </w:t>
      </w:r>
      <w:r>
        <w:rPr>
          <w:b/>
          <w:bCs/>
        </w:rPr>
        <w:t xml:space="preserve">GENERAL</w:t>
      </w:r>
    </w:p>
    <w:p>
      <w:pPr>
        <w:spacing w:before="0" w:after="0" w:line="299" w:lineRule="exact"/>
        <w:ind w:left="3600" w:firstLine="0"/>
        <w:jc w:val="left"/>
      </w:pPr>
      <w:r>
        <w:t xml:space="preserve">313</w:t>
      </w:r>
      <w:r>
        <w:t xml:space="preserve"> </w:t>
      </w:r>
      <w:r>
        <w:t xml:space="preserve">N.E.</w:t>
      </w:r>
      <w:r>
        <w:t xml:space="preserve"> </w:t>
      </w:r>
      <w:r>
        <w:t xml:space="preserve">21st</w:t>
      </w:r>
      <w:r>
        <w:t xml:space="preserve"> </w:t>
      </w:r>
      <w:r>
        <w:t xml:space="preserve">Street</w:t>
      </w:r>
    </w:p>
    <w:p>
      <w:pPr>
        <w:spacing w:before="0" w:after="0" w:line="299" w:lineRule="exact"/>
        <w:ind w:left="3600" w:firstLine="0"/>
        <w:jc w:val="left"/>
      </w:pPr>
      <w:r>
        <w:t xml:space="preserve">Oklahoma</w:t>
      </w:r>
      <w:r>
        <w:t xml:space="preserve"> </w:t>
      </w:r>
      <w:r>
        <w:t xml:space="preserve">City,</w:t>
      </w:r>
      <w:r>
        <w:t xml:space="preserve"> </w:t>
      </w:r>
      <w:r>
        <w:t xml:space="preserve">OK</w:t>
      </w:r>
      <w:r>
        <w:t xml:space="preserve"> </w:t>
      </w:r>
      <w:r>
        <w:t xml:space="preserve">73105</w:t>
      </w:r>
    </w:p>
    <w:p>
      <w:pPr>
        <w:spacing w:before="0" w:after="0" w:line="299" w:lineRule="exact"/>
        <w:ind w:left="3600" w:firstLine="0"/>
        <w:jc w:val="left"/>
      </w:pPr>
      <w:r>
        <w:t xml:space="preserve">(405)</w:t>
      </w:r>
      <w:r>
        <w:t xml:space="preserve"> </w:t>
      </w:r>
      <w:r>
        <w:t xml:space="preserve">521</w:t>
        <w:noBreakHyphen/>
        <w:t xml:space="preserve">3921</w:t>
      </w:r>
    </w:p>
    <w:p>
      <w:pPr>
        <w:spacing w:before="0" w:after="0" w:line="299" w:lineRule="exact"/>
        <w:ind w:left="3600" w:firstLine="0"/>
        <w:jc w:val="left"/>
      </w:pPr>
      <w:r>
        <w:t xml:space="preserve">(405)</w:t>
      </w:r>
      <w:r>
        <w:t xml:space="preserve"> </w:t>
      </w:r>
      <w:r>
        <w:t xml:space="preserve">522</w:t>
        <w:noBreakHyphen/>
        <w:t xml:space="preserve">4534</w:t>
      </w:r>
      <w:r>
        <w:t xml:space="preserve"> </w:t>
      </w:r>
      <w:r>
        <w:t xml:space="preserve">(FAX)</w:t>
      </w:r>
    </w:p>
    <w:p>
      <w:pPr>
        <w:spacing w:before="0" w:after="0" w:line="299" w:lineRule="exact"/>
        <w:ind w:left="3600" w:firstLine="0"/>
        <w:jc w:val="left"/>
      </w:pPr>
      <w:r>
        <w:t xml:space="preserve">ATTORNEYS</w:t>
      </w:r>
      <w:r>
        <w:t xml:space="preserve"> </w:t>
      </w:r>
      <w:r>
        <w:t xml:space="preserve">FOR</w:t>
      </w:r>
      <w:r>
        <w:t xml:space="preserve"> </w:t>
      </w:r>
      <w:r>
        <w:t xml:space="preserve">RESPONDENT</w:t>
      </w:r>
    </w:p>
    <w:p>
      <w:pPr>
        <w:pageBreakBefore/>
        <w:spacing w:before="0" w:after="0" w:line="1" w:lineRule="exact"/>
      </w:pPr>
    </w:p>
    <w:p>
      <w:pPr>
        <w:pStyle w:val="BodyText"/>
      </w:pPr>
      <w:r>
        <w:t xml:space="preserve">COMES NOW, the State of Oklahoma, b and through Attorney General Mike Hunter, and pursuant to Rule 3.14(B). Rules 01’ the Oklahoma Court of Criminal Appeals, Title 22, Ch. 18, App. (2011), respectfully petitions this Court for rehearing of its published decision in Bosse v. State, 2021 OK CR3, P.3d</w:t>
      </w:r>
    </w:p>
    <w:p>
      <w:pPr>
        <w:pStyle w:val="BodyText"/>
      </w:pPr>
      <w:r>
        <w:t xml:space="preserve">decided March 11, 2021.1</w:t>
      </w:r>
    </w:p>
    <w:p>
      <w:pPr>
        <w:keepNext/>
        <w:keepLines/>
        <w:spacing w:before="364" w:after="260" w:line="299" w:lineRule="exact"/>
        <w:ind w:left="0" w:firstLine="0"/>
        <w:jc w:val="center"/>
      </w:pPr>
      <w:r>
        <w:rPr>
          <w:b/>
          <w:bCs/>
        </w:rPr>
        <w:t xml:space="preserve">PRELIMINARY</w:t>
      </w:r>
      <w:r>
        <w:rPr>
          <w:b/>
          <w:bCs/>
        </w:rPr>
        <w:t xml:space="preserve"> </w:t>
      </w:r>
      <w:r>
        <w:rPr>
          <w:b/>
          <w:bCs/>
        </w:rPr>
        <w:t xml:space="preserve">STATEMENT</w:t>
      </w:r>
    </w:p>
    <w:p>
      <w:pPr>
        <w:pStyle w:val="BodyText"/>
      </w:pPr>
      <w:r>
        <w:t xml:space="preserve">As a preliminary matter, before turning to the grounds for rehearing, the State wishes to clarify why it took no position on the reservation issue in this case. See Bosse, 2021 OK CR 3, ¶ 2, P.3d at (Hudson, J., concurring in results) (“The State’s tactic of passivity has created a legal void in this Court’s 1 In this Petition, Petitioner’s Successive Application for Post-Conviction Relief Death</w:t>
      </w:r>
    </w:p>
    <w:p>
      <w:pPr>
        <w:pStyle w:val="BodyText"/>
      </w:pPr>
      <w:r>
        <w:t xml:space="preserve">— Penalty, filed February 20, 2019,will be referred to as “App.” The Attorney General’s Response to Petitioner’s Proposition I in Light of the Supreme Court’s Decision in McGirt v. Oklahoma, 140 S. Ct. 2452 (2020), filed August 4, 2020, will be referred to as “State’s Response.” The District Attorney’s State’s Supplemental Brief Following Remand for Evidentianj Hearing from McClain County District Court Case No. CF</w:t>
      </w:r>
      <w:r>
        <w:noBreakHyphen/>
      </w:r>
      <w:r>
        <w:t xml:space="preserve">201 0</w:t>
      </w:r>
      <w:r>
        <w:noBreakHyphen/>
      </w:r>
      <w:r>
        <w:t xml:space="preserve">2 13, filed November 4, 2020, will be referred to as “State’s Supplemental Brief.” Petitioner’s Post- Hearing Brief Regarding Proposition I of his Successive Application for Post-Conviction Relief, filed November 4, 2020, will be referred to as “Petitioner’s Post-Hearing Brief.” ability to adjudicate properly the facts underlying Petitioner’s argument.”). As the Honorable Judge Lumpkin expressed, the State is bound to follow the Supreme Court’s majority opinion in McGirt v. Oklahoma, 140 S. Ct. 2452 (2020), irrespective of any disagreement with same. See Bosse, 2021 OK CR 3, ¶J 1</w:t>
      </w:r>
      <w:r>
        <w:noBreakHyphen/>
      </w:r>
      <w:r>
        <w:t xml:space="preserve">4, P.3d at (Lumpkin, J., concurring in results). Furthermore, the State recognizes this Court is bound by the Supreme Court’s precedent, as only the Supreme Court can overrule itself. See Bosse v. Oklahoma, 137 S. Ct. 1, 2 (2016). Accordingly, the State, also bound by the McGirt decision, did not take a posit ion that would contradict binding Supreme Court authority.</w:t>
      </w:r>
    </w:p>
    <w:p>
      <w:pPr>
        <w:keepNext/>
        <w:keepLines/>
        <w:spacing w:before="364" w:after="260" w:line="299" w:lineRule="exact"/>
        <w:ind w:left="0" w:firstLine="0"/>
        <w:jc w:val="center"/>
      </w:pPr>
      <w:r>
        <w:rPr>
          <w:b/>
          <w:bCs/>
        </w:rPr>
        <w:t xml:space="preserve">STANDARD</w:t>
      </w:r>
      <w:r>
        <w:rPr>
          <w:b/>
          <w:bCs/>
        </w:rPr>
        <w:t xml:space="preserve"> </w:t>
      </w:r>
      <w:r>
        <w:rPr>
          <w:b/>
          <w:bCs/>
        </w:rPr>
        <w:t xml:space="preserve">FOR</w:t>
      </w:r>
      <w:r>
        <w:rPr>
          <w:b/>
          <w:bCs/>
        </w:rPr>
        <w:t xml:space="preserve"> </w:t>
      </w:r>
      <w:r>
        <w:rPr>
          <w:b/>
          <w:bCs/>
        </w:rPr>
        <w:t xml:space="preserve">REHEARING</w:t>
      </w:r>
    </w:p>
    <w:p>
      <w:pPr>
        <w:pStyle w:val="BodyText"/>
      </w:pPr>
      <w:r>
        <w:t xml:space="preserve">Rule 3.14(B) states that a petition for rehearing should be filed “only for the following reasons”:</w:t>
      </w:r>
    </w:p>
    <w:p>
      <w:pPr>
        <w:pStyle w:val="BodyText"/>
      </w:pPr>
      <w:r>
        <w:t xml:space="preserve">(1) Some question decisive of the case and duly submitted by the</w:t>
      </w:r>
    </w:p>
    <w:p>
      <w:pPr>
        <w:pStyle w:val="BodyText"/>
      </w:pPr>
      <w:r>
        <w:t xml:space="preserve">attorney of record has been overlooked by the Court, or</w:t>
      </w:r>
    </w:p>
    <w:p>
      <w:pPr>
        <w:pStyle w:val="BodyText"/>
      </w:pPr>
      <w:r>
        <w:t xml:space="preserve">(2) The decision is in conflict with an express statute or controlling</w:t>
      </w:r>
    </w:p>
    <w:p>
      <w:pPr>
        <w:pStyle w:val="BodyText"/>
      </w:pPr>
      <w:r>
        <w:t xml:space="preserve">decision to which the attention of this Court was not called either in</w:t>
      </w:r>
    </w:p>
    <w:p>
      <w:pPr>
        <w:pStyle w:val="BodyText"/>
      </w:pPr>
      <w:r>
        <w:t xml:space="preserve">the brief or in oral argument. Rule 3.14(B), Rules of the Oklahoma Court of Criminal Appeals, Title 22, Ch. 1$, App. (2011).</w:t>
      </w:r>
    </w:p>
    <w:p>
      <w:pPr>
        <w:pStyle w:val="BodyText"/>
      </w:pPr>
      <w:r>
        <w:t xml:space="preserve">Here, the State seeks rehearing on two issues: concurrent jurisdiction and waiver.</w:t>
      </w:r>
    </w:p>
    <w:p>
      <w:pPr>
        <w:keepNext/>
        <w:keepLines/>
        <w:spacing w:before="364" w:after="260" w:line="299" w:lineRule="exact"/>
        <w:ind w:left="0" w:firstLine="0"/>
        <w:jc w:val="center"/>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RECONSIDER</w:t>
      </w:r>
      <w:r>
        <w:rPr>
          <w:b/>
          <w:bCs/>
        </w:rPr>
        <w:t xml:space="preserve"> </w:t>
      </w:r>
      <w:r>
        <w:rPr>
          <w:b/>
          <w:bCs/>
        </w:rPr>
        <w:t xml:space="preserve">ITS</w:t>
      </w:r>
      <w:r>
        <w:rPr>
          <w:b/>
          <w:bCs/>
        </w:rPr>
        <w:t xml:space="preserve"> </w:t>
      </w:r>
      <w:r>
        <w:rPr>
          <w:b/>
          <w:bCs/>
        </w:rPr>
        <w:t xml:space="preserve">DETERMINATION</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LACKS</w:t>
      </w:r>
      <w:r>
        <w:rPr>
          <w:b/>
          <w:bCs/>
        </w:rPr>
        <w:t xml:space="preserve"> </w:t>
      </w:r>
      <w:r>
        <w:rPr>
          <w:b/>
          <w:bCs/>
        </w:rPr>
        <w:t xml:space="preserve">CONCURRENT</w:t>
      </w:r>
      <w:r>
        <w:rPr>
          <w:b/>
          <w:bCs/>
        </w:rPr>
        <w:t xml:space="preserve"> </w:t>
      </w:r>
      <w:r>
        <w:rPr>
          <w:b/>
          <w:bCs/>
        </w:rPr>
        <w:t xml:space="preserve">JURISDICTION</w:t>
      </w:r>
      <w:r>
        <w:rPr>
          <w:b/>
          <w:bCs/>
        </w:rPr>
        <w:t xml:space="preserve"> </w:t>
      </w:r>
      <w:r>
        <w:rPr>
          <w:b/>
          <w:bCs/>
        </w:rPr>
        <w:t xml:space="preserve">UNDER</w:t>
      </w:r>
      <w:r>
        <w:rPr>
          <w:b/>
          <w:bCs/>
        </w:rPr>
        <w:t xml:space="preserve"> </w:t>
      </w:r>
      <w:r>
        <w:rPr>
          <w:b/>
          <w:bCs/>
        </w:rPr>
        <w:t xml:space="preserve">THE</w:t>
      </w:r>
    </w:p>
    <w:p>
      <w:pPr>
        <w:pStyle w:val="BodyText"/>
      </w:pPr>
      <w:r>
        <w:t xml:space="preserve">GENERAL CRIMES ACT, 18 U.S.C. § 1152.</w:t>
      </w:r>
    </w:p>
    <w:p>
      <w:pPr>
        <w:pStyle w:val="BodyText"/>
      </w:pPr>
      <w:r>
        <w:t xml:space="preserve">In rejecting the State’s argument that it has jurisdiction concurrent with the federal government to prosecute crimes committed by non-Indians against Indians, this Court overlooked several arguments. Rehearing is warranted to reexamine these arguments.</w:t>
      </w:r>
    </w:p>
    <w:p>
      <w:pPr>
        <w:pStyle w:val="BodyText"/>
      </w:pPr>
      <w:r>
        <w:t xml:space="preserve">First, the Court overlooked the State’s textual argument on the General Crimes Act (1$ U.S.C. § 1152) by holding that the State’s jurisdiction is contrary to the “clear language of. ⁠. ⁠. (the] statute.” Bosse, 2021 OK CR 3, ¶ 23-⁠24, P.3d at ⁠. in fact, while the General Crimes Act grants the federal government jurisdiction over certain crimes in Indian country, nothing in that Act explicitly preempts the State’s jurisdiction (see State’s Response at 13</w:t>
      </w:r>
      <w:r>
        <w:noBreakHyphen/>
      </w:r>
      <w:r>
        <w:t xml:space="preserve">14; State’s Supplemental Brief at 13</w:t>
      </w:r>
      <w:r>
        <w:noBreakHyphen/>
      </w:r>
      <w:r>
        <w:t xml:space="preserve">14). As explained, the reference to “the sole and exclusive jurisdiction of the United States” is used to designate the substantive law extended to Indian country—i.e. those laws that apply to federal enclaves such as military bases or national forests (except for the District of Columbia)— not to declare that the federal jurisdiction granted by the General Crimes Act is exclusive. Or as the Supreme Court put it, those words “do not mean that the United States must have sole and exclusive jurisdiction over the Indian country in order that that section may apply to it; the words are used in order to describe the laws of the United States, which, by that section, are extended to the Indian country.” Donnelly u. United States, 22$ U.S. 243, 268 (1913) (citing Exparte Wilson, 140 U.S. 575, 578 (1891)).</w:t>
      </w:r>
    </w:p>
    <w:p>
      <w:pPr>
        <w:pStyle w:val="BodyText"/>
      </w:pPr>
      <w:r>
        <w:t xml:space="preserve">This Court attempted to distinguish Ex parte Wilson by noting that the Supreme Court’s interpretation of the text of the General Crimes Act in that case arose in a different context. Bosse, 2021 OK CR 3, ¶ 24 n. 10, — P.3d at —. But that cases like Wilson and Donnelly involved different facts doesn’t change the meaning of the text of the General Crimes Act, where the phrase “sole and exclusive” does not define the scope of the United States’jurisdiction (but instead defines the law to be applied) and no other text in the Act otherwise preempts state jurisdiction. To hold that the meaning of the text changes with the facts of a case ‘“would render every statute a chameleon,’ and ‘would establish within our jurisprudence ⁠. ⁠. ⁠. the dangerous principle that judges can give the same statutory text different meanings in different cases.” United States v. Santos. 553 U.S. 507, 522 (2008) (quoting Clark v. Martinez, 543 U.S. 371, 37$ (2005)) (internal citations omitted); see also United States u. Heon Seok Lee, 937 F.3d 797, 813 (7th Cir. 2019); Patel v. Napolitano, 706 F.3d 370, 376 (4th Cir, 2013); United Rentals Nw., Inc. u. Yearout Mech., Inc., 573 f.3d 997, 1001 f 10th Cir. 2009) (“Statutory interpretation presents a question of law, and the facts of an individual case will not affect a court’s interpretation of a statute.”).</w:t>
      </w:r>
    </w:p>
    <w:p>
      <w:pPr>
        <w:pStyle w:val="BodyText"/>
      </w:pPr>
      <w:r>
        <w:t xml:space="preserve">Thus, the phrase “sole and exclusive jurisdiction of the United States” designates the law to be applied in federal courts and does not preempt state jurisdiction, nor did this Court point to any other text in the General Crimes Act that would preempt state jurisdiction.</w:t>
      </w:r>
    </w:p>
    <w:p>
      <w:pPr>
        <w:pStyle w:val="BodyText"/>
      </w:pPr>
      <w:r>
        <w:t xml:space="preserve">Second, this Court appears to have presumed that “where federal jurisdiction exists by statute, states [do not] have concurrent jurisdiction as well.” Bosse, 2021 OK CR 3, ¶ 24, — P.3d at ⁠. But that overlooks the State’s argument that the exact opposite is true: even where the federal government has jurisdiction, there is a deeply-rooted presumption that states have jurisdiction concurrent with the federal government unless Congress clearly and unmistakably expresses otherwise (State’s Response at 16</w:t>
      </w:r>
      <w:r>
        <w:noBreakHyphen/>
      </w:r>
      <w:r>
        <w:t xml:space="preserve">17 (citing Atl. Richfield Co. v. Christian, 140 S. Ct. 1335, 1349</w:t>
      </w:r>
      <w:r>
        <w:noBreakHyphen/>
      </w:r>
      <w:r>
        <w:t xml:space="preserve">52 (2020); Gulf Offshore Co. u. Mobil Oil Corp,, 453 U.S. 473, 478 (1l); Silas Mason Co i’ Ta Com’n af Slate of Washington, 302 U.S. 186, 207 (1937); United States a. Bank of New York &amp; Tr. Co., 2Q6 U.S. 463, 479 (1936); Claflin a. Houseman, 93 U.S. 130, 134 (1876))). This Court’s ruling similarly overlooks the State’s argument on the more general presumption against preemption (State’s Response at 15 (citing Wyeth v. Leuine, 555 U.S. 555, 565 (2009))).</w:t>
      </w:r>
    </w:p>
    <w:p>
      <w:pPr>
        <w:pStyle w:val="BodyText"/>
      </w:pPr>
      <w:r>
        <w:t xml:space="preserve">Thus, this Court’s invocation of Donnelly is inapposite because in that case</w:t>
      </w:r>
    </w:p>
    <w:p>
      <w:pPr>
        <w:pStyle w:val="BodyText"/>
      </w:pPr>
      <w:r>
        <w:t xml:space="preserve">crimes the Supreme Court held that the federal government has jurisdiction over committed by or against Indians under the General Crimes Act, not that the State lacks such jurisdiction. Nor does this Court’s invocation of United States</w:t>
      </w:r>
    </w:p>
    <w:p>
      <w:pPr>
        <w:pStyle w:val="BodyText"/>
      </w:pPr>
      <w:r>
        <w:t xml:space="preserve">was v. John, 437 U.S. 634, 651 (1978) answer the question, because that case interpreting the Major Crimes Act (18 U.S.C. § 1 153), which has a text distinct from that of the General Crimes Act. Specifically, the Major Crimes Act defines</w:t>
      </w:r>
    </w:p>
    <w:p>
      <w:pPr>
        <w:pStyle w:val="BodyText"/>
      </w:pPr>
      <w:r>
        <w:t xml:space="preserve">“within the applicable law and then says punishment for violation of those laws is the exclusive jurisdiction of the United States.” 18 U.S.C. § 1153. By contrast, as stated above, the General Crimes Act merely defines the applicable law and then extends that law to the Indian Country, without saying anything about jurisdiction—leaving the presumption that federal and state courts exercise concurrent jurisdiction in place.</w:t>
      </w:r>
    </w:p>
    <w:p>
      <w:pPr>
        <w:pStyle w:val="BodyText"/>
      </w:pPr>
      <w:r>
        <w:t xml:space="preserve">Third, this Court pointed to the Kansas Act, 1$ U.S.C. § 3243, and Public Law 280, Act of Aug. 15, 1953, Pub. L. No. 67, Stat. 588, codified at 18 U.S.C. § 1162, 25 U.S.C. § 1321-⁠26; 18 U.S.C. § 1162(a), which conferred on certain states jurisdiction over crimes by or against Indians, as implicitly recognizing that states otherwise lack jurisdiction over non Indians who offend against Indians. Bossc, 2021 OX CR3, ¶j 25</w:t>
      </w:r>
      <w:r>
        <w:noBreakHyphen/>
      </w:r>
      <w:r>
        <w:t xml:space="preserve">27, R3d at ⁠. However, this overlooks the State’s argument that laws like Public Law 280 also authorize state jurisdiction over “civil causes of action between Indians or to which Indians are parties,” 25 U.S.C. § 1322, even though states already have jurisdiction over civil cases brought by Indians on Indian country against non-Indian defendants (State’s Response at 18, 20 (citing, inter alia, Three Affiliated Tribes of fort Berthold Reservation v. Wold Eng’g, P.c., 467 U.S. 138, 148</w:t>
      </w:r>
      <w:r>
        <w:noBreakHyphen/>
      </w:r>
      <w:r>
        <w:t xml:space="preserve">49 (1984))). Thus, laws like the Kansas Act and Public Law 280 cannot be read to retroactively change the meaning of the much-older General Crimes Act to implicitly preclude state jurisdiction without express congressional authorization. Nor does recognizing state concurrent jurisdiction over non-Indian offenders make these laws “unnecessary” since the Kansas Act and Public Law 280 significantly altered state criminal jurisdiction by providing jurisdiction over Indian offenders notwithstanding laws like the Major Crimes Act.</w:t>
      </w:r>
    </w:p>
    <w:p>
      <w:pPr>
        <w:pStyle w:val="BodyText"/>
      </w:pPr>
      <w:r>
        <w:t xml:space="preserve">For these reasons, this Court should grant rehearing on the issue of whether the state retains its inherent jurisdiction over crimes committed by non Indian offenders against Indians, concurrent with the jurisdiction of the federal government under the General Crimes Act.2</w:t>
      </w:r>
    </w:p>
    <w:p>
      <w:pPr>
        <w:keepNext/>
        <w:keepLines/>
        <w:spacing w:before="364" w:after="260" w:line="299" w:lineRule="exact"/>
        <w:ind w:left="0" w:firstLine="0"/>
        <w:jc w:val="center"/>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RECONSIDER</w:t>
      </w:r>
      <w:r>
        <w:rPr>
          <w:b/>
          <w:bCs/>
        </w:rPr>
        <w:t xml:space="preserve"> </w:t>
      </w:r>
      <w:r>
        <w:rPr>
          <w:b/>
          <w:bCs/>
        </w:rPr>
        <w:t xml:space="preserve">ITS</w:t>
      </w:r>
      <w:r>
        <w:rPr>
          <w:b/>
          <w:bCs/>
        </w:rPr>
        <w:t xml:space="preserve"> </w:t>
      </w:r>
      <w:r>
        <w:rPr>
          <w:b/>
          <w:bCs/>
        </w:rPr>
        <w:t xml:space="preserve">REFUSAL</w:t>
      </w:r>
      <w:r>
        <w:rPr>
          <w:b/>
          <w:bCs/>
        </w:rPr>
        <w:t xml:space="preserve"> </w:t>
      </w:r>
      <w:r>
        <w:rPr>
          <w:b/>
          <w:bCs/>
        </w:rPr>
        <w:t xml:space="preserve">TO</w:t>
      </w:r>
      <w:r>
        <w:rPr>
          <w:b/>
          <w:bCs/>
        </w:rPr>
        <w:t xml:space="preserve"> </w:t>
      </w:r>
      <w:r>
        <w:rPr>
          <w:b/>
          <w:bCs/>
        </w:rPr>
        <w:t xml:space="preserve">BAR</w:t>
      </w:r>
      <w:r>
        <w:rPr>
          <w:b/>
          <w:bCs/>
        </w:rPr>
        <w:t xml:space="preserve"> </w:t>
      </w:r>
      <w:r>
        <w:rPr>
          <w:b/>
          <w:bCs/>
        </w:rPr>
        <w:t xml:space="preserve">INDIAN</w:t>
      </w:r>
      <w:r>
        <w:rPr>
          <w:b/>
          <w:bCs/>
        </w:rPr>
        <w:t xml:space="preserve"> </w:t>
      </w:r>
      <w:r>
        <w:rPr>
          <w:b/>
          <w:bCs/>
        </w:rPr>
        <w:t xml:space="preserve">COUNTRY</w:t>
      </w:r>
      <w:r>
        <w:rPr>
          <w:b/>
          <w:bCs/>
        </w:rPr>
        <w:t xml:space="preserve"> </w:t>
      </w:r>
      <w:r>
        <w:rPr>
          <w:b/>
          <w:bCs/>
        </w:rPr>
        <w:t xml:space="preserve">JURISDICTIONAL</w:t>
      </w:r>
      <w:r>
        <w:rPr>
          <w:b/>
          <w:bCs/>
        </w:rPr>
        <w:t xml:space="preserve"> </w:t>
      </w:r>
      <w:r>
        <w:rPr>
          <w:b/>
          <w:bCs/>
        </w:rPr>
        <w:t xml:space="preserve">CLAIMS.</w:t>
      </w:r>
    </w:p>
    <w:p>
      <w:pPr>
        <w:pStyle w:val="BodyText"/>
      </w:pPr>
      <w:r>
        <w:t xml:space="preserve">In refusing to apply procedural bars or waiver principles to Petitioner’s jurisdictional claim, this Court concluded that ‘“subject-matter jurisdiction can never be waived or forfeited,’” ‘the limitations of post-convic tion or subsequent post-conviction statutes do not apply to claims of lack of jurisdiction,” and the State failed to point to a case in which this Court had applied laches to a jurisdictional claim. Bosse, 2021 OK CR 3, ¶ 21 &amp; n. 9, P.3d at (quoting Gonzalez v. Thaler, 565 U.S. 134, 141 (2012)). In so holding, this Court both “overlooked” arguments and authority offered by the State and reached a conclusion that is “in conflict” with controlling Supreme Court law and “express” language of the Uniform Post-Conviction Procedure Act. Rule 3.14(B)⁠(1)-(2), Rules of the Oklahoma Court of Criminal Appeals, Title 22, Ch. 1$, App. (2011). Rehearing is warranted. 2 This Court also points to prior statements in this Court’s and the Supreme Court’s cases suggesting the state might not have jurisdiction over non-Indian on Indian crimes, but as the State has noted, these statements are dicta and those cases did not squarely confront the question of whether the State lacked jurisdiction over such crimes (see State’s Response at 15</w:t>
      </w:r>
      <w:r>
        <w:noBreakHyphen/>
      </w:r>
      <w:r>
        <w:t xml:space="preserve">16). A. This Court Overlooked the State’s Arguments that Indian Country</w:t>
      </w:r>
    </w:p>
    <w:p>
      <w:pPr>
        <w:pStyle w:val="BodyText"/>
      </w:pPr>
      <w:r>
        <w:t xml:space="preserve">Jurisdictional Claims Can Be Waived under Federal Constitutional</w:t>
      </w:r>
    </w:p>
    <w:p>
      <w:pPr>
        <w:pStyle w:val="BodyText"/>
      </w:pPr>
      <w:r>
        <w:t xml:space="preserve">Law and Created a Conflict with Federal Authority.</w:t>
      </w:r>
    </w:p>
    <w:p>
      <w:pPr>
        <w:pStyle w:val="BodyText"/>
      </w:pPr>
      <w:r>
        <w:t xml:space="preserve">In its opinion, this Court held that not only was Petitioner’s Indian Country jurisdictional claim previously unavailable based on McGirt, but that such a claim can never be waived or forfeited under Supreme Court law. However, this Court overlooked the State’s arguments that federal constitutional law does not prohibit the application of procedural bars to Indian Country jurisdictional claims.3 Furthermore, this Court’s holding is in conflict with McGirt itself, as well as United States ii. Cotton, 535 U.S. 625 (2002), especially in light of the multiple federal courts that have relied on the latter case to hold that Indian Country jurisdictional claims can be waived.</w:t>
      </w:r>
    </w:p>
    <w:p>
      <w:pPr>
        <w:pStyle w:val="BodyText"/>
      </w:pPr>
      <w:r>
        <w:t xml:space="preserve">As an initial matter, before turning to the grounds justifying rehearing, an issue of semantics must be addressed. As with some other litigants and courts, In contrast, this Court addressed, and rejected, the State’s arguments that Petitioner’s jurisdictional claim was previously available. Bosse, 2021 OK CR 3, ¶ 20 n. 8, P.3d at —. To be clear, the State strongly disagrees with this Court’s finding that ⁠]‘vlcGirt provides a previously unavailable legal basis and contends this is contrary to the Supreme Court’s own characterization of the issue in McGirt. See, e.g., McGirt, 140 5. Ct. at 2464 (“In saying [allotment did not affect disestablishment] we say nothing new.”); see also Murphy v. Royal, 875 F.3d 896, 92 1</w:t>
      </w:r>
      <w:r>
        <w:noBreakHyphen/>
      </w:r>
      <w:r>
        <w:t xml:space="preserve">22 (10th Cir. 2017), affd sub nom. Sharp v. Murphy, 140 S. Ct. 2412 (holding that the Supreme Court’s reservation disestablishment framework was well established). However, it does not appear this Court overlooked the fully briefed arguments of the State as to this Court’s “previously unavailable” finding. Accordingly, the State’s focus here is on this Court’s determination that, even after McGirt becomes no longer newly available, Indian Country jurisdictional claims can still never be waived. This is significant in that anyone convicted in state court post-McGirt and given a lengthy sentence can simply wait until the applicable federal statute of limitations (which is typically five years) expires. See 18 U.S.C. § 3282(a). The person would then be entitled to vacatur of his or her state conviction, and would not be subject to federal prosecution. This untenable scenario cannot be permitted. the State here may have been imprecise with the use of the phrase “subject matter jurisdiction” (see, e.g., State’s Response at 24, 29</w:t>
      </w:r>
      <w:r>
        <w:noBreakHyphen/>
      </w:r>
      <w:r>
        <w:t xml:space="preserve">30, 33, 35, 41). See Gonzalez, 565 U.S. at 141 (“This Court has endeavored in recent years to bring some discipline to the use of the term ‘jurisdictional,” given “our less than meticulous use of the term in the past” (select quotation marks omitted)); Hugi v. United States, 164 F.3d 378, 380 (7th Cir. 1999) (“Lawyers and judges sometimes refer to the interstate-commerce element that appears in many federal crimes as the jurisdictional element,’ but this is a colloquialism—or perhaps a demonstration that the word jurisdiction’ has so many different uses that confusion ensues.”). However, the State’s uuwauerinq position has been that Petitioner’s claim, whatever it is called, can be waived (State’s Response at 22</w:t>
      </w:r>
      <w:r>
        <w:noBreakHyphen/>
      </w:r>
      <w:r>
        <w:t xml:space="preserve">49; State’s Supplemental Brief at 16</w:t>
      </w:r>
      <w:r>
        <w:noBreakHyphen/>
      </w:r>
      <w:r>
        <w:t xml:space="preserve">20). Thus, whether referred to as Petitioner’s “Indian Country jurisdictional claim,” as the State does here, or a “territorial jurisdictional” claim, see Bosse, 2021 OK CR 3, ¶J 4</w:t>
      </w:r>
      <w:r>
        <w:noBreakHyphen/>
      </w:r>
      <w:r>
        <w:t xml:space="preserve">7, P.3d at (Rowland, V.P.J., concurring in results); Bosse, 2021 OK CR 3, ¶ 3, P.3d at (Hudson, J., concurring in results) (“fullvjoin[ing Judge Rowland’s special writing concerning. ⁠. ⁠. the use of the term subject matter jurisdiction”), the State has preserved its arguments that the claim can be waived. Further, in holding ⁠/ to the contrary, this Court has both overlooked the State’s arguments and created a conflict in the law.</w:t>
      </w:r>
    </w:p>
    <w:p>
      <w:pPr>
        <w:pStyle w:val="BodyText"/>
      </w:pPr>
      <w:r>
        <w:t xml:space="preserve">First, in citing Gonzalez v. Thaler for the proposition that “[s]ubject-matter jurisdiction can never be waived or forfeited,” Gonzalez, 565 U.S. at 141, this Court overlooked the State’s argument that, “[i]n deciding McGirt, the Supreme Court expressly invited this Court to apply procedural bars to the jurisdictional challenges that would proliferate in the wake of its decision” (state’s Response at 22). As quoted by the State (State’s Response at 23), McGirt stated that “defendants who do try to challenge their state convictions may face significant procedural obstacles, thanks to well-known state and federal limitations on postconviction review in criminal proceedings,” including Oklahoma’s mie that claims that were not, but could have been, raised on direct appeal are waived. McGirt, 140 S. CL at 2479 &amp; n. 15. Thus, to the extent that this Court viewed itself as bound by the Supreme Court or federal constitutional law not to bar Indian Count jurisdictional claims, this cannot be squared with McGi.</w:t>
      </w:r>
    </w:p>
    <w:p>
      <w:pPr>
        <w:pStyle w:val="BodyText"/>
      </w:pPr>
      <w:r>
        <w:t xml:space="preserve">Second, this Court’s application of Gonzalez creates an unnecessary conflict between that case and McGirt, as well as between this Court and United States v. Cotton, on which Gonzalez relied. Cf Bosse, 137 S. Ct. at 2 (“Our decisions remain binding precedent until we see fit to reconsider them, regardless of whether subsequent cases have raised doubts about their continuing vitality.” (quotation marks omitted)). For starters, Gonzalez concerned 28 U.S.C. § 2253, a congressionally enacted limitation on federal appellate courts’ ability to hear habeas appeals, and the Court found that the particular provision at issue, § 2253(c)⁠(3), was non-jurisdictional. Id. at 139, 143. So the general statement relied on by this Court was made in a very specific statutory context not at issue in this case, and in addition it was mere dictum. See McDaniel v. Sanchez, 452 U.S. 130, 141 (1981) (dictum is a statement “unnecessary to the decision in [the] case”). In McGirt, in contrast, the Supreme Court very specifically indicated that claims regarding Indian Country jurisdiction could be barred. Thus, whatever Gonzalez meant in general by “[s]ubject-matter jurisdiction,” the phrase could not have encompassed Indian Country jurisdictional challenges. See 3osse, 2021 OK CR 3, ¶ 7 n. 2, — P.3d at (Rowland, V.RJ., concurring in results) (“The McGirt opinion tacitly acknowledges potential procedural bars ⁠. ⁠. ⁠. ⁠. Those defenses would not be relevant if subject matter jurisdiction, which is non-waivable, were concerned.”). Unsurprisingly, Petitioner himself has not argued that such challenges cannot be waived as a matter of constitutional law or that Oklahoma’s postconviction statutes are unconstitutional (App. at 16</w:t>
      </w:r>
      <w:r>
        <w:noBreakHyphen/>
      </w:r>
      <w:r>
        <w:t xml:space="preserve">17; Petitioner’s Post-Hearing Brief at 4</w:t>
      </w:r>
      <w:r>
        <w:noBreakHyphen/>
      </w:r>
      <w:r>
        <w:t xml:space="preserve">5).</w:t>
      </w:r>
    </w:p>
    <w:p>
      <w:pPr>
        <w:pStyle w:val="BodyText"/>
      </w:pPr>
      <w:r>
        <w:t xml:space="preserve">In addition, as indicated, Gonzalez relied on United States u. Cotton for the propositions that “[w]hen a requirement goes to subject-matter jurisdiction, courts are obligated to consider sua sponte issues that the parties have disclaimed or have not presented,” and that “[s}ubject-matter jurisdiction can never be waived or forfeited.” Gonzalez, 565 U.S. at 141—42. Indeed, in the context of addressing defects in a federal indictment on direct appeal, Cotton said that “subject-matter jurisdiction ⁠. ⁠. ⁠. can never be forfeited or waived.” Cotton, 535 U.S. at 630. However, what this Court did not acknowledge is that Gonzalez and Cotton both explained that “subject matter jurisdiction” is about a court’s power to hear a case: “[subject matter] jurisdiction means ⁠. ⁠. ⁠. the courts’ statutory or constitutional power to adjudicate the case.” Cotton, 535 U.S. at 630 (quotation marks omitted, emphasis in original); see also id, at 630</w:t>
      </w:r>
      <w:r>
        <w:noBreakHyphen/>
      </w:r>
      <w:r>
        <w:t xml:space="preserve">31 (“defects in an indictment do not deprive a court of its power to adjudicate a case” and therefore can be waived); Gonzalez, 565 U.S. at 141 (“The question before us is whether that defect deprived the Court of Appeals of the power to adjudicate Gonzalez’s appeal.”). More importantly, this Court did not acknowledge that multiple federal courts have relied on Cotton to hold that Indian Country jurisdictional claims are not claims of subject matter jurisdiction implicating the power of a court to hear a case and that such claims can be waived.</w:t>
      </w:r>
    </w:p>
    <w:p>
      <w:pPr>
        <w:pStyle w:val="BodyText"/>
      </w:pPr>
      <w:r>
        <w:t xml:space="preserve">It all started with Hugi. authored by the Honorable Judge Easterbrook. Although not an Indian Country case, in Hugi, the Seventh Circuit rejected Hugi’s contention that his claim, that his crime did not implicate interstate commerce, was subject matter jurisdictional in nature. Hugi, 164 F.3d at 380- 31. Relevant here, Hugi explained:</w:t>
      </w:r>
    </w:p>
    <w:p>
      <w:pPr>
        <w:pStyle w:val="BodyText"/>
      </w:pPr>
      <w:r>
        <w:t xml:space="preserve">Subject-matter jurisdiction in every federal criminal</w:t>
      </w:r>
    </w:p>
    <w:p>
      <w:pPr>
        <w:pStyle w:val="BodyText"/>
      </w:pPr>
      <w:r>
        <w:t xml:space="preserve">prosecution comes from 18 U.S.C. § 3231, and there can be no</w:t>
      </w:r>
    </w:p>
    <w:p>
      <w:pPr>
        <w:pStyle w:val="BodyText"/>
      </w:pPr>
      <w:r>
        <w:t xml:space="preserve">doubt that Article III permits Congress to assign federal criminal</w:t>
      </w:r>
    </w:p>
    <w:p>
      <w:pPr>
        <w:pStyle w:val="BodyText"/>
      </w:pPr>
      <w:r>
        <w:t xml:space="preserve">prosecutions to federal courts. That’s the beginning and the end of</w:t>
      </w:r>
    </w:p>
    <w:p>
      <w:pPr>
        <w:pStyle w:val="BodyText"/>
      </w:pPr>
      <w:r>
        <w:t xml:space="preserve">the ‘Uurisdictional” inquiry.</w:t>
      </w:r>
    </w:p>
    <w:p>
      <w:pPr>
        <w:pStyle w:val="BodyText"/>
      </w:pPr>
      <w:r>
        <w:t xml:space="preserve">The nexus with interstate commerce, which courts frequently</w:t>
      </w:r>
    </w:p>
    <w:p>
      <w:pPr>
        <w:pStyle w:val="BodyText"/>
      </w:pPr>
      <w:r>
        <w:t xml:space="preserve">call the “jurisdictional element,” is simply one of the essential</w:t>
      </w:r>
    </w:p>
    <w:p>
      <w:pPr>
        <w:pStyle w:val="BodyText"/>
      </w:pPr>
      <w:r>
        <w:t xml:space="preserve">elements of the offense. Although courts frequently call it the</w:t>
      </w:r>
    </w:p>
    <w:p>
      <w:pPr>
        <w:pStyle w:val="BodyText"/>
      </w:pPr>
      <w:r>
        <w:t xml:space="preserve">“jurisdictional element” of the statute, it is “jurisdictional” only in</w:t>
      </w:r>
    </w:p>
    <w:p>
      <w:pPr>
        <w:pStyle w:val="BodyText"/>
      </w:pPr>
      <w:r>
        <w:t xml:space="preserve">the shorthand sense that without that nexus, there can be no federal</w:t>
      </w:r>
    </w:p>
    <w:p>
      <w:pPr>
        <w:pStyle w:val="BodyText"/>
      </w:pPr>
      <w:r>
        <w:t xml:space="preserve">crime. It is not jurisdictional in the sense that it affects a court’s</w:t>
      </w:r>
    </w:p>
    <w:p>
      <w:pPr>
        <w:pStyle w:val="BodyText"/>
      </w:pPr>
      <w:r>
        <w:t xml:space="preserve">subject matter jurisdiction, i.e., a court’s constitutional or</w:t>
      </w:r>
    </w:p>
    <w:p>
      <w:pPr>
        <w:pStyle w:val="BodyText"/>
      </w:pPr>
      <w:r>
        <w:t xml:space="preserve">statutory</w:t>
      </w:r>
    </w:p>
    <w:p>
      <w:pPr>
        <w:pStyle w:val="BodyText"/>
      </w:pPr>
      <w:r>
        <w:t xml:space="preserve">power to adjudicate a case, here authorized by 18 U.S.C. § 3231. Hugi, 164 F.3d at 380</w:t>
      </w:r>
      <w:r>
        <w:noBreakHyphen/>
      </w:r>
      <w:r>
        <w:t xml:space="preserve">81 (alterations adopted, quotation marks omitted, emphasis added). Section 3231 provides that “[tjhe district courts of the United States shall have original jurisdiction, exclusive of the courts of the States, of all offenses against the laws of the United States.” 18 U.S.C. § 3231.</w:t>
      </w:r>
    </w:p>
    <w:p>
      <w:pPr>
        <w:pStyle w:val="BodyText"/>
      </w:pPr>
      <w:r>
        <w:t xml:space="preserve">A few years later, as already quoted, Cotton held that “jurisdiction” means “the courts’ statutory or constitutional power to adjudicate the case,” and this “concept of subject-matter jurisdiction, because it involves a court’s power to hear a case, can never be forfeited or waived.” Cotton, 535 U.S. at 630 (quotation marks omitted). Multiple federal cases have relied on Cotton—subject matter jurisdiction is about a court’s power to adjudicate a case—and Hugi—federal courts’ power to hear a criminal case is established by § 3231—⁠ to hold that Indian Country jurisdictional claims are no non-waivable subject matter jurisdiction claims.</w:t>
      </w:r>
    </w:p>
    <w:p>
      <w:pPr>
        <w:pStyle w:val="BodyText"/>
      </w:pPr>
      <w:r>
        <w:t xml:space="preserve">In Tony, the Tenth Circuit, relying on Cotton and Hugi, held:</w:t>
      </w:r>
    </w:p>
    <w:p>
      <w:pPr>
        <w:pStyle w:val="BodyText"/>
      </w:pPr>
      <w:r>
        <w:t xml:space="preserve">The Indian Country nexus, like other similar nexuses in the</w:t>
      </w:r>
    </w:p>
    <w:p>
      <w:pPr>
        <w:pStyle w:val="BodyText"/>
      </w:pPr>
      <w:r>
        <w:t xml:space="preserve">context of federal crimes, has been called a ‘jurisdictional element”</w:t>
      </w:r>
    </w:p>
    <w:p>
      <w:pPr>
        <w:pStyle w:val="BodyText"/>
      </w:pPr>
      <w:r>
        <w:t xml:space="preserve">but it is ‘jurisdictional” only in the shorthand sense that without</w:t>
      </w:r>
    </w:p>
    <w:p>
      <w:pPr>
        <w:pStyle w:val="BodyText"/>
      </w:pPr>
      <w:r>
        <w:t xml:space="preserve">that nexus, there can be no federal crime. The absence of a required</w:t>
      </w:r>
    </w:p>
    <w:p>
      <w:pPr>
        <w:pStyle w:val="BodyText"/>
      </w:pPr>
      <w:r>
        <w:t xml:space="preserve">element is not jurisdictional in the sense that it affects a court’s</w:t>
      </w:r>
    </w:p>
    <w:p>
      <w:pPr>
        <w:pStyle w:val="BodyText"/>
      </w:pPr>
      <w:r>
        <w:t xml:space="preserve">subject matter jurisdiction, i.e., a court’s constitutionai or statutory</w:t>
      </w:r>
    </w:p>
    <w:p>
      <w:pPr>
        <w:pStyle w:val="BodyText"/>
      </w:pPr>
      <w:r>
        <w:t xml:space="preserve">power to adjudicate a case.</w:t>
      </w:r>
    </w:p>
    <w:p>
      <w:pPr>
        <w:pStyle w:val="BodyText"/>
      </w:pPr>
      <w:r>
        <w:t xml:space="preserve">To obtain a conviction, the government was required to plead</w:t>
      </w:r>
    </w:p>
    <w:p>
      <w:pPr>
        <w:pStyle w:val="BodyText"/>
      </w:pPr>
      <w:r>
        <w:t xml:space="preserve">and prove the crime occurred in Indian Country. Failure to do so</w:t>
      </w:r>
    </w:p>
    <w:p>
      <w:pPr>
        <w:pStyle w:val="BodyText"/>
      </w:pPr>
      <w:r>
        <w:t xml:space="preserve">would not remove subject-matter jurisdiction. Tony’s claim is really</w:t>
      </w:r>
    </w:p>
    <w:p>
      <w:pPr>
        <w:pStyle w:val="BodyText"/>
      </w:pPr>
      <w:r>
        <w:t xml:space="preserve">an insufficiency of the evidence argument and was waived when he</w:t>
      </w:r>
    </w:p>
    <w:p>
      <w:pPr>
        <w:pStyle w:val="BodyText"/>
      </w:pPr>
      <w:r>
        <w:t xml:space="preserve">failed to raise it on direct appeal. United States v. Tony, 637 F.3d 1153, 1157—60 (10th Cir. 2011) (citations and quotation marks omitted); see Bosse, 2021 OK CR 3, ¶ 16, P.3d at (observing this Court must be consistent with Tenth Circuit precedent). Multiple other federal cases have reached the same conclusion in the context of Indian Country claims. See, e.g., United States v. Pemberton, 405 F.3d 656, 659 (8th Cir. 2005); United States v. White Horse, 316 F,3d 769, 772 (8th Cir. 2003); United States v. Prentiss, 256 F.3d 971, 981</w:t>
      </w:r>
      <w:r>
        <w:noBreakHyphen/>
      </w:r>
      <w:r>
        <w:t xml:space="preserve">82 (10th Cir. 2001) (en banc), i overruled on other grounds by Cotton, 535 U.S. at 631; Welch v. United States, No. 2:O5CR$, 200$ WL 4981352, at *2 n. 2 (W.D.N.C. Nov. 19, 2008) (unpublished).</w:t>
      </w:r>
    </w:p>
    <w:p>
      <w:pPr>
        <w:pStyle w:val="BodyText"/>
      </w:pPr>
      <w:r>
        <w:t xml:space="preserve">Here, Oklahoma constitutional and statutory law confers on state district courts the power to adjudicate criminal cases arising from crimes committed within th State’s borders. See 0kb, Const. Art. Vii, 7 (The District Courts of Okiahomal shall have unlimited original jurisdiction of all justiciable matters</w:t>
      </w:r>
    </w:p>
    <w:p>
      <w:pPr>
        <w:pStyle w:val="BodyText"/>
      </w:pPr>
      <w:r>
        <w:t xml:space="preserve">.“); 22 0.5.2011, § 121 (“When the commission of a public offense, commenced without this state, is consummated within its boundaries, the defendant is liable to punishment therefor in this state, ⁠. ⁠. ⁠. and in such case, the jurisdiction is in the county in which the offense is consummated.”); Graham v. Lanning, 1985 OK CR 36, ¶ 5, 698 P.2d 25, 26, overruled on other grounds by Lenzy v. State, 1993 OK CR 53, ¶ 17, 864 P.2d 847, 850 (“We note at the outset that 22 O.S.198 1, § 121 confers on the District Courts of this State jurisdiction over any offense ‘commenced without this State, [and] consummated within its boundaries, ⁠. ⁠. ⁠. and. ⁠. ⁠. the jurisdiction is in the county in which the offense is consummated.”); see also generally Title 20 of the Oklahoma Statutes; Bosse, 2021 OK CR 3, ¶ 4, P.3d at (Rowland, V.P,J., concurring in results) (“The subject matter jurisdiction of Oklahoma courts is established by Article 7 of our State Constitution and Title 20 of our statutes which grant general jurisdiction, including over murder cases, to our district trial courts.”). Thus, “the subject matter in this case is a murder prosecution.” Bosse, 2021 OK CR 3, ¶J 4</w:t>
      </w:r>
      <w:r>
        <w:noBreakHyphen/>
      </w:r>
      <w:r>
        <w:t xml:space="preserve">7, P.3d at (Rowland, V.P.J., concurring in results). In terms of subject matter jurisdiction, “[t]hat’s the beginning and the end of the jurisdictionaI’ inquiry.” Hugi, 164 F.3d at 380.</w:t>
      </w:r>
    </w:p>
    <w:p>
      <w:pPr>
        <w:pStyle w:val="BodyText"/>
      </w:pPr>
      <w:r>
        <w:t xml:space="preserve">This Court’s treatment of Indian Country jurisdictional claims as non waivable subject matter jurisdiction claims that implicate the power of the trial court to adjudicate a case creates a conflict with Cotton, in particular as it has been interpreted by lower federal courts. furthermore in tension with this Court’s pronouncement that [c]onsistencv and economy of judicial resources compel us to adopt the same definition [of Indian status] as that used by the Tenth Circuit.” Bosse, 2021 OK CR3, ¶ 16, P.3d at ⁠, this Court’s decision also results in a curious dichotomy in which Indian Country jurisdictional claims can never be waived in state court but can be waived in federal court, including in the Tenth Circuit. If anything, one would expect the opposite. See United States v. Prentiss, 206 f.3d 960, 967 (10th Cir. 2000) (“Federal criminal jurisdiction is limited by federalism concerns; states retain primary criminal jurisdiction in our system.”); Application of Poston, 1955 OK CR 39, ¶ 31, 281 P.2d 776, 784 (“The district courts of Oklahoma are courts of general jurisdiction.”). The State urges this Court to grant rehearing to address this conflict.4 Respectfully, this Court’s statement that “[t]he District Attorney admits that generally litigants ‘cannot waive the argument that the district court lacks subject-matter jurisdiction,’ citing United States v. Green, 886 f.3d 1300, 1304 (10th Cir. 2018),” Bosse, B. This Court Overlooked the State’s Arguments that Indian Country</w:t>
      </w:r>
    </w:p>
    <w:p>
      <w:pPr>
        <w:pStyle w:val="BodyText"/>
      </w:pPr>
      <w:r>
        <w:t xml:space="preserve">Jurisdictional Claims Can Be Waived under State Statutory Law and</w:t>
      </w:r>
    </w:p>
    <w:p>
      <w:pPr>
        <w:pStyle w:val="BodyText"/>
      </w:pPr>
      <w:r>
        <w:t xml:space="preserve">Created a Conflict with the Post-Conviction Statutes.</w:t>
      </w:r>
    </w:p>
    <w:p>
      <w:pPr>
        <w:pStyle w:val="BodyText"/>
      </w:pPr>
      <w:r>
        <w:t xml:space="preserve">In addition to holding that Petitioner’s Indian Country jurisdictional claim could never be waived or forfeited under Supreme Court law, this Court also held that it is not subject to Oklahoma’s post-conviction statutes pursuant to Wackerly v. State, 20100K CR 16, ¶ 4, 237 P.3d 795, 797; Murphy n. State, 2005 OK CR 25, ¶J 5</w:t>
      </w:r>
      <w:r>
        <w:noBreakHyphen/>
      </w:r>
      <w:r>
        <w:t xml:space="preserve">7, 124 P.3d 1198, 1200; and Wallace v. State, 1997 OK CR 18, ¶ 15, 935 P.2d 366, 372. Bosse, 2021 OK CR3, ¶ 21, P.3d at ⁠. However, this Court overlooked the State’s arguments that (zc1culy, Murphy. and Wallace are in conflict with 22 0.8.2011, § 10$9(D)⁠(8). Furthermore, this Court’s holding is in conflict with 22 0.8.2011, § 1080 and 1086, which expressly encompass jurisdictional claims and provide that they can be waived.</w:t>
      </w:r>
    </w:p>
    <w:p>
      <w:pPr>
        <w:pStyle w:val="BodyText"/>
      </w:pPr>
      <w:r>
        <w:t xml:space="preserve">First, in holding that “the limitations of post-conviction or subsequent post-conviction statutes do not apply to claims of lack of jurisdiction” based on 2021 OK CR 3, ¶ 21, P.3d at ⁠, takes the District Attorney’s citation to Green out of context. The District Attorney relied on Green to observe that ‘[i}t is not clear in the law that a defendant who argues he is an Indian in state court would be estopped from arguing the opposite in federal court” in urging this Court to clearly define Indian status (State’s Supplemental Brief at 11). More importantly, in focusing on a single citation in the State’s briefing to generate a concession on the State’s part, this Court overlooked that the State’s briefs argued at length that jurisdictional claims can be waived (State’s Response at 22</w:t>
      </w:r>
      <w:r>
        <w:noBreakHyphen/>
      </w:r>
      <w:r>
        <w:t xml:space="preserve">49; State’s Supplemental Brief at 16</w:t>
      </w:r>
      <w:r>
        <w:noBreakHyphen/>
      </w:r>
      <w:r>
        <w:t xml:space="preserve">20; see also Petitioner’s Post- Hearing Brief at 5 (“the State devoted 27 pages of its Pre-Remand Brief to its procedural bar arguments”)). Finally, an alleged concession by a party does not relieve this Court of its duty to correctly interpret the law. Cf Walker v. State, 1997 OK CR 3, ¶ 5, 933 P.2d 327, 331, superseded by statute on other grounds, 22 O.S.Supp.2004, § 1089(D)⁠(4) (“The amendments to the capital post-conviction review statute reflect the legislature’s intent to honor and preserve the legal principle of finality of judgment, and we will narrowly construe these amendments to effectuate that intent.”) (quoted in State’s Response at 38). Wackerly, Murphy, and Wallace, Bosse, 2021 OK CR3, ¶ 21, P.3d at_, this Court overlooked the State’s argument that “[n]either Wackerly nor Murphy. could be squared with the Oklahoma Legislature’s express limitations on successive post-conviction applications in § 1089” (State’s Response at 30</w:t>
      </w:r>
      <w:r>
        <w:noBreakHyphen/>
      </w:r>
      <w:r>
        <w:t xml:space="preserve">31),5 As the State asserted, “ 1089 ⁠. ⁠. ⁠. limit[s] successive filings to two categories— those with certain previously unavailable legal grounds and those with certain previously unavailable factual grounds”—and the “statute provides [no] exception to its restrictions for challenges to the trial court’s subject matter jurisdiction” (State’s Response at 34). Thus this Court’s judicially created exception for jurisdictional challenges in Wackerly and Murphy impermissiblv “contravenes legislative intent” (State’s Response at 38</w:t>
      </w:r>
      <w:r>
        <w:noBreakHyphen/>
      </w:r>
      <w:r>
        <w:t xml:space="preserve">39). See Wallace, 1997 OK CR 18, ¶ 4, 935 P.2d at 370 (“A statute must be held to mean what it plainly expresses and no room is left for construction and interpretation where the language employed is clear and unambiguous.” (quotation marks omitted)).</w:t>
      </w:r>
    </w:p>
    <w:p>
      <w:pPr>
        <w:pStyle w:val="BodyText"/>
      </w:pPr>
      <w:r>
        <w:t xml:space="preserve">The State further pointed out that the Oklahoma Legislature amended § 1089 shortly after the enactment of the Antiterrorism and Effective Death Penalty Act of 1996 f”AEDPA”) to impose “essentially the same restrictions on</w:t>
      </w:r>
    </w:p>
    <w:p>
      <w:pPr>
        <w:pStyle w:val="BodyText"/>
      </w:pPr>
      <w:r>
        <w:t xml:space="preserve">Wallace, 1997 OK CR 18, 5 Despite Petitioner’s failure to cite it, the State also addressed ¶ 15, 935 P,2d at 372</w:t>
      </w:r>
      <w:r>
        <w:noBreakHyphen/>
      </w:r>
      <w:r>
        <w:t xml:space="preserve">73, acknowledging its statement that “issues of subject matter jurisdiction are never waived and can therefore be raised on a collateral appeal” (State’s Response at 30 n. 20). However, the State explained, “Wallace was a first post- conviction application[,] Wattace, 1997 OK CR 18, ¶{ 1</w:t>
      </w:r>
      <w:r>
        <w:noBreakHyphen/>
      </w:r>
      <w:r>
        <w:t xml:space="preserve">2, 935 P.2d at 368</w:t>
      </w:r>
      <w:r>
        <w:noBreakHyphen/>
      </w:r>
      <w:r>
        <w:t xml:space="preserve">69”; “because Petitioner’s claim here is on second post-conviction, the State limit[ed] its argument to the bars specific to that stage of litigation” (State’s Response at 30 n. 20 (emphasis in original)). In any event, like § 1089(D)⁠(8) (governing successive capital post-conviction applications), § 1089(C) (governing first capital post-conviction applications) does not contain any special exception for jurisdictional claims, capital post-conviction applications that apply to successive habeas petitions under the AEDPA” (State’s Response at 31</w:t>
      </w:r>
      <w:r>
        <w:noBreakHyphen/>
      </w:r>
      <w:r>
        <w:t xml:space="preserve">34). Federal courts, including the Tenth Circuit, have repeatedly rejected, explicitly or implicitly, the notion that challenges to jurisdiction are exempt from the AEDPA’s restrictions on the filing of successive habeas petitions (State’s Response at 34</w:t>
      </w:r>
      <w:r>
        <w:noBreakHyphen/>
      </w:r>
      <w:r>
        <w:t xml:space="preserve">38 (collecting cases)).6 Thus, the State argued, “[t]here is no reason to think that the Oklahoma Legislature intended 1089 to be any less restrictive than [the corresponding provision of AEDPAI when it comes to jurisdictional challenges” (State’s Response at 38). This Court overlooked all of these arguments in reaffirming its conclusion from Wuckethj, Murphy, and Wallace that jurisdictional claims are not subject to § 1089. See Prost v. Anderson, 636 F.3d 578, 589 (10th Cir. 2011) (“The simple fact is that Congress decided that, unless [AEDPA’sJ subsection (h)’s requirements are met, finality concerns trump and the litigation must stop after a first collateral attack. Neither is this court free to reopen and replace Congress’s judgment with our own.”) (discussed in State’s Response at 36</w:t>
      </w:r>
      <w:r>
        <w:noBreakHyphen/>
      </w:r>
      <w:r>
        <w:t xml:space="preserve">40).</w:t>
      </w:r>
    </w:p>
    <w:p>
      <w:pPr>
        <w:pStyle w:val="BodyText"/>
      </w:pPr>
      <w:r>
        <w:t xml:space="preserve">Second, relatedly, this Court’s determination that “the limitations of post- conviction or subsequent post-conviction statutes do not apply to claims of lack of jurisdiction,” Bosse, 2021 OK CR 3, ¶ 21, P.3d at ⁠, is squarely in conflict 6 Likewise, in the context of federal motions to vacate sentence under 28 U.S.C. § 2255, the parallel for federal prisoners to habeas petitions by state prisoners, “courts have uniformly rejected” the contention that the statute of limitations in § 2255 does not apply to jurisdictional claims because “ 2255 itself expressly contemplates challenges to a sentencing court’s jurisdiction without in any way indicating that these particular sorts of attacks need not be brought within the statute’s one-year period of limitation.” Wallace v. United States, 981 F. Supp. 2d 1160, 1166 (N.D. Ala. 2013) (quotation marks omitted) (collecting cases). with clear language in § 1080 and 1086. Section 1080 expressly encompasses jurisdictional challenges: “Any person who has been convicted of, or sentenced for, a crime and who claims:. ⁠. ⁠. that the court was without jurisdiction to impose sentence ⁠. ⁠. ⁠. may institute a proceeding under this act ⁠. ⁠. ⁠. ⁠.“ 22 0.5.2011, § 1080(b) (emphasis added). Furthermore, § 1086, regarding successive non- capital post-conviction applications, says that “[a]ll grounds for relief available to an applicant under this act must be raised in his original, supplemental or amended application” and may not be the basis of a successive post-conviction application unless “sufficient reason” for the failure to do so is shown. 22 O.S.2011, § 1086 (emphasis added). Thus, the Oklahoma Legislature said “all” claims “must be raised” at the first opportunity—and said so in spite of its explicit recognition that challenges to the trial court’s jurisdiction may be raised. Compare 22 0.5.2011, § 1080(b), with 22 0.S.2011, § 1086; see also Wallace, 981 F. Supp. 2d at 1166 (“[Section] 2255 itself expressly contemplates challenges to a sentencing court’s jurisdiction without in any way indicating that these particular sorts of attacks need not be brought within the statute’s one-year period of limitation.” (quotation marks omitted)).7 The Legislature clearly made jurisdictional claims subject to the provisions of the post-conviction statutes, Indeed, this Court relied on § 1080(b) in recently holding that a defendant raising a McGirt claim could not bypass the statutory post-conviction procedures and bring her claim in a state habeas petition. State u. Canavan, Case No. PR</w:t>
      </w:r>
      <w:r>
        <w:noBreakHyphen/>
      </w:r>
      <w:r>
        <w:t xml:space="preserve">2020</w:t>
      </w:r>
      <w:r>
        <w:noBreakHyphen/>
      </w:r>
      <w:r>
        <w:t xml:space="preserve">526, Order Granting Application for Writ of Prohibition and Remanding Matter to District Court for Further Proceedings at 4 (Okia. Crim. App. Sept. 11, 2020) (unpublished), attached as Exhibit A. Any unpublished orders are attached as an exhibit and cited because no published opinion would serve as well the purpose for which they are cited. See Rule 3.5(C)⁠(3), Rules of the Oklahoma Court of Criminal Appeals, Title 22, Ch. 1$, App. (2019). contrary to this Court’s pronouncement that “the limitations of post-conviction or subsequent post-conviction statutes do not apply to claims of lack of jurisdiction.” Bosse, 2021 OK CR3, ¶ 21, P.3d at; see also Wallace, 1997 OK CR 18, ¶ 4, 935 P.2d at 370 (“A statute must be held to mean what it plainly expresses and no room is left for construction and interpretation where the language employed is clear and unambiguous.” (quotation marks omitted)).8 C. This Court Overlooked the State’s Reliance on Ex parte Wallace, 81</w:t>
      </w:r>
    </w:p>
    <w:p>
      <w:pPr>
        <w:pStyle w:val="BodyText"/>
      </w:pPr>
      <w:r>
        <w:t xml:space="preserve">Okla. Crim. 176, 162 P.2d 205 (1945).</w:t>
      </w:r>
    </w:p>
    <w:p>
      <w:pPr>
        <w:pStyle w:val="BodyText"/>
      </w:pPr>
      <w:r>
        <w:t xml:space="preserve">This Court further held that “[tjhe principle that subject-matter jurisdiction may not be waived also settles the State’s argument based on laches,” noting that “[n]one of the cases on which the State relies concern a claim of lack of jurisdiction.” Bosse, 2021 OK CR 3, ¶ 21 n. 9, P.3d at However, this Court overlooked the State’s reliance on Exparte Wallace, 81 Okia. Crim. 176, 178</w:t>
      </w:r>
      <w:r>
        <w:noBreakHyphen/>
      </w:r>
      <w:r>
        <w:t xml:space="preserve">79, 162 P.2d 205, 207 (1945) (State’s Response at 46). As explained by the State, in Ex parte Wallace, “the defendant filed a state habeas petition three years after his guilty plea alleging that the federal court had exclusive jurisdiction over his crime because he and his rape victims were Comanche Indians and the crime occurred on a restricted allotment.” (State’s 8 The State did not rely on § 1080 and 1086 in its Response and Supplemental Brief because this is a capital case subject to § 1089. However, in broadly holding that “the limitations of post-conviction or subsequent post-conviction statutes do not apply to claims of lack of jurisdiction,” Bosse, 2021 OK CR 3, ¶ 21, — P.3d at —,this Court has created a clear conflict with these non-capital post-conviction statutes, see Rule 3.14(B)⁠(2), Rules of the Oklahoma Court of Criminal Appeals, Title 22, Ch. 18, App. (2011). And there is nothing in § 1089 that indicates the Legislature intended to exempt jurisdictional claims from the requirement—which appears in both § 1086 and § 1089—⁠ that every claim be brought at the first available opportunity. Response at 46). “Although this Court did not invoke the word ‘laches,’ it ultimately concluded that ‘at this late date’ it would not consider the defendant’s jurisdictional attack, noting in particular that the statute of limitations for any federal action against the defendant had lapsed.” (State’s Response at 56 (quoting Exparte Wallace, 81 Okla. Crim. at 179, 188, 162 P.2d at 207, 211)). This Court was clearly applying the doctrine of laches in Ex parte Wallace to an Indian Country jurisdictional claim. Respectfully, this Court’s statement in this case that the State did not identify any case in which this Court applied laches to a jurisdictional challenge is incorrect. The State urges this Court to clarify, at the very least, that the doctrine of laches may apply, on a case-by-case basis, to Indian Country jurisdictional claims where any applicable federal or tribal statute of limitations has expired. See, e.g., Worthington u. State, Case No. PC- 2020</w:t>
      </w:r>
      <w:r>
        <w:noBreakHyphen/>
      </w:r>
      <w:r>
        <w:t xml:space="preserve">744, Order Remanding for Evidentiary Hearing (Okla. Crim. App. Dec. 22, 2020) (unpublished), attached as Exhibit B (remanding 1986 rape, kidnapping, and robbery case for evidentiary hearing on Indian Country jurisdictional claim).</w:t>
      </w:r>
    </w:p>
    <w:p>
      <w:pPr>
        <w:pStyle w:val="BodyText"/>
      </w:pPr>
      <w:r>
        <w:t xml:space="preserve">CONCLUSION</w:t>
      </w:r>
    </w:p>
    <w:p>
      <w:pPr>
        <w:pStyle w:val="BodyText"/>
      </w:pPr>
      <w:r>
        <w:t xml:space="preserve">The stakes in this case could not be higher for the State of Oklahoma and its people, Indian and non-Indian alike. For all these reasons, the State respectfully urges this Court to grant this petition for rehearing and reconsider this case.</w:t>
      </w:r>
    </w:p>
    <w:p>
      <w:pPr>
        <w:pStyle w:val="BodyText"/>
      </w:pPr>
      <w:r>
        <w:t xml:space="preserve">Respectfully submitted,</w:t>
      </w:r>
    </w:p>
    <w:p>
      <w:pPr>
        <w:pStyle w:val="BodyText"/>
      </w:pPr>
      <w:r>
        <w:t xml:space="preserve">MIKE HUNTER</w:t>
      </w:r>
    </w:p>
    <w:p>
      <w:pPr>
        <w:pStyle w:val="BodyText"/>
      </w:pPr>
      <w:r>
        <w:t xml:space="preserve">ATTORNEY GENERAL</w:t>
      </w:r>
    </w:p>
    <w:p>
      <w:pPr>
        <w:pStyle w:val="BodyText"/>
      </w:pPr>
      <w:r>
        <w:t xml:space="preserve">MITHUN MANSINGHANI, OBA #32453</w:t>
      </w:r>
    </w:p>
    <w:p>
      <w:pPr>
        <w:pStyle w:val="BodyText"/>
      </w:pPr>
      <w:r>
        <w:t xml:space="preserve">SOLICITOR GENERAL</w:t>
      </w:r>
    </w:p>
    <w:p>
      <w:pPr>
        <w:pStyle w:val="BodyText"/>
      </w:pPr>
      <w:r>
        <w:t xml:space="preserve">CAROLINE E.J. U T, OBA #32635</w:t>
      </w:r>
    </w:p>
    <w:p>
      <w:pPr>
        <w:pStyle w:val="BodyText"/>
      </w:pPr>
      <w:r>
        <w:t xml:space="preserve">ASSISTANT ATTORNEY GENERAL</w:t>
      </w:r>
    </w:p>
    <w:p>
      <w:pPr>
        <w:pStyle w:val="BodyText"/>
      </w:pPr>
      <w:r>
        <w:t xml:space="preserve">313 N.E. 21st Street</w:t>
      </w:r>
    </w:p>
    <w:p>
      <w:pPr>
        <w:pStyle w:val="BodyText"/>
      </w:pPr>
      <w:r>
        <w:t xml:space="preserve">Oklahoma City, OK 73105</w:t>
      </w:r>
    </w:p>
    <w:p>
      <w:pPr>
        <w:pStyle w:val="BodyText"/>
      </w:pPr>
      <w:r>
        <w:t xml:space="preserve">(405) 521</w:t>
      </w:r>
      <w:r>
        <w:noBreakHyphen/>
      </w:r>
      <w:r>
        <w:t xml:space="preserve">3921</w:t>
      </w:r>
    </w:p>
    <w:p>
      <w:pPr>
        <w:pStyle w:val="BodyText"/>
      </w:pPr>
      <w:r>
        <w:t xml:space="preserve">(405) 522</w:t>
      </w:r>
      <w:r>
        <w:noBreakHyphen/>
      </w:r>
      <w:r>
        <w:t xml:space="preserve">4534 (FAX)</w:t>
      </w:r>
    </w:p>
    <w:p>
      <w:pPr>
        <w:pStyle w:val="BodyText"/>
      </w:pPr>
      <w:r>
        <w:t xml:space="preserve">ATTORNEYS FOR APPELLEE</w:t>
      </w:r>
    </w:p>
    <w:p>
      <w:pPr>
        <w:spacing w:before="0" w:after="0" w:line="46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80" w:firstLine="0"/>
              <w:jc w:val="left"/>
            </w:pPr>
            <w:r>
              <w:t xml:space="preserve">313</w:t>
            </w:r>
            <w:r>
              <w:t xml:space="preserve"> </w:t>
            </w:r>
            <w:r>
              <w:t xml:space="preserve">N.E.</w:t>
            </w:r>
            <w:r>
              <w:t xml:space="preserve"> </w:t>
            </w:r>
            <w:r>
              <w:t xml:space="preserve">21st</w:t>
            </w:r>
            <w:r>
              <w:t xml:space="preserve"> </w:t>
            </w:r>
            <w:r>
              <w:t xml:space="preserve">Street</w:t>
            </w:r>
          </w:p>
          <w:p>
            <w:pPr>
              <w:spacing w:before="0" w:after="0" w:line="299" w:lineRule="exact"/>
              <w:ind w:left="4680" w:firstLine="0"/>
              <w:jc w:val="left"/>
            </w:pPr>
            <w:r>
              <w:t xml:space="preserve">Oklahoma</w:t>
            </w:r>
            <w:r>
              <w:t xml:space="preserve"> </w:t>
            </w:r>
            <w:r>
              <w:t xml:space="preserve">City,</w:t>
            </w:r>
            <w:r>
              <w:t xml:space="preserve"> </w:t>
            </w:r>
            <w:r>
              <w:t xml:space="preserve">OK</w:t>
            </w:r>
            <w:r>
              <w:t xml:space="preserve"> </w:t>
            </w:r>
            <w:r>
              <w:t xml:space="preserve">73105</w:t>
            </w:r>
          </w:p>
          <w:p>
            <w:pPr>
              <w:spacing w:before="0" w:after="0" w:line="299" w:lineRule="exact"/>
              <w:ind w:left="4680" w:firstLine="0"/>
              <w:jc w:val="left"/>
            </w:pPr>
            <w:r>
              <w:t xml:space="preserve">(405)</w:t>
            </w:r>
            <w:r>
              <w:t xml:space="preserve"> </w:t>
            </w:r>
            <w:r>
              <w:t xml:space="preserve">521</w:t>
              <w:noBreakHyphen/>
              <w:t xml:space="preserve">3921</w:t>
            </w:r>
          </w:p>
          <w:p>
            <w:pPr>
              <w:spacing w:before="0" w:after="0" w:line="299" w:lineRule="exact"/>
              <w:ind w:left="4680" w:firstLine="0"/>
              <w:jc w:val="left"/>
            </w:pPr>
            <w:r>
              <w:t xml:space="preserve">(405)</w:t>
            </w:r>
            <w:r>
              <w:t xml:space="preserve"> </w:t>
            </w:r>
            <w:r>
              <w:t xml:space="preserve">522</w:t>
              <w:noBreakHyphen/>
              <w:t xml:space="preserve">4534</w:t>
            </w:r>
            <w:r>
              <w:t xml:space="preserve"> </w:t>
            </w:r>
            <w:r>
              <w:t xml:space="preserve">(FAX)</w:t>
            </w:r>
          </w:p>
          <w:p>
            <w:pPr>
              <w:spacing w:before="299" w:after="0" w:line="299" w:lineRule="exact"/>
              <w:ind w:left="4680" w:firstLine="0"/>
              <w:jc w:val="left"/>
            </w:pPr>
            <w:r>
              <w:rPr>
                <w:u w:val="single"/>
              </w:rPr>
              <w:t xml:space="preserve">/s/</w:t>
            </w:r>
            <w:r>
              <w:rPr>
                <w:u w:val="single"/>
              </w:rPr>
              <w:t xml:space="preserve"> </w:t>
            </w:r>
            <w:r>
              <w:rPr>
                <w:u w:val="single"/>
              </w:rPr>
              <w:t xml:space="preserve">Caroline</w:t>
            </w:r>
            <w:r>
              <w:rPr>
                <w:u w:val="single"/>
              </w:rPr>
              <w:t xml:space="preserve"> </w:t>
            </w:r>
            <w:r>
              <w:rPr>
                <w:u w:val="single"/>
              </w:rPr>
              <w:t xml:space="preserve">E.J.</w:t>
            </w:r>
            <w:r>
              <w:rPr>
                <w:u w:val="single"/>
              </w:rPr>
              <w:t xml:space="preserve"> </w:t>
            </w:r>
            <w:r>
              <w:rPr>
                <w:u w:val="single"/>
              </w:rPr>
              <w:t xml:space="preserve">Hunt</w:t>
            </w:r>
          </w:p>
          <w:p>
            <w:pPr>
              <w:spacing w:before="0" w:after="0" w:line="299" w:lineRule="exact"/>
              <w:ind w:left="4680" w:firstLine="0"/>
              <w:jc w:val="left"/>
            </w:pPr>
            <w:r>
              <w:t xml:space="preserve">Caroline</w:t>
            </w:r>
            <w:r>
              <w:t xml:space="preserve"> </w:t>
            </w:r>
            <w:r>
              <w:t xml:space="preserve">E.J.</w:t>
            </w:r>
            <w:r>
              <w:t xml:space="preserve"> </w:t>
            </w:r>
            <w:r>
              <w:t xml:space="preserve">Hunt</w:t>
            </w:r>
          </w:p>
          <w:p>
            <w:pPr>
              <w:spacing w:before="0" w:after="0" w:line="299" w:lineRule="exact"/>
              <w:ind w:left="4680" w:firstLine="0"/>
              <w:jc w:val="left"/>
            </w:pPr>
            <w:r>
              <w:t xml:space="preserve">Assistant</w:t>
            </w:r>
            <w:r>
              <w:t xml:space="preserve"> </w:t>
            </w:r>
            <w:r>
              <w:t xml:space="preserve">Attorney</w:t>
            </w:r>
            <w:r>
              <w:t xml:space="preserve"> </w:t>
            </w:r>
            <w:r>
              <w:t xml:space="preserve">General,</w:t>
            </w:r>
            <w:r>
              <w:t xml:space="preserve"> </w:t>
            </w:r>
            <w:r>
              <w:t xml:space="preserve">OBA</w:t>
            </w:r>
            <w:r>
              <w:t xml:space="preserve"> </w:t>
            </w:r>
            <w:r>
              <w:t xml:space="preserve">#32635</w:t>
            </w:r>
          </w:p>
        </w:tc>
      </w:tr>
    </w:tbl>
    <w:p>
      <w:pPr>
        <w:pageBreakBefore/>
        <w:spacing w:before="0" w:after="0" w:line="1" w:lineRule="exact"/>
      </w:pPr>
    </w:p>
    <w:p>
      <w:pPr>
        <w:spacing w:before="0" w:after="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26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on</w:t>
      </w:r>
      <w:r>
        <w:t xml:space="preserve"> </w:t>
      </w:r>
      <w:r>
        <w:t xml:space="preserve">____</w:t>
      </w:r>
      <w:r>
        <w:t xml:space="preserve"> </w:t>
      </w:r>
      <w:r>
        <w:t xml:space="preserve">day</w:t>
      </w:r>
      <w:r>
        <w:t xml:space="preserve"> </w:t>
      </w:r>
      <w:r>
        <w:t xml:space="preserve">of</w:t>
      </w:r>
      <w:r>
        <w:t xml:space="preserve"> </w:t>
      </w:r>
      <w:r>
        <w:t xml:space="preserve">March,</w:t>
      </w:r>
      <w:r>
        <w:t xml:space="preserve"> </w:t>
      </w:r>
      <w:r>
        <w:t xml:space="preserve">2021,</w:t>
      </w:r>
      <w:r>
        <w:t xml:space="preserve"> </w:t>
      </w:r>
      <w:r>
        <w:t xml:space="preserve">I</w:t>
      </w:r>
      <w:r>
        <w:t xml:space="preserve"> </w:t>
      </w:r>
      <w:r>
        <w:t xml:space="preserve">served</w:t>
      </w:r>
      <w:r>
        <w:t xml:space="preserve"> </w:t>
      </w:r>
      <w:r>
        <w:t xml:space="preserve">a</w:t>
      </w:r>
      <w:r>
        <w:t xml:space="preserve"> </w:t>
      </w:r>
      <w:r>
        <w:t xml:space="preserve">copy</w:t>
      </w:r>
      <w:r>
        <w:t xml:space="preserve"> </w:t>
      </w:r>
      <w:r>
        <w:t xml:space="preserve">of</w:t>
      </w:r>
      <w:r>
        <w:t xml:space="preserve"> </w:t>
      </w:r>
      <w:r>
        <w:t xml:space="preserve">this</w:t>
      </w:r>
      <w:r>
        <w:t xml:space="preserve"> </w:t>
      </w:r>
      <w:r>
        <w:t xml:space="preserve">Petition</w:t>
      </w:r>
      <w:r>
        <w:t xml:space="preserve"> </w:t>
      </w:r>
      <w:r>
        <w:t xml:space="preserve">for</w:t>
      </w:r>
      <w:r>
        <w:t xml:space="preserve"> </w:t>
      </w:r>
      <w:r>
        <w:t xml:space="preserve">Rehearing</w:t>
      </w:r>
      <w:r>
        <w:t xml:space="preserve"> </w:t>
      </w:r>
      <w:r>
        <w:t xml:space="preserve">on</w:t>
      </w:r>
      <w:r>
        <w:t xml:space="preserve"> </w:t>
      </w:r>
      <w:r>
        <w:t xml:space="preserve">counsel</w:t>
      </w:r>
      <w:r>
        <w:t xml:space="preserve"> </w:t>
      </w:r>
      <w:r>
        <w:t xml:space="preserve">for</w:t>
      </w:r>
      <w:r>
        <w:t xml:space="preserve"> </w:t>
      </w:r>
      <w:r>
        <w:t xml:space="preserve">Petitioner</w:t>
      </w:r>
      <w:r>
        <w:t xml:space="preserve"> </w:t>
      </w:r>
      <w:r>
        <w:t xml:space="preserve">by</w:t>
      </w:r>
      <w:r>
        <w:t xml:space="preserve"> </w:t>
      </w:r>
      <w:r>
        <w:t xml:space="preserve">U.S.</w:t>
      </w:r>
      <w:r>
        <w:t xml:space="preserve"> </w:t>
      </w:r>
      <w:r>
        <w:t xml:space="preserve">Mail,</w:t>
      </w:r>
      <w:r>
        <w:t xml:space="preserve"> </w:t>
      </w:r>
      <w:r>
        <w:t xml:space="preserve">addressed</w:t>
      </w:r>
      <w:r>
        <w:t xml:space="preserve"> </w:t>
      </w:r>
      <w:r>
        <w:t xml:space="preserve">as</w:t>
      </w:r>
      <w:r>
        <w:t xml:space="preserve"> </w:t>
      </w:r>
      <w:r>
        <w:t xml:space="preserve">follows:</w:t>
      </w:r>
    </w:p>
    <w:p>
      <w:pPr>
        <w:spacing w:before="260" w:after="0" w:line="299" w:lineRule="exact"/>
        <w:ind w:left="1440" w:firstLine="0"/>
        <w:jc w:val="left"/>
      </w:pPr>
      <w:r>
        <w:t xml:space="preserve">Michael</w:t>
      </w:r>
      <w:r>
        <w:t xml:space="preserve"> </w:t>
      </w:r>
      <w:r>
        <w:t xml:space="preserve">W.</w:t>
      </w:r>
      <w:r>
        <w:t xml:space="preserve"> </w:t>
      </w:r>
      <w:r>
        <w:t xml:space="preserve">Lieberman</w:t>
      </w:r>
    </w:p>
    <w:p>
      <w:pPr>
        <w:spacing w:before="0" w:after="0" w:line="299" w:lineRule="exact"/>
        <w:ind w:left="1440" w:firstLine="0"/>
        <w:jc w:val="left"/>
      </w:pPr>
      <w:r>
        <w:t xml:space="preserve">Sarah</w:t>
      </w:r>
      <w:r>
        <w:t xml:space="preserve"> </w:t>
      </w:r>
      <w:r>
        <w:t xml:space="preserve">M.</w:t>
      </w:r>
      <w:r>
        <w:t xml:space="preserve"> </w:t>
      </w:r>
      <w:r>
        <w:t xml:space="preserve">Jernigan</w:t>
      </w:r>
    </w:p>
    <w:p>
      <w:pPr>
        <w:spacing w:before="0" w:after="0" w:line="299" w:lineRule="exact"/>
        <w:ind w:left="1440" w:firstLine="0"/>
        <w:jc w:val="left"/>
      </w:pPr>
      <w:r>
        <w:t xml:space="preserve">215</w:t>
      </w:r>
      <w:r>
        <w:t xml:space="preserve"> </w:t>
      </w:r>
      <w:r>
        <w:t xml:space="preserve">Dean</w:t>
      </w:r>
      <w:r>
        <w:t xml:space="preserve"> </w:t>
      </w:r>
      <w:r>
        <w:t xml:space="preserve">A.</w:t>
      </w:r>
      <w:r>
        <w:t xml:space="preserve"> </w:t>
      </w:r>
      <w:r>
        <w:t xml:space="preserve">McGee,</w:t>
      </w:r>
      <w:r>
        <w:t xml:space="preserve"> </w:t>
      </w:r>
      <w:r>
        <w:t xml:space="preserve">Suite</w:t>
      </w:r>
      <w:r>
        <w:t xml:space="preserve"> </w:t>
      </w:r>
      <w:r>
        <w:t xml:space="preserve">707</w:t>
      </w:r>
    </w:p>
    <w:p>
      <w:pPr>
        <w:spacing w:before="0" w:after="0" w:line="299" w:lineRule="exact"/>
        <w:ind w:left="1440" w:firstLine="0"/>
        <w:jc w:val="left"/>
      </w:pPr>
      <w:r>
        <w:t xml:space="preserve">Oklahoma</w:t>
      </w:r>
      <w:r>
        <w:t xml:space="preserve"> </w:t>
      </w:r>
      <w:r>
        <w:t xml:space="preserve">City,</w:t>
      </w:r>
      <w:r>
        <w:t xml:space="preserve"> </w:t>
      </w:r>
      <w:r>
        <w:t xml:space="preserve">OK</w:t>
      </w:r>
      <w:r>
        <w:t xml:space="preserve"> </w:t>
      </w:r>
      <w:r>
        <w:t xml:space="preserve">73102</w:t>
      </w:r>
    </w:p>
    <w:p>
      <w:pPr>
        <w:spacing w:before="0" w:after="0" w:line="41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80" w:firstLine="0"/>
              <w:jc w:val="left"/>
            </w:pPr>
            <w:r>
              <w:rPr>
                <w:u w:val="single"/>
              </w:rPr>
              <w:t xml:space="preserve">/s/</w:t>
            </w:r>
            <w:r>
              <w:rPr>
                <w:u w:val="single"/>
              </w:rPr>
              <w:t xml:space="preserve"> </w:t>
            </w:r>
            <w:r>
              <w:rPr>
                <w:u w:val="single"/>
              </w:rPr>
              <w:t xml:space="preserve">Caroline</w:t>
            </w:r>
            <w:r>
              <w:rPr>
                <w:u w:val="single"/>
              </w:rPr>
              <w:t xml:space="preserve"> </w:t>
            </w:r>
            <w:r>
              <w:rPr>
                <w:u w:val="single"/>
              </w:rPr>
              <w:t xml:space="preserve">E.J.</w:t>
            </w:r>
            <w:r>
              <w:rPr>
                <w:u w:val="single"/>
              </w:rPr>
              <w:t xml:space="preserve"> </w:t>
            </w:r>
            <w:r>
              <w:rPr>
                <w:u w:val="single"/>
              </w:rPr>
              <w:t xml:space="preserve">Hunt</w:t>
            </w:r>
          </w:p>
          <w:p>
            <w:pPr>
              <w:spacing w:before="0" w:after="0" w:line="299" w:lineRule="exact"/>
              <w:ind w:left="4680" w:firstLine="0"/>
              <w:jc w:val="left"/>
            </w:pPr>
            <w:r>
              <w:t xml:space="preserve">Caroline</w:t>
            </w:r>
            <w:r>
              <w:t xml:space="preserve"> </w:t>
            </w:r>
            <w:r>
              <w:t xml:space="preserve">E.J.</w:t>
            </w:r>
            <w:r>
              <w:t xml:space="preserve"> </w:t>
            </w:r>
            <w:r>
              <w:t xml:space="preserve">Hunt</w:t>
            </w:r>
          </w:p>
          <w:p>
            <w:pPr>
              <w:spacing w:before="0" w:after="0" w:line="299" w:lineRule="exact"/>
              <w:ind w:left="4680" w:firstLine="0"/>
              <w:jc w:val="left"/>
            </w:pPr>
            <w:r>
              <w:t xml:space="preserve">Assistant</w:t>
            </w:r>
            <w:r>
              <w:t xml:space="preserve"> </w:t>
            </w:r>
            <w:r>
              <w:t xml:space="preserve">Attorney</w:t>
            </w:r>
            <w:r>
              <w:t xml:space="preserve"> </w:t>
            </w:r>
            <w:r>
              <w:t xml:space="preserve">General,</w:t>
            </w:r>
            <w:r>
              <w:t xml:space="preserve"> </w:t>
            </w:r>
            <w:r>
              <w:t xml:space="preserve">OBA</w:t>
            </w:r>
            <w:r>
              <w:t xml:space="preserve"> </w:t>
            </w:r>
            <w:r>
              <w:t xml:space="preserve">#32635</w:t>
            </w:r>
          </w:p>
        </w:tc>
      </w:tr>
    </w:tbl>
    <w:sectPr>
      <w:footerReference w:type="default" r:id="rIdFooter1"/>
      <w:footerReference w:type="first" r:id="rIdFooterFirst"/>
      <w:pgSz w:w="12240" w:h="15840"/>
      <w:pgMar w:top="1440" w:right="1440" w:bottom="1440" w:left="144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