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88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PENNSYLVANIA</w:t>
      </w:r>
    </w:p>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4320"/>
      </w:tblGrid>
      <w:tr>
        <w:trPr>
          <w:cantSplit/>
        </w:trPr>
        <w:tc>
          <w:tcPr>
            <w:tcW w:w="5040" w:type="dxa"/>
          </w:tcPr>
          <w:p>
            <w:pPr>
              <w:spacing w:before="168" w:after="0" w:line="322" w:lineRule="exact"/>
              <w:ind w:left="0" w:firstLine="0"/>
              <w:jc w:val="left"/>
            </w:pPr>
            <w:r>
              <w:t xml:space="preserve">DAVID</w:t>
            </w:r>
            <w:r>
              <w:t xml:space="preserve"> </w:t>
            </w:r>
            <w:r>
              <w:t xml:space="preserve">BALL,</w:t>
            </w:r>
            <w:r>
              <w:t xml:space="preserve"> </w:t>
            </w:r>
            <w:r>
              <w:t xml:space="preserve">ET</w:t>
            </w:r>
            <w:r>
              <w:t xml:space="preserve"> </w:t>
            </w:r>
            <w:r>
              <w:t xml:space="preserve">AL.,</w:t>
            </w:r>
          </w:p>
          <w:p>
            <w:pPr>
              <w:spacing w:before="0" w:after="0" w:line="322" w:lineRule="exact"/>
              <w:ind w:left="2160" w:firstLine="0"/>
              <w:jc w:val="left"/>
            </w:pPr>
            <w:r>
              <w:rPr>
                <w:i/>
                <w:iCs/>
              </w:rPr>
              <w:t xml:space="preserve">Petitioners,</w:t>
            </w:r>
          </w:p>
          <w:p>
            <w:pPr>
              <w:spacing w:before="168" w:after="0" w:line="322" w:lineRule="exact"/>
              <w:ind w:left="0" w:firstLine="0"/>
              <w:jc w:val="left"/>
            </w:pPr>
            <w:r>
              <w:t xml:space="preserve">v.</w:t>
            </w:r>
          </w:p>
          <w:p>
            <w:pPr>
              <w:spacing w:before="168" w:after="0" w:line="322" w:lineRule="exact"/>
              <w:ind w:left="0" w:firstLine="0"/>
              <w:jc w:val="left"/>
            </w:pPr>
            <w:r>
              <w:t xml:space="preserve">LEIGH</w:t>
            </w:r>
            <w:r>
              <w:t xml:space="preserve"> </w:t>
            </w:r>
            <w:r>
              <w:t xml:space="preserve">M.</w:t>
            </w:r>
            <w:r>
              <w:t xml:space="preserve"> </w:t>
            </w:r>
            <w:r>
              <w:t xml:space="preserve">CHAPMAN,</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Acting</w:t>
            </w:r>
            <w:r>
              <w:t xml:space="preserve"> </w:t>
            </w:r>
            <w:r>
              <w:t xml:space="preserve">Secretary</w:t>
            </w:r>
            <w:r>
              <w:t xml:space="preserve"> </w:t>
            </w:r>
            <w:r>
              <w:t xml:space="preserve">of</w:t>
            </w:r>
            <w:r>
              <w:t xml:space="preserve"> </w:t>
            </w:r>
            <w:r>
              <w:t xml:space="preserve">the</w:t>
            </w:r>
            <w:r>
              <w:t xml:space="preserve"> </w:t>
            </w:r>
            <w:r>
              <w:t xml:space="preserve">Commonwealth,</w:t>
            </w:r>
            <w:r>
              <w:t xml:space="preserve"> </w:t>
            </w:r>
            <w:r>
              <w:t xml:space="preserve">ET</w:t>
            </w:r>
            <w:r>
              <w:t xml:space="preserve"> </w:t>
            </w:r>
            <w:r>
              <w:t xml:space="preserve">AL.,</w:t>
            </w:r>
          </w:p>
          <w:p>
            <w:pPr>
              <w:spacing w:before="0" w:after="0" w:line="322" w:lineRule="exact"/>
              <w:ind w:left="2160" w:firstLine="0"/>
              <w:jc w:val="left"/>
            </w:pPr>
            <w:r>
              <w:rPr>
                <w:i/>
                <w:iCs/>
              </w:rPr>
              <w:t xml:space="preserve">Respondents.</w:t>
            </w:r>
          </w:p>
        </w:tc>
        <w:tc>
          <w:tcPr>
            <w:tcW w:w="4320" w:type="dxa"/>
            <w:tcMar>
              <w:left w:w="576" w:type="dxa"/>
            </w:tcMar>
            <w:vAlign w:val="center"/>
          </w:tcPr>
          <w:p>
            <w:pPr>
              <w:spacing w:before="0" w:after="0" w:line="322" w:lineRule="exact"/>
              <w:ind w:left="0" w:firstLine="0"/>
              <w:jc w:val="left"/>
            </w:pPr>
            <w:r>
              <w:rPr>
                <w:b/>
                <w:bCs/>
              </w:rPr>
              <w:t xml:space="preserve">No.</w:t>
            </w:r>
            <w:r>
              <w:rPr>
                <w:b/>
                <w:bCs/>
              </w:rPr>
              <w:t xml:space="preserve"> </w:t>
            </w:r>
            <w:r>
              <w:rPr>
                <w:b/>
                <w:bCs/>
              </w:rPr>
              <w:t xml:space="preserve">102</w:t>
            </w:r>
            <w:r>
              <w:rPr>
                <w:b/>
                <w:bCs/>
              </w:rPr>
              <w:t xml:space="preserve"> </w:t>
            </w:r>
            <w:r>
              <w:rPr>
                <w:b/>
                <w:bCs/>
              </w:rPr>
              <w:t xml:space="preserve">MM</w:t>
            </w:r>
            <w:r>
              <w:rPr>
                <w:b/>
                <w:bCs/>
              </w:rPr>
              <w:t xml:space="preserve"> </w:t>
            </w:r>
            <w:r>
              <w:rPr>
                <w:b/>
                <w:bCs/>
              </w:rPr>
              <w:t xml:space="preserve">2022</w:t>
            </w:r>
          </w:p>
        </w:tc>
      </w:tr>
    </w:tbl>
    <w:p>
      <w:pPr>
        <w:spacing w:before="448" w:after="322" w:line="322" w:lineRule="exact"/>
        <w:ind w:left="720" w:right="720" w:firstLine="0"/>
        <w:jc w:val="center"/>
      </w:pPr>
      <w:r>
        <w:rPr>
          <w:b/>
          <w:bCs/>
        </w:rPr>
        <w:t xml:space="preserve">APPLICATION</w:t>
      </w:r>
      <w:r>
        <w:rPr>
          <w:b/>
          <w:bCs/>
        </w:rPr>
        <w:t xml:space="preserve"> </w:t>
      </w:r>
      <w:r>
        <w:rPr>
          <w:b/>
          <w:bCs/>
        </w:rPr>
        <w:t xml:space="preserve">FOR</w:t>
      </w:r>
      <w:r>
        <w:rPr>
          <w:b/>
          <w:bCs/>
        </w:rPr>
        <w:t xml:space="preserve"> </w:t>
      </w:r>
      <w:r>
        <w:rPr>
          <w:b/>
          <w:bCs/>
        </w:rPr>
        <w:t xml:space="preserve">RECONSIDERATION/​MOTION</w:t>
      </w:r>
      <w:r>
        <w:rPr>
          <w:b/>
          <w:bCs/>
        </w:rPr>
        <w:t xml:space="preserve"> </w:t>
      </w:r>
      <w:r>
        <w:rPr>
          <w:b/>
          <w:bCs/>
        </w:rPr>
        <w:t xml:space="preserve">TO</w:t>
      </w:r>
      <w:r>
        <w:rPr>
          <w:b/>
          <w:bCs/>
        </w:rPr>
        <w:t xml:space="preserve"> </w:t>
      </w:r>
      <w:r>
        <w:rPr>
          <w:b/>
          <w:bCs/>
        </w:rPr>
        <w:t xml:space="preserve">CLARIFY</w:t>
      </w:r>
      <w:r>
        <w:rPr>
          <w:b/>
          <w:bCs/>
        </w:rPr>
        <w:t xml:space="preserve"> </w:t>
      </w:r>
      <w:r>
        <w:rPr>
          <w:b/>
          <w:bCs/>
        </w:rPr>
        <w:t xml:space="preserve">SUPPLEMENTAL</w:t>
      </w:r>
      <w:r>
        <w:rPr>
          <w:b/>
          <w:bCs/>
        </w:rPr>
        <w:t xml:space="preserve"> </w:t>
      </w:r>
      <w:r>
        <w:rPr>
          <w:b/>
          <w:bCs/>
        </w:rPr>
        <w:t xml:space="preserve">ORDER</w:t>
      </w:r>
      <w:r>
        <w:rPr>
          <w:b/>
          <w:bCs/>
        </w:rPr>
        <w:t xml:space="preserve"> </w:t>
      </w:r>
      <w:r>
        <w:rPr>
          <w:b/>
          <w:bCs/>
        </w:rPr>
        <w:t xml:space="preserve">OF</w:t>
      </w:r>
      <w:r>
        <w:rPr>
          <w:b/>
          <w:bCs/>
        </w:rPr>
        <w:t xml:space="preserve"> </w:t>
      </w:r>
      <w:r>
        <w:rPr>
          <w:b/>
          <w:bCs/>
        </w:rPr>
        <w:t xml:space="preserve">NOVEMBER</w:t>
      </w:r>
      <w:r>
        <w:rPr>
          <w:b/>
          <w:bCs/>
        </w:rPr>
        <w:t xml:space="preserve"> </w:t>
      </w:r>
      <w:r>
        <w:rPr>
          <w:b/>
          <w:bCs/>
        </w:rPr>
        <w:t xml:space="preserve">5,</w:t>
      </w:r>
      <w:r>
        <w:rPr>
          <w:b/>
          <w:bCs/>
        </w:rPr>
        <w:t xml:space="preserve"> </w:t>
      </w:r>
      <w:r>
        <w:rPr>
          <w:b/>
          <w:bCs/>
        </w:rPr>
        <w:t xml:space="preserve">2022</w:t>
      </w:r>
    </w:p>
    <w:p>
      <w:pPr>
        <w:pStyle w:val="BodyText"/>
      </w:pPr>
      <w:r>
        <w:t xml:space="preserve">1. On November 5, 2022, this Honorable Court issued a Supplement Order with respect to the issue of segregating and not counting incorrectly dated outer envelopes.</w:t>
      </w:r>
    </w:p>
    <w:p>
      <w:pPr>
        <w:pStyle w:val="BodyText"/>
      </w:pPr>
      <w:r>
        <w:t xml:space="preserve">2. Specifically, the Order directed counties to treat the following as “incorrectly dated outer envelopes:” mail-in ballot outer envelopes with dates that fall outside the date range of September 19, 2022, through November 8, 2022; and (2) absentee ballot outer envelopes with dates that fall outside the date range of August 30, 2022, through November 8, 2022. See 25 P.S. §§ 3150.12a, 3150.15, 3146.2a(a), 3146.5(a)</w:t>
      </w:r>
    </w:p>
    <w:p>
      <w:pPr>
        <w:pStyle w:val="BodyText"/>
      </w:pPr>
      <w:r>
        <w:t xml:space="preserve">3. The date range provided by the Court is the range of dates as calculated by the various statutes cited at the end of the Order based upon Election Day following in November 2022 on November 8, 2022, without regard to actual receipt/​mailing date of the ballot by the voter as shown in SURE or the actual return of the ballot by the voter as stamped on the outer envelope and registered in SURE.</w:t>
      </w:r>
    </w:p>
    <w:p>
      <w:pPr>
        <w:pStyle w:val="BodyText"/>
      </w:pPr>
      <w:r>
        <w:t xml:space="preserve">4. With all due respect to this Honorable Court, the Supplemental Order actually raises more questions than it answered and makes it confusing to the various Boards of Elections.</w:t>
      </w:r>
    </w:p>
    <w:p>
      <w:pPr>
        <w:pStyle w:val="BodyText"/>
      </w:pPr>
      <w:r>
        <w:t xml:space="preserve">5. For instance, in Blair County, mail-in ballots and/​or absentee ballots were not available for pick-up at the Election Office until October 12, 2022, and were not mailed until October 14, 2022.</w:t>
      </w:r>
    </w:p>
    <w:p>
      <w:pPr>
        <w:pStyle w:val="BodyText"/>
      </w:pPr>
      <w:r>
        <w:t xml:space="preserve">6. One interpretation of the Court’s Order might be that since October 12, 2022, is within the date ranges provided, a voter who returns a ballot dated September 19, 2022, should NOT be segregated and SHOULD be counted despite the fact that the voter could not have received the ballot until October 12, 2022, at the very earliest, if not later.</w:t>
      </w:r>
    </w:p>
    <w:p>
      <w:pPr>
        <w:pStyle w:val="BodyText"/>
      </w:pPr>
      <w:r>
        <w:t xml:space="preserve">7. Confusingly, a similar voter who dates their outer envelope September 18, 2022, would require the Board of Elections to segregate their outer envelope and not count their ballot even though this similar voter would not have had possession of their ballot until October 12, 2022, at the very earliest, if not later.</w:t>
      </w:r>
    </w:p>
    <w:p>
      <w:pPr>
        <w:pStyle w:val="BodyText"/>
      </w:pPr>
      <w:r>
        <w:t xml:space="preserve">8. Blair County Board of Elections respectfully submits that the first date in the date range for determining an incorrect date should be a date that is after either August 30, 2022, with respect to absentee ballot outer envelopes or September 19, 2022, with respect to mail-in ballot outer envelopes AND is the date or date thereafter that the voter is shown in SURE as having received the ballot, if picked up at the Election Office, or the ballot was mailed to the voter by the county.</w:t>
      </w:r>
    </w:p>
    <w:p>
      <w:pPr>
        <w:pStyle w:val="BodyText"/>
      </w:pPr>
      <w:r>
        <w:t xml:space="preserve">9. The Blair County Board of Elections is seeking clarification that it is not required to segregate an outer envelope and is required to a count a ballot that is within the date range set forth in the Supplemental Order even though the voter did not actually have the ballot issued to the voter yet as long as the date set forth by the voter is after August 30, 2022, in the case of an absentee ballot, and September 19, 2022, in the case of a mail-in ballot.</w:t>
      </w:r>
    </w:p>
    <w:p>
      <w:pPr>
        <w:pStyle w:val="BodyText"/>
      </w:pPr>
      <w:r>
        <w:t xml:space="preserve">10. A similar question exists with respect to the last date in the acceptable range regarding what is an incorrectly dated envelope and whether the Board of Elections should or should not segregate a post-dated outer envelope that is not post-dated beyond the actual late of receipt, but was received prior to November 8, 2022 (i.e., voter returns outer envelope on October 31, 2022, bearing a date of November 7, 2022, and another voter returns an outer envelope on October 31, 2022, bearing a date of November 9, 2022, which in both cases are not the date of return).</w:t>
      </w:r>
    </w:p>
    <w:p>
      <w:pPr>
        <w:pStyle w:val="BodyText"/>
      </w:pPr>
      <w:r>
        <w:t xml:space="preserve">WHERESFORE, the Blair County Board of Elections respectfully requests that this Honorable Court reconsider and/​or clarify its Supplemental Order of November 5, 2022 as early as possible before canvassing begins at 7 am on November 8, 2022.</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Date:</w:t>
            </w:r>
            <w:r>
              <w:t xml:space="preserve"> </w:t>
            </w:r>
            <w:r>
              <w:t xml:space="preserve">November</w:t>
            </w:r>
            <w:r>
              <w:t xml:space="preserve"> </w:t>
            </w:r>
            <w:r>
              <w:t xml:space="preserve">6,</w:t>
            </w:r>
            <w:r>
              <w:t xml:space="preserve"> </w:t>
            </w:r>
            <w:r>
              <w:t xml:space="preserve">2022</w:t>
            </w:r>
          </w:p>
          <w:p>
            <w:pPr>
              <w:spacing w:before="168" w:after="0" w:line="322" w:lineRule="exact"/>
              <w:ind w:left="0" w:firstLine="0"/>
              <w:jc w:val="left"/>
            </w:pPr>
            <w:r>
              <w:t xml:space="preserve">Respectfully</w:t>
            </w:r>
            <w:r>
              <w:t xml:space="preserve"> </w:t>
            </w:r>
            <w:r>
              <w:t xml:space="preserve">submitted,</w:t>
            </w:r>
          </w:p>
          <w:p>
            <w:pPr>
              <w:spacing w:before="112" w:after="0" w:line="322" w:lineRule="exact"/>
              <w:ind w:left="4680" w:firstLine="0"/>
              <w:jc w:val="left"/>
            </w:pPr>
            <w:r>
              <w:t xml:space="preserve">COUNTY</w:t>
            </w:r>
            <w:r>
              <w:t xml:space="preserve"> </w:t>
            </w:r>
            <w:r>
              <w:t xml:space="preserve">OF</w:t>
            </w:r>
            <w:r>
              <w:t xml:space="preserve"> </w:t>
            </w:r>
            <w:r>
              <w:t xml:space="preserve">BLAIR</w:t>
            </w:r>
          </w:p>
          <w:p>
            <w:pPr>
              <w:spacing w:before="322" w:after="0" w:line="322" w:lineRule="exact"/>
              <w:ind w:left="4680" w:firstLine="0"/>
              <w:jc w:val="left"/>
            </w:pPr>
            <w:r>
              <w:rPr>
                <w:u w:val="single"/>
              </w:rPr>
              <w:t xml:space="preserve">/s/</w:t>
            </w:r>
            <w:r>
              <w:rPr>
                <w:u w:val="single"/>
              </w:rPr>
              <w:t xml:space="preserve"> </w:t>
            </w:r>
            <w:r>
              <w:rPr>
                <w:u w:val="single"/>
              </w:rPr>
              <w:t xml:space="preserve">Nathan</w:t>
            </w:r>
            <w:r>
              <w:rPr>
                <w:u w:val="single"/>
              </w:rPr>
              <w:t xml:space="preserve"> </w:t>
            </w:r>
            <w:r>
              <w:rPr>
                <w:u w:val="single"/>
              </w:rPr>
              <w:t xml:space="preserve">W.</w:t>
            </w:r>
            <w:r>
              <w:rPr>
                <w:u w:val="single"/>
              </w:rPr>
              <w:t xml:space="preserve"> </w:t>
            </w:r>
            <w:r>
              <w:rPr>
                <w:u w:val="single"/>
              </w:rPr>
              <w:t xml:space="preserve">Karn</w:t>
            </w:r>
          </w:p>
          <w:p>
            <w:pPr>
              <w:spacing w:before="0" w:after="0" w:line="322" w:lineRule="exact"/>
              <w:ind w:left="4680" w:firstLine="0"/>
              <w:jc w:val="left"/>
            </w:pPr>
            <w:r>
              <w:t xml:space="preserve">Nathan</w:t>
            </w:r>
            <w:r>
              <w:t xml:space="preserve"> </w:t>
            </w:r>
            <w:r>
              <w:t xml:space="preserve">W.</w:t>
            </w:r>
            <w:r>
              <w:t xml:space="preserve"> </w:t>
            </w:r>
            <w:r>
              <w:t xml:space="preserve">Karn</w:t>
            </w:r>
          </w:p>
          <w:p>
            <w:pPr>
              <w:spacing w:before="0" w:after="0" w:line="322" w:lineRule="exact"/>
              <w:ind w:left="4680" w:firstLine="0"/>
              <w:jc w:val="left"/>
            </w:pPr>
            <w:r>
              <w:t xml:space="preserve">PA</w:t>
            </w:r>
            <w:r>
              <w:t xml:space="preserve"> </w:t>
            </w:r>
            <w:r>
              <w:t xml:space="preserve">I.D.</w:t>
            </w:r>
            <w:r>
              <w:t xml:space="preserve"> </w:t>
            </w:r>
            <w:r>
              <w:t xml:space="preserve">No.</w:t>
            </w:r>
            <w:r>
              <w:t xml:space="preserve"> </w:t>
            </w:r>
            <w:r>
              <w:t xml:space="preserve">86068</w:t>
            </w:r>
          </w:p>
          <w:p>
            <w:pPr>
              <w:spacing w:before="0" w:after="0" w:line="322" w:lineRule="exact"/>
              <w:ind w:left="4680" w:firstLine="0"/>
              <w:jc w:val="left"/>
            </w:pPr>
            <w:r>
              <w:t xml:space="preserve">PACFILE:</w:t>
            </w:r>
            <w:r>
              <w:t xml:space="preserve"> </w:t>
            </w:r>
            <w:r>
              <w:t xml:space="preserve">nkarn@eveyblack.com</w:t>
            </w:r>
          </w:p>
          <w:p>
            <w:pPr>
              <w:spacing w:before="0" w:after="0" w:line="322" w:lineRule="exact"/>
              <w:ind w:left="4680" w:firstLine="0"/>
              <w:jc w:val="left"/>
            </w:pPr>
            <w:r>
              <w:t xml:space="preserve">COMMUNICATION:</w:t>
            </w:r>
            <w:r>
              <w:t xml:space="preserve"> </w:t>
            </w:r>
            <w:r>
              <w:t xml:space="preserve">nkarn@blairco.org</w:t>
            </w:r>
          </w:p>
          <w:p>
            <w:pPr>
              <w:spacing w:before="0" w:after="0" w:line="322" w:lineRule="exact"/>
              <w:ind w:left="4680" w:firstLine="0"/>
              <w:jc w:val="left"/>
            </w:pPr>
            <w:r>
              <w:t xml:space="preserve">401</w:t>
            </w:r>
            <w:r>
              <w:t xml:space="preserve"> </w:t>
            </w:r>
            <w:r>
              <w:t xml:space="preserve">Allegheny</w:t>
            </w:r>
            <w:r>
              <w:t xml:space="preserve"> </w:t>
            </w:r>
            <w:r>
              <w:t xml:space="preserve">Street</w:t>
            </w:r>
          </w:p>
          <w:p>
            <w:pPr>
              <w:spacing w:before="0" w:after="0" w:line="322" w:lineRule="exact"/>
              <w:ind w:left="4680" w:firstLine="0"/>
              <w:jc w:val="left"/>
            </w:pPr>
            <w:r>
              <w:t xml:space="preserve">PO</w:t>
            </w:r>
            <w:r>
              <w:t xml:space="preserve"> </w:t>
            </w:r>
            <w:r>
              <w:t xml:space="preserve">Box</w:t>
            </w:r>
            <w:r>
              <w:t xml:space="preserve"> </w:t>
            </w:r>
            <w:r>
              <w:t xml:space="preserve">415</w:t>
            </w:r>
          </w:p>
          <w:p>
            <w:pPr>
              <w:spacing w:before="0" w:after="0" w:line="322" w:lineRule="exact"/>
              <w:ind w:left="4680" w:firstLine="0"/>
              <w:jc w:val="left"/>
            </w:pPr>
            <w:r>
              <w:t xml:space="preserve">Hollidaysburg,</w:t>
            </w:r>
            <w:r>
              <w:t xml:space="preserve"> </w:t>
            </w:r>
            <w:r>
              <w:t xml:space="preserve">PA</w:t>
            </w:r>
            <w:r>
              <w:t xml:space="preserve"> </w:t>
            </w:r>
            <w:r>
              <w:t xml:space="preserve">16648</w:t>
            </w:r>
          </w:p>
          <w:p>
            <w:pPr>
              <w:spacing w:before="0" w:after="0" w:line="322" w:lineRule="exact"/>
              <w:ind w:left="4680" w:firstLine="0"/>
              <w:jc w:val="left"/>
            </w:pPr>
            <w:r>
              <w:t xml:space="preserve">814</w:t>
              <w:noBreakHyphen/>
              <w:t xml:space="preserve">695</w:t>
              <w:noBreakHyphen/>
              <w:t xml:space="preserve">7581</w:t>
            </w:r>
          </w:p>
          <w:p>
            <w:pPr>
              <w:spacing w:before="0" w:after="0" w:line="322" w:lineRule="exact"/>
              <w:ind w:left="4680" w:firstLine="0"/>
              <w:jc w:val="left"/>
            </w:pPr>
            <w:r>
              <w:t xml:space="preserve">Counsel</w:t>
            </w:r>
            <w:r>
              <w:t xml:space="preserve"> </w:t>
            </w:r>
            <w:r>
              <w:t xml:space="preserve">for</w:t>
            </w:r>
            <w:r>
              <w:t xml:space="preserve"> </w:t>
            </w:r>
            <w:r>
              <w:t xml:space="preserve">Defendant,</w:t>
            </w:r>
            <w:r>
              <w:t xml:space="preserve"> </w:t>
            </w:r>
            <w:r>
              <w:t xml:space="preserve">Blair</w:t>
            </w:r>
            <w:r>
              <w:t xml:space="preserve"> </w:t>
            </w:r>
            <w:r>
              <w:t xml:space="preserve">County</w:t>
            </w:r>
            <w:r>
              <w:t xml:space="preserve"> </w:t>
            </w:r>
            <w:r>
              <w:t xml:space="preserve">Board</w:t>
            </w:r>
            <w:r>
              <w:t xml:space="preserve"> </w:t>
            </w:r>
            <w:r>
              <w:t xml:space="preserve">of</w:t>
            </w:r>
            <w:r>
              <w:t xml:space="preserve"> </w:t>
            </w:r>
            <w:r>
              <w:t xml:space="preserve">Elections</w:t>
            </w:r>
          </w:p>
        </w:tc>
      </w:tr>
    </w:tbl>
    <w:p>
      <w:pPr>
        <w:pageBreakBefore/>
        <w:spacing w:before="0" w:after="0" w:line="1" w:lineRule="exact"/>
      </w:pPr>
    </w:p>
    <w:p>
      <w:pPr>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application</w:t>
      </w:r>
      <w:r>
        <w:t xml:space="preserve"> </w:t>
      </w:r>
      <w:r>
        <w:t xml:space="preserve">complies</w:t>
      </w:r>
      <w:r>
        <w:t xml:space="preserve"> </w:t>
      </w:r>
      <w:r>
        <w:t xml:space="preserve">with</w:t>
      </w:r>
      <w:r>
        <w:t xml:space="preserve"> </w:t>
      </w:r>
      <w:r>
        <w:t xml:space="preserve">the</w:t>
      </w:r>
      <w:r>
        <w:t xml:space="preserve"> </w:t>
      </w:r>
      <w:r>
        <w:t xml:space="preserve">word-count</w:t>
      </w:r>
      <w:r>
        <w:t xml:space="preserve"> </w:t>
      </w:r>
      <w:r>
        <w:t xml:space="preserve">limit</w:t>
      </w:r>
      <w:r>
        <w:t xml:space="preserve"> </w:t>
      </w:r>
      <w:r>
        <w:t xml:space="preserve">of</w:t>
      </w:r>
      <w:r>
        <w:t xml:space="preserve"> </w:t>
      </w:r>
      <w:r>
        <w:t xml:space="preserve">Pa.R.A.P.</w:t>
      </w:r>
      <w:r>
        <w:t xml:space="preserve"> </w:t>
      </w:r>
      <w:r>
        <w:t xml:space="preserve">2544(c)</w:t>
      </w:r>
      <w:r>
        <w:t xml:space="preserve"> </w:t>
      </w:r>
      <w:r>
        <w:t xml:space="preserve">and</w:t>
      </w:r>
      <w:r>
        <w:t xml:space="preserve"> </w:t>
      </w:r>
      <w:r>
        <w:t xml:space="preserve">that,</w:t>
      </w:r>
      <w:r>
        <w:t xml:space="preserve"> </w:t>
      </w:r>
      <w:r>
        <w:t xml:space="preserve">excluding</w:t>
      </w:r>
      <w:r>
        <w:t xml:space="preserve"> </w:t>
      </w:r>
      <w:r>
        <w:t xml:space="preserve">the</w:t>
      </w:r>
      <w:r>
        <w:t xml:space="preserve"> </w:t>
      </w:r>
      <w:r>
        <w:t xml:space="preserve">cover,</w:t>
      </w:r>
      <w:r>
        <w:t xml:space="preserve"> </w:t>
      </w:r>
      <w:r>
        <w:t xml:space="preserve">tables,</w:t>
      </w:r>
      <w:r>
        <w:t xml:space="preserve"> </w:t>
      </w:r>
      <w:r>
        <w:t xml:space="preserve">proof</w:t>
      </w:r>
      <w:r>
        <w:t xml:space="preserve"> </w:t>
      </w:r>
      <w:r>
        <w:t xml:space="preserve">of</w:t>
      </w:r>
      <w:r>
        <w:t xml:space="preserve"> </w:t>
      </w:r>
      <w:r>
        <w:t xml:space="preserve">service</w:t>
      </w:r>
      <w:r>
        <w:t xml:space="preserve"> </w:t>
      </w:r>
      <w:r>
        <w:t xml:space="preserve">and</w:t>
      </w:r>
      <w:r>
        <w:t xml:space="preserve"> </w:t>
      </w:r>
      <w:r>
        <w:t xml:space="preserve">signature</w:t>
      </w:r>
      <w:r>
        <w:t xml:space="preserve"> </w:t>
      </w:r>
      <w:r>
        <w:t xml:space="preserve">block,</w:t>
      </w:r>
      <w:r>
        <w:t xml:space="preserve"> </w:t>
      </w:r>
      <w:r>
        <w:t xml:space="preserve">it</w:t>
      </w:r>
      <w:r>
        <w:t xml:space="preserve"> </w:t>
      </w:r>
      <w:r>
        <w:t xml:space="preserve">contains</w:t>
      </w:r>
      <w:r>
        <w:t xml:space="preserve"> </w:t>
      </w:r>
      <w:r>
        <w:t xml:space="preserve">650</w:t>
      </w:r>
      <w:r>
        <w:t xml:space="preserve"> </w:t>
      </w:r>
      <w:r>
        <w:t xml:space="preserve">words.</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filing</w:t>
      </w:r>
      <w:r>
        <w:t xml:space="preserve"> </w:t>
      </w:r>
      <w:r>
        <w:t xml:space="preserve">complies</w:t>
      </w:r>
      <w:r>
        <w:t xml:space="preserve"> </w:t>
      </w:r>
      <w:r>
        <w:t xml:space="preserve">with</w:t>
      </w:r>
      <w:r>
        <w:t xml:space="preserve"> </w:t>
      </w:r>
      <w:r>
        <w:t xml:space="preserve">the</w:t>
      </w:r>
      <w:r>
        <w:t xml:space="preserve"> </w:t>
      </w:r>
      <w:r>
        <w:t xml:space="preserve">provisions</w:t>
      </w:r>
      <w:r>
        <w:t xml:space="preserve"> </w:t>
      </w:r>
      <w:r>
        <w:t xml:space="preserve">of</w:t>
      </w:r>
      <w:r>
        <w:t xml:space="preserve"> </w:t>
      </w:r>
      <w:r>
        <w:t xml:space="preserve">the</w:t>
      </w:r>
      <w:r>
        <w:t xml:space="preserve"> </w:t>
      </w:r>
      <w:r>
        <w:t xml:space="preserve">Case</w:t>
      </w:r>
      <w:r>
        <w:t xml:space="preserve"> </w:t>
      </w:r>
      <w:r>
        <w:t xml:space="preserve">Records</w:t>
      </w:r>
      <w:r>
        <w:t xml:space="preserve"> </w:t>
      </w:r>
      <w:r>
        <w:t xml:space="preserve">Public</w:t>
      </w:r>
      <w:r>
        <w:t xml:space="preserve"> </w:t>
      </w:r>
      <w:r>
        <w:t xml:space="preserve">Access</w:t>
      </w:r>
      <w:r>
        <w:t xml:space="preserve"> </w:t>
      </w:r>
      <w:r>
        <w:t xml:space="preserve">Policy</w:t>
      </w:r>
      <w:r>
        <w:t xml:space="preserve"> </w:t>
      </w:r>
      <w:r>
        <w:t xml:space="preserve">of</w:t>
      </w:r>
      <w:r>
        <w:t xml:space="preserve"> </w:t>
      </w:r>
      <w:r>
        <w:t xml:space="preserve">the</w:t>
      </w:r>
      <w:r>
        <w:t xml:space="preserve"> </w:t>
      </w:r>
      <w:r>
        <w:t xml:space="preserve">Unified</w:t>
      </w:r>
      <w:r>
        <w:t xml:space="preserve"> </w:t>
      </w:r>
      <w:r>
        <w:t xml:space="preserve">Judicial</w:t>
      </w:r>
      <w:r>
        <w:t xml:space="preserve"> </w:t>
      </w:r>
      <w:r>
        <w:t xml:space="preserve">System</w:t>
      </w:r>
      <w:r>
        <w:t xml:space="preserve"> </w:t>
      </w:r>
      <w:r>
        <w:t xml:space="preserve">of</w:t>
      </w:r>
      <w:r>
        <w:t xml:space="preserve"> </w:t>
      </w:r>
      <w:r>
        <w:t xml:space="preserve">Pennsylvania</w:t>
      </w:r>
      <w:r>
        <w:t xml:space="preserve"> </w:t>
      </w:r>
      <w:r>
        <w:t xml:space="preserve">that</w:t>
      </w:r>
      <w:r>
        <w:t xml:space="preserve"> </w:t>
      </w:r>
      <w:r>
        <w:t xml:space="preserve">require</w:t>
      </w:r>
      <w:r>
        <w:t xml:space="preserve"> </w:t>
      </w:r>
      <w:r>
        <w:t xml:space="preserve">filing</w:t>
      </w:r>
      <w:r>
        <w:t xml:space="preserve"> </w:t>
      </w:r>
      <w:r>
        <w:t xml:space="preserve">confidential</w:t>
      </w:r>
      <w:r>
        <w:t xml:space="preserve"> </w:t>
      </w:r>
      <w:r>
        <w:t xml:space="preserve">information</w:t>
      </w:r>
      <w:r>
        <w:t xml:space="preserve"> </w:t>
      </w:r>
      <w:r>
        <w:t xml:space="preserve">and</w:t>
      </w:r>
      <w:r>
        <w:t xml:space="preserve"> </w:t>
      </w:r>
      <w:r>
        <w:t xml:space="preserve">documents</w:t>
      </w:r>
      <w:r>
        <w:t xml:space="preserve"> </w:t>
      </w:r>
      <w:r>
        <w:t xml:space="preserve">differently</w:t>
      </w:r>
      <w:r>
        <w:t xml:space="preserve"> </w:t>
      </w:r>
      <w:r>
        <w:t xml:space="preserve">than</w:t>
      </w:r>
      <w:r>
        <w:t xml:space="preserve"> </w:t>
      </w:r>
      <w:r>
        <w:t xml:space="preserve">non-confidential</w:t>
      </w:r>
      <w:r>
        <w:t xml:space="preserve"> </w:t>
      </w:r>
      <w:r>
        <w:t xml:space="preserve">information</w:t>
      </w:r>
      <w:r>
        <w:t xml:space="preserve"> </w:t>
      </w:r>
      <w:r>
        <w:t xml:space="preserve">and</w:t>
      </w:r>
      <w:r>
        <w:t xml:space="preserve"> </w:t>
      </w:r>
      <w:r>
        <w:t xml:space="preserve">documents.</w:t>
      </w:r>
    </w:p>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80" w:firstLine="0"/>
              <w:jc w:val="left"/>
            </w:pPr>
            <w:r>
              <w:rPr>
                <w:u w:val="single"/>
              </w:rPr>
              <w:t xml:space="preserve">/s/</w:t>
            </w:r>
            <w:r>
              <w:rPr>
                <w:u w:val="single"/>
              </w:rPr>
              <w:t xml:space="preserve"> </w:t>
            </w:r>
            <w:r>
              <w:rPr>
                <w:u w:val="single"/>
              </w:rPr>
              <w:t xml:space="preserve">Nathan</w:t>
            </w:r>
            <w:r>
              <w:rPr>
                <w:u w:val="single"/>
              </w:rPr>
              <w:t xml:space="preserve"> </w:t>
            </w:r>
            <w:r>
              <w:rPr>
                <w:u w:val="single"/>
              </w:rPr>
              <w:t xml:space="preserve">W.</w:t>
            </w:r>
            <w:r>
              <w:rPr>
                <w:u w:val="single"/>
              </w:rPr>
              <w:t xml:space="preserve"> </w:t>
            </w:r>
            <w:r>
              <w:rPr>
                <w:u w:val="single"/>
              </w:rPr>
              <w:t xml:space="preserve">Karn</w:t>
            </w:r>
          </w:p>
          <w:p>
            <w:pPr>
              <w:spacing w:before="0" w:after="0" w:line="322" w:lineRule="exact"/>
              <w:ind w:left="4680" w:firstLine="0"/>
              <w:jc w:val="left"/>
            </w:pPr>
            <w:r>
              <w:t xml:space="preserve">Nathan</w:t>
            </w:r>
            <w:r>
              <w:t xml:space="preserve"> </w:t>
            </w:r>
            <w:r>
              <w:t xml:space="preserve">W.</w:t>
            </w:r>
            <w:r>
              <w:t xml:space="preserve"> </w:t>
            </w:r>
            <w:r>
              <w:t xml:space="preserve">Karn</w:t>
            </w:r>
          </w:p>
        </w:tc>
      </w:tr>
    </w:tbl>
    <w:sectPr>
      <w:footerReference w:type="default" r:id="rIdFooter1"/>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