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50" w:lineRule="exact"/>
        <w:ind w:left="0" w:firstLine="0"/>
      </w:pPr>
      <w:r>
        <w:rPr>
          <w:b/>
          <w:bCs/>
        </w:rPr>
        <w:t xml:space="preserve">ORAL</w:t>
      </w:r>
      <w:r>
        <w:rPr>
          <w:b/>
          <w:bCs/>
        </w:rPr>
        <w:t xml:space="preserve"> </w:t>
      </w:r>
      <w:r>
        <w:rPr>
          <w:b/>
          <w:bCs/>
        </w:rPr>
        <w:t xml:space="preserve">ARGUMENT</w:t>
      </w:r>
      <w:r>
        <w:rPr>
          <w:b/>
          <w:bCs/>
        </w:rPr>
        <w:t xml:space="preserve"> </w:t>
      </w:r>
      <w:r>
        <w:rPr>
          <w:b/>
          <w:bCs/>
        </w:rPr>
        <w:t xml:space="preserve">NOT</w:t>
      </w:r>
      <w:r>
        <w:rPr>
          <w:b/>
          <w:bCs/>
        </w:rPr>
        <w:t xml:space="preserve"> </w:t>
      </w:r>
      <w:r>
        <w:rPr>
          <w:b/>
          <w:bCs/>
        </w:rPr>
        <w:t xml:space="preserve">YET</w:t>
      </w:r>
      <w:r>
        <w:rPr>
          <w:b/>
          <w:bCs/>
        </w:rPr>
        <w:t xml:space="preserve"> </w:t>
      </w:r>
      <w:r>
        <w:rPr>
          <w:b/>
          <w:bCs/>
        </w:rPr>
        <w:t xml:space="preserve">SCHEDULED</w:t>
      </w:r>
    </w:p>
    <w:p>
      <w:pPr>
        <w:keepNext/>
        <w:keepLines/>
        <w:spacing w:before="198" w:after="0" w:line="350" w:lineRule="exact"/>
        <w:ind w:left="0" w:firstLine="0"/>
        <w:jc w:val="center"/>
      </w:pPr>
      <w:r>
        <w:rPr>
          <w:b/>
          <w:bCs/>
        </w:rPr>
        <w:t xml:space="preserve">No. </w:t>
      </w:r>
      <w:r>
        <w:rPr>
          <w:b/>
          <w:bCs/>
        </w:rPr>
        <w:t xml:space="preserve">25</w:t>
        <w:noBreakHyphen/>
        <w:t xml:space="preserve">3041</w:t>
      </w:r>
    </w:p>
    <w:p>
      <w:pPr>
        <w:keepNext/>
        <w:keepLines/>
        <w:pBdr>
          <w:bottom w:val="thickThinSmallGap" w:sz="12" w:space="1" w:color="000000"/>
        </w:pBdr>
        <w:spacing w:before="206" w:after="0" w:line="120" w:lineRule="exact"/>
        <w:ind w:left="0" w:right="0"/>
      </w:pPr>
    </w:p>
    <w:p>
      <w:pPr>
        <w:keepNext/>
        <w:keepLines/>
        <w:spacing w:before="354" w:after="0" w:line="350" w:lineRule="exact"/>
        <w:ind w:left="0" w:firstLine="0"/>
        <w:jc w:val="center"/>
      </w:pPr>
      <w:r>
        <w:rPr>
          <w:b/>
          <w:bCs/>
        </w:rPr>
        <w:t xml:space="preserve">UNITED STATES COURT OF APPEALS</w:t>
      </w:r>
      <w:r>
        <w:br/>
      </w:r>
      <w:r>
        <w:rPr>
          <w:b/>
          <w:bCs/>
        </w:rPr>
        <w:t xml:space="preserve">FOR THE DISTRICT OF COLUMBIA CIRCUIT</w:t>
      </w:r>
    </w:p>
    <w:p>
      <w:pPr>
        <w:keepNext/>
        <w:keepLines/>
        <w:pBdr>
          <w:bottom w:val="single" w:sz="6" w:space="1" w:color="000000"/>
        </w:pBdr>
        <w:spacing w:before="206" w:after="0" w:line="120" w:lineRule="exact"/>
        <w:ind w:left="3240" w:right="3240"/>
      </w:pPr>
    </w:p>
    <w:p>
      <w:pPr>
        <w:keepNext/>
        <w:keepLines/>
        <w:spacing w:before="206" w:after="0" w:line="350" w:lineRule="exact"/>
        <w:ind w:left="0" w:firstLine="0"/>
        <w:jc w:val="center"/>
      </w:pPr>
      <w:r>
        <w:t xml:space="preserve">UNITED</w:t>
      </w:r>
      <w:r>
        <w:t xml:space="preserve"> </w:t>
      </w:r>
      <w:r>
        <w:t xml:space="preserve">STATES</w:t>
      </w:r>
      <w:r>
        <w:t xml:space="preserve"> </w:t>
      </w:r>
      <w:r>
        <w:t xml:space="preserve">OF</w:t>
      </w:r>
      <w:r>
        <w:t xml:space="preserve"> </w:t>
      </w:r>
      <w:r>
        <w:t xml:space="preserve">AMERICA,</w:t>
      </w:r>
    </w:p>
    <w:p>
      <w:pPr>
        <w:keepNext/>
        <w:keepLines/>
        <w:spacing w:before="98" w:after="0" w:line="350" w:lineRule="exact"/>
        <w:ind w:left="4680" w:firstLine="0"/>
      </w:pPr>
      <w:r>
        <w:t xml:space="preserve">Appellee,</w:t>
      </w:r>
    </w:p>
    <w:p>
      <w:pPr>
        <w:keepNext/>
        <w:keepLines/>
        <w:spacing w:before="148" w:after="148" w:line="350" w:lineRule="exact"/>
        <w:ind w:left="0" w:firstLine="0"/>
        <w:jc w:val="center"/>
      </w:pPr>
      <w:r>
        <w:t xml:space="preserve">v.</w:t>
      </w:r>
    </w:p>
    <w:p>
      <w:pPr>
        <w:keepNext/>
        <w:keepLines/>
        <w:spacing w:before="148" w:after="0" w:line="350" w:lineRule="exact"/>
        <w:ind w:left="0" w:firstLine="0"/>
        <w:jc w:val="center"/>
      </w:pPr>
      <w:r>
        <w:t xml:space="preserve">DAN</w:t>
      </w:r>
      <w:r>
        <w:t xml:space="preserve"> </w:t>
      </w:r>
      <w:r>
        <w:t xml:space="preserve">EDWIN</w:t>
      </w:r>
      <w:r>
        <w:t xml:space="preserve"> </w:t>
      </w:r>
      <w:r>
        <w:t xml:space="preserve">WILSON,</w:t>
      </w:r>
    </w:p>
    <w:p>
      <w:pPr>
        <w:keepNext/>
        <w:keepLines/>
        <w:spacing w:before="98" w:after="0" w:line="350" w:lineRule="exact"/>
        <w:ind w:left="4680" w:firstLine="0"/>
      </w:pPr>
      <w:r>
        <w:t xml:space="preserve">Appellant.</w:t>
      </w:r>
    </w:p>
    <w:p>
      <w:pPr>
        <w:keepNext/>
        <w:keepLines/>
        <w:pBdr>
          <w:bottom w:val="single" w:sz="6" w:space="1" w:color="000000"/>
        </w:pBdr>
        <w:spacing w:before="206" w:after="0" w:line="120" w:lineRule="exact"/>
        <w:ind w:left="3240" w:right="3240"/>
      </w:pPr>
    </w:p>
    <w:p>
      <w:pPr>
        <w:keepNext/>
        <w:keepLines/>
        <w:spacing w:before="206" w:after="0" w:line="350" w:lineRule="exact"/>
        <w:ind w:left="0" w:firstLine="0"/>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keepNext/>
        <w:keepLines/>
        <w:spacing w:before="98" w:after="0" w:line="350" w:lineRule="exact"/>
        <w:ind w:left="0" w:firstLine="0"/>
        <w:jc w:val="center"/>
      </w:pPr>
      <w:r>
        <w:t xml:space="preserve">Cr.</w:t>
      </w:r>
      <w:r>
        <w:t xml:space="preserve"> </w:t>
      </w:r>
      <w:r>
        <w:t xml:space="preserve">No.</w:t>
      </w:r>
      <w:r>
        <w:t xml:space="preserve"> </w:t>
      </w:r>
      <w:r>
        <w:t xml:space="preserve">23</w:t>
        <w:noBreakHyphen/>
        <w:t xml:space="preserve">427</w:t>
      </w:r>
      <w:r>
        <w:t xml:space="preserve"> </w:t>
      </w:r>
      <w:r>
        <w:t xml:space="preserve">(DLF)</w:t>
      </w:r>
    </w:p>
    <w:p>
      <w:pPr>
        <w:keepNext/>
        <w:keepLines/>
        <w:pBdr>
          <w:bottom w:val="single" w:sz="6" w:space="1" w:color="000000"/>
        </w:pBdr>
        <w:spacing w:before="206" w:after="0" w:line="120" w:lineRule="exact"/>
        <w:ind w:left="3240" w:right="3240"/>
      </w:pPr>
    </w:p>
    <w:p>
      <w:pPr>
        <w:keepNext/>
        <w:keepLines/>
        <w:spacing w:before="206" w:after="0" w:line="350" w:lineRule="exact"/>
        <w:ind w:left="0" w:firstLine="0"/>
        <w:jc w:val="center"/>
      </w:pPr>
      <w:r>
        <w:rPr>
          <w:b/>
          <w:bCs/>
          <w:caps/>
        </w:rPr>
        <w:t xml:space="preserve">Brief</w:t>
      </w:r>
      <w:r>
        <w:rPr>
          <w:b/>
          <w:bCs/>
          <w:caps/>
        </w:rPr>
        <w:t xml:space="preserve"> </w:t>
      </w:r>
      <w:r>
        <w:rPr>
          <w:b/>
          <w:bCs/>
          <w:caps/>
        </w:rPr>
        <w:t xml:space="preserve">for</w:t>
      </w:r>
      <w:r>
        <w:rPr>
          <w:b/>
          <w:bCs/>
          <w:caps/>
        </w:rPr>
        <w:t xml:space="preserve"> </w:t>
      </w:r>
      <w:r>
        <w:rPr>
          <w:b/>
          <w:bCs/>
          <w:caps/>
        </w:rPr>
        <w:t xml:space="preserve">the</w:t>
      </w:r>
      <w:r>
        <w:rPr>
          <w:b/>
          <w:bCs/>
          <w:caps/>
        </w:rPr>
        <w:t xml:space="preserve"> </w:t>
      </w:r>
      <w:r>
        <w:rPr>
          <w:b/>
          <w:bCs/>
          <w:caps/>
        </w:rPr>
        <w:t xml:space="preserve">United</w:t>
      </w:r>
      <w:r>
        <w:rPr>
          <w:b/>
          <w:bCs/>
          <w:caps/>
        </w:rPr>
        <w:t xml:space="preserve"> </w:t>
      </w:r>
      <w:r>
        <w:rPr>
          <w:b/>
          <w:bCs/>
          <w:caps/>
        </w:rPr>
        <w:t xml:space="preserve">States</w:t>
      </w:r>
    </w:p>
    <w:p>
      <w:pPr>
        <w:keepNext/>
        <w:keepLines/>
        <w:pBdr>
          <w:bottom w:val="single" w:sz="6" w:space="1" w:color="000000"/>
        </w:pBdr>
        <w:spacing w:before="206" w:after="0" w:line="120" w:lineRule="exact"/>
        <w:ind w:left="3240" w:right="3240"/>
      </w:pPr>
    </w:p>
    <w:p>
      <w:pPr>
        <w:keepLines/>
        <w:spacing w:before="206" w:after="0" w:line="350" w:lineRule="exact"/>
        <w:ind w:left="4680" w:firstLine="0"/>
      </w:pPr>
      <w:r>
        <w:t xml:space="preserve">JEANINE</w:t>
      </w:r>
      <w:r>
        <w:t xml:space="preserve"> </w:t>
      </w:r>
      <w:r>
        <w:t xml:space="preserve">FERRIS</w:t>
      </w:r>
      <w:r>
        <w:t xml:space="preserve"> </w:t>
      </w:r>
      <w:r>
        <w:t xml:space="preserve">PIRRO</w:t>
      </w:r>
    </w:p>
    <w:p>
      <w:pPr>
        <w:keepLines/>
        <w:spacing w:before="0" w:after="0" w:line="350" w:lineRule="exact"/>
        <w:ind w:left="4680" w:firstLine="140"/>
      </w:pPr>
      <w:r>
        <w:rPr>
          <w:i/>
          <w:iCs/>
        </w:rPr>
        <w:t xml:space="preserve">United</w:t>
      </w:r>
      <w:r>
        <w:rPr>
          <w:i/>
          <w:iCs/>
        </w:rPr>
        <w:t xml:space="preserve"> </w:t>
      </w:r>
      <w:r>
        <w:rPr>
          <w:i/>
          <w:iCs/>
        </w:rPr>
        <w:t xml:space="preserve">States</w:t>
      </w:r>
      <w:r>
        <w:rPr>
          <w:i/>
          <w:iCs/>
        </w:rPr>
        <w:t xml:space="preserve"> </w:t>
      </w:r>
      <w:r>
        <w:rPr>
          <w:i/>
          <w:iCs/>
        </w:rPr>
        <w:t xml:space="preserve">Attorney</w:t>
      </w:r>
    </w:p>
    <w:p>
      <w:pPr>
        <w:keepLines/>
        <w:spacing w:before="140" w:after="0" w:line="350" w:lineRule="exact"/>
        <w:ind w:left="4680" w:firstLine="0"/>
      </w:pPr>
      <w:r>
        <w:t xml:space="preserve">CHRISELLEN</w:t>
      </w:r>
      <w:r>
        <w:t xml:space="preserve"> </w:t>
      </w:r>
      <w:r>
        <w:t xml:space="preserve">R.</w:t>
      </w:r>
      <w:r>
        <w:t xml:space="preserve"> </w:t>
      </w:r>
      <w:r>
        <w:t xml:space="preserve">KOLB</w:t>
      </w:r>
    </w:p>
    <w:p>
      <w:pPr>
        <w:keepLines/>
        <w:spacing w:before="0" w:after="0" w:line="350" w:lineRule="exact"/>
        <w:ind w:left="4680" w:firstLine="0"/>
      </w:pPr>
      <w:r>
        <w:t xml:space="preserve">*</w:t>
      </w:r>
      <w:r>
        <w:t xml:space="preserve"> </w:t>
      </w:r>
      <w:r>
        <w:t xml:space="preserve">DANIEL</w:t>
      </w:r>
      <w:r>
        <w:t xml:space="preserve"> </w:t>
      </w:r>
      <w:r>
        <w:t xml:space="preserve">J.</w:t>
      </w:r>
      <w:r>
        <w:t xml:space="preserve"> </w:t>
      </w:r>
      <w:r>
        <w:t xml:space="preserve">LENERZ</w:t>
      </w:r>
    </w:p>
    <w:p>
      <w:pPr>
        <w:keepLines/>
        <w:spacing w:before="0" w:after="0" w:line="350" w:lineRule="exact"/>
        <w:ind w:left="4680" w:firstLine="140"/>
      </w:pPr>
      <w:r>
        <w:rPr>
          <w:i/>
          <w:iCs/>
        </w:rPr>
        <w:t xml:space="preserve">DC</w:t>
      </w:r>
      <w:r>
        <w:rPr>
          <w:i/>
          <w:iCs/>
        </w:rPr>
        <w:t xml:space="preserve"> </w:t>
      </w:r>
      <w:r>
        <w:rPr>
          <w:i/>
          <w:iCs/>
        </w:rPr>
        <w:t xml:space="preserve">Bar</w:t>
      </w:r>
      <w:r>
        <w:rPr>
          <w:i/>
          <w:iCs/>
        </w:rPr>
        <w:t xml:space="preserve"> </w:t>
      </w:r>
      <w:r>
        <w:rPr>
          <w:i/>
          <w:iCs/>
        </w:rPr>
        <w:t xml:space="preserve">#888283905</w:t>
      </w:r>
    </w:p>
    <w:p>
      <w:pPr>
        <w:keepLines/>
        <w:spacing w:before="0" w:after="0" w:line="350" w:lineRule="exact"/>
        <w:ind w:left="4680" w:firstLine="140"/>
      </w:pPr>
      <w:r>
        <w:rPr>
          <w:i/>
          <w:iCs/>
        </w:rPr>
        <w:t xml:space="preserve">Assistant</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Attorneys</w:t>
      </w:r>
    </w:p>
    <w:p>
      <w:pPr>
        <w:keepLines/>
        <w:spacing w:before="0" w:after="0" w:line="350" w:lineRule="exact"/>
        <w:ind w:left="4680" w:firstLine="140"/>
      </w:pPr>
      <w:r>
        <w:rPr>
          <w:i/>
          <w:iCs/>
        </w:rPr>
        <w:t xml:space="preserve">*</w:t>
      </w:r>
      <w:r>
        <w:rPr>
          <w:i/>
          <w:iCs/>
        </w:rPr>
        <w:t xml:space="preserve"> </w:t>
      </w:r>
      <w:r>
        <w:rPr>
          <w:i/>
          <w:iCs/>
        </w:rPr>
        <w:t xml:space="preserve">Counsel</w:t>
      </w:r>
      <w:r>
        <w:rPr>
          <w:i/>
          <w:iCs/>
        </w:rPr>
        <w:t xml:space="preserve"> </w:t>
      </w:r>
      <w:r>
        <w:rPr>
          <w:i/>
          <w:iCs/>
        </w:rPr>
        <w:t xml:space="preserve">for</w:t>
      </w:r>
      <w:r>
        <w:rPr>
          <w:i/>
          <w:iCs/>
        </w:rPr>
        <w:t xml:space="preserve"> </w:t>
      </w:r>
      <w:r>
        <w:rPr>
          <w:i/>
          <w:iCs/>
        </w:rPr>
        <w:t xml:space="preserve">Oral</w:t>
      </w:r>
      <w:r>
        <w:rPr>
          <w:i/>
          <w:iCs/>
        </w:rPr>
        <w:t xml:space="preserve"> </w:t>
      </w:r>
      <w:r>
        <w:rPr>
          <w:i/>
          <w:iCs/>
        </w:rPr>
        <w:t xml:space="preserve">Argument</w:t>
      </w:r>
    </w:p>
    <w:p>
      <w:pPr>
        <w:keepLines/>
        <w:spacing w:before="0" w:after="0" w:line="350" w:lineRule="exact"/>
        <w:ind w:left="4680" w:firstLine="140"/>
      </w:pPr>
      <w:r>
        <w:rPr>
          <w:i/>
          <w:iCs/>
        </w:rPr>
        <w:t xml:space="preserve">601</w:t>
      </w:r>
      <w:r>
        <w:rPr>
          <w:i/>
          <w:iCs/>
        </w:rPr>
        <w:t xml:space="preserve"> </w:t>
      </w:r>
      <w:r>
        <w:rPr>
          <w:i/>
          <w:iCs/>
        </w:rPr>
        <w:t xml:space="preserve">D</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Room</w:t>
      </w:r>
      <w:r>
        <w:rPr>
          <w:i/>
          <w:iCs/>
        </w:rPr>
        <w:t xml:space="preserve"> </w:t>
      </w:r>
      <w:r>
        <w:rPr>
          <w:i/>
          <w:iCs/>
        </w:rPr>
        <w:t xml:space="preserve">6.232</w:t>
      </w:r>
    </w:p>
    <w:p>
      <w:pPr>
        <w:keepLines/>
        <w:spacing w:before="0" w:after="0" w:line="35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20530</w:t>
      </w:r>
    </w:p>
    <w:p>
      <w:pPr>
        <w:keepLines/>
        <w:spacing w:before="0" w:after="0" w:line="350" w:lineRule="exact"/>
        <w:ind w:left="4680" w:firstLine="140"/>
      </w:pPr>
      <w:r>
        <w:rPr>
          <w:i/>
          <w:iCs/>
        </w:rPr>
        <w:t xml:space="preserve">Daniel.Lenerz@usdoj.gov</w:t>
      </w:r>
    </w:p>
    <w:p>
      <w:pPr>
        <w:keepLines/>
        <w:spacing w:before="0" w:after="0" w:line="350" w:lineRule="exact"/>
        <w:ind w:left="4680" w:firstLine="140"/>
      </w:pPr>
      <w:r>
        <w:rPr>
          <w:i/>
          <w:iCs/>
        </w:rPr>
        <w:t xml:space="preserve">(202)</w:t>
      </w:r>
      <w:r>
        <w:rPr>
          <w:i/>
          <w:iCs/>
        </w:rPr>
        <w:t xml:space="preserve"> </w:t>
      </w:r>
      <w:r>
        <w:rPr>
          <w:i/>
          <w:iCs/>
        </w:rPr>
        <w:t xml:space="preserve">252</w:t>
        <w:noBreakHyphen/>
        <w:t xml:space="preserve">6829</w:t>
      </w:r>
    </w:p>
    <w:p>
      <w:pPr>
        <w:keepNext/>
        <w:keepLines/>
        <w:pBdr>
          <w:bottom w:val="thickThinSmallGap" w:sz="12" w:space="1" w:color="000000"/>
        </w:pBdr>
        <w:spacing w:before="206"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20" w:lineRule="exact"/>
        <w:ind w:left="0" w:firstLine="0"/>
        <w:jc w:val="center"/>
      </w:pPr>
      <w:r>
        <w:rPr>
          <w:b/>
          <w:bCs/>
          <w:sz w:val="32"/>
          <w:szCs w:val="32"/>
        </w:rPr>
        <w:t xml:space="preserve">CERTIFICATE OF PARTIES, RULINGS, AND RELATED CASES</w:t>
      </w:r>
    </w:p>
    <w:p>
      <w:pPr>
        <w:spacing w:before="0" w:after="280" w:line="350" w:lineRule="exact"/>
        <w:ind w:left="0" w:firstLine="0"/>
      </w:pPr>
      <w:r>
        <w:t xml:space="preserve">Pursuant</w:t>
      </w:r>
      <w:r>
        <w:t xml:space="preserve"> </w:t>
      </w:r>
      <w:r>
        <w:t xml:space="preserve">to</w:t>
      </w:r>
      <w:r>
        <w:t xml:space="preserve"> </w:t>
      </w:r>
      <w:r>
        <w:t xml:space="preserve">D.C.</w:t>
      </w:r>
      <w:r>
        <w:t xml:space="preserve"> </w:t>
      </w:r>
      <w:r>
        <w:t xml:space="preserve">Circuit</w:t>
      </w:r>
      <w:r>
        <w:t xml:space="preserve"> </w:t>
      </w:r>
      <w:r>
        <w:t xml:space="preserve">Rule</w:t>
      </w:r>
      <w:r>
        <w:t xml:space="preserve"> </w:t>
      </w:r>
      <w:r>
        <w:t xml:space="preserve">28(a)⁠(1),</w:t>
      </w:r>
      <w:r>
        <w:t xml:space="preserve"> </w:t>
      </w:r>
      <w:r>
        <w:t xml:space="preserve">appellee</w:t>
      </w:r>
      <w:r>
        <w:t xml:space="preserve"> </w:t>
      </w:r>
      <w:r>
        <w:t xml:space="preserve">hereby</w:t>
      </w:r>
      <w:r>
        <w:t xml:space="preserve"> </w:t>
      </w:r>
      <w:r>
        <w:t xml:space="preserve">states</w:t>
      </w:r>
      <w:r>
        <w:t xml:space="preserve"> </w:t>
      </w:r>
      <w:r>
        <w:t xml:space="preserve">as</w:t>
      </w:r>
      <w:r>
        <w:t xml:space="preserve"> </w:t>
      </w:r>
      <w:r>
        <w:t xml:space="preserve">follows:</w:t>
      </w:r>
    </w:p>
    <w:p>
      <w:pPr>
        <w:spacing w:before="0" w:after="280" w:line="350" w:lineRule="exact"/>
        <w:ind w:left="0" w:firstLine="0"/>
      </w:pPr>
      <w:r>
        <w:rPr>
          <w:b/>
          <w:bCs/>
        </w:rPr>
        <w:t xml:space="preserve">Parties</w:t>
      </w:r>
      <w:r>
        <w:rPr>
          <w:b/>
          <w:bCs/>
        </w:rPr>
        <w:t xml:space="preserve"> </w:t>
      </w:r>
      <w:r>
        <w:rPr>
          <w:b/>
          <w:bCs/>
        </w:rPr>
        <w:t xml:space="preserve">and</w:t>
      </w:r>
      <w:r>
        <w:rPr>
          <w:b/>
          <w:bCs/>
        </w:rPr>
        <w:t xml:space="preserve"> </w:t>
      </w:r>
      <w:r>
        <w:rPr>
          <w:b/>
          <w:bCs/>
        </w:rPr>
        <w:t xml:space="preserve">Amici</w:t>
      </w:r>
    </w:p>
    <w:p>
      <w:pPr>
        <w:spacing w:before="0" w:after="280" w:line="350" w:lineRule="exact"/>
        <w:ind w:left="0" w:firstLine="0"/>
      </w:pPr>
      <w:r>
        <w:t xml:space="preserve">The</w:t>
      </w:r>
      <w:r>
        <w:t xml:space="preserve"> </w:t>
      </w:r>
      <w:r>
        <w:t xml:space="preserve">parties</w:t>
      </w:r>
      <w:r>
        <w:t xml:space="preserve"> </w:t>
      </w:r>
      <w:r>
        <w:t xml:space="preserve">to</w:t>
      </w:r>
      <w:r>
        <w:t xml:space="preserve"> </w:t>
      </w:r>
      <w:r>
        <w:t xml:space="preserve">this</w:t>
      </w:r>
      <w:r>
        <w:t xml:space="preserve"> </w:t>
      </w:r>
      <w:r>
        <w:t xml:space="preserve">appeal</w:t>
      </w:r>
      <w:r>
        <w:t xml:space="preserve"> </w:t>
      </w:r>
      <w:r>
        <w:t xml:space="preserve">are</w:t>
      </w:r>
      <w:r>
        <w:t xml:space="preserve"> </w:t>
      </w:r>
      <w:r>
        <w:t xml:space="preserve">appellant</w:t>
      </w:r>
      <w:r>
        <w:t xml:space="preserve"> </w:t>
      </w:r>
      <w:r>
        <w:t xml:space="preserve">Dan</w:t>
      </w:r>
      <w:r>
        <w:t xml:space="preserve"> </w:t>
      </w:r>
      <w:r>
        <w:t xml:space="preserve">Edwin</w:t>
      </w:r>
      <w:r>
        <w:t xml:space="preserve"> </w:t>
      </w:r>
      <w:r>
        <w:t xml:space="preserve">Wilson</w:t>
      </w:r>
      <w:r>
        <w:t xml:space="preserve"> </w:t>
      </w:r>
      <w:r>
        <w:t xml:space="preserve">and</w:t>
      </w:r>
      <w:r>
        <w:t xml:space="preserve"> </w:t>
      </w:r>
      <w:r>
        <w:t xml:space="preserve">appellee</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On</w:t>
      </w:r>
      <w:r>
        <w:t xml:space="preserve"> </w:t>
      </w:r>
      <w:r>
        <w:t xml:space="preserve">July</w:t>
      </w:r>
      <w:r>
        <w:t xml:space="preserve"> </w:t>
      </w:r>
      <w:r>
        <w:t xml:space="preserve">3,</w:t>
      </w:r>
      <w:r>
        <w:t xml:space="preserve"> </w:t>
      </w:r>
      <w:r>
        <w:t xml:space="preserve">2025,</w:t>
      </w:r>
      <w:r>
        <w:t xml:space="preserve"> </w:t>
      </w:r>
      <w:r>
        <w:t xml:space="preserve">this</w:t>
      </w:r>
      <w:r>
        <w:t xml:space="preserve"> </w:t>
      </w:r>
      <w:r>
        <w:t xml:space="preserve">Court</w:t>
      </w:r>
      <w:r>
        <w:t xml:space="preserve"> </w:t>
      </w:r>
      <w:r>
        <w:t xml:space="preserve">appointed</w:t>
      </w:r>
      <w:r>
        <w:t xml:space="preserve"> </w:t>
      </w:r>
      <w:r>
        <w:t xml:space="preserve">Alexander</w:t>
      </w:r>
      <w:r>
        <w:t xml:space="preserve"> </w:t>
      </w:r>
      <w:r>
        <w:t xml:space="preserve">Cave</w:t>
      </w:r>
      <w:r>
        <w:t xml:space="preserve"> </w:t>
      </w:r>
      <w:r>
        <w:t xml:space="preserve">as</w:t>
      </w:r>
      <w:r>
        <w:t xml:space="preserve"> </w:t>
      </w:r>
      <w:r>
        <w:t xml:space="preserve">amicus</w:t>
      </w:r>
      <w:r>
        <w:t xml:space="preserve"> </w:t>
      </w:r>
      <w:r>
        <w:t xml:space="preserve">curiae</w:t>
      </w:r>
      <w:r>
        <w:t xml:space="preserve"> </w:t>
      </w:r>
      <w:r>
        <w:t xml:space="preserve">to</w:t>
      </w:r>
      <w:r>
        <w:t xml:space="preserve"> </w:t>
      </w:r>
      <w:r>
        <w:t xml:space="preserve">present</w:t>
      </w:r>
      <w:r>
        <w:t xml:space="preserve"> </w:t>
      </w:r>
      <w:r>
        <w:t xml:space="preserve">arguments</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district</w:t>
      </w:r>
      <w:r>
        <w:t xml:space="preserve"> </w:t>
      </w:r>
      <w:r>
        <w:t xml:space="preserve">court’s</w:t>
      </w:r>
      <w:r>
        <w:t xml:space="preserve"> </w:t>
      </w:r>
      <w:r>
        <w:t xml:space="preserve">March</w:t>
      </w:r>
      <w:r>
        <w:t xml:space="preserve"> </w:t>
      </w:r>
      <w:r>
        <w:t xml:space="preserve">13,</w:t>
      </w:r>
      <w:r>
        <w:t xml:space="preserve"> </w:t>
      </w:r>
      <w:r>
        <w:t xml:space="preserve">2025,</w:t>
      </w:r>
      <w:r>
        <w:t xml:space="preserve"> </w:t>
      </w:r>
      <w:r>
        <w:t xml:space="preserve">memorandum</w:t>
      </w:r>
      <w:r>
        <w:t xml:space="preserve"> </w:t>
      </w:r>
      <w:r>
        <w:t xml:space="preserve">opinion</w:t>
      </w:r>
      <w:r>
        <w:t xml:space="preserve"> </w:t>
      </w:r>
      <w:r>
        <w:t xml:space="preserve">and</w:t>
      </w:r>
      <w:r>
        <w:t xml:space="preserve"> </w:t>
      </w:r>
      <w:r>
        <w:t xml:space="preserve">order</w:t>
      </w:r>
      <w:r>
        <w:t xml:space="preserve"> </w:t>
      </w:r>
      <w:r>
        <w:t xml:space="preserve">denying</w:t>
      </w:r>
      <w:r>
        <w:t xml:space="preserve"> </w:t>
      </w:r>
      <w:r>
        <w:t xml:space="preserve">Wilson’s</w:t>
      </w:r>
      <w:r>
        <w:t xml:space="preserve"> </w:t>
      </w:r>
      <w:r>
        <w:t xml:space="preserve">28</w:t>
      </w:r>
      <w:r>
        <w:t xml:space="preserve"> </w:t>
      </w:r>
      <w:r>
        <w:t xml:space="preserve">U.S.C.</w:t>
      </w:r>
      <w:r>
        <w:t xml:space="preserve"> </w:t>
      </w:r>
      <w:r>
        <w:t xml:space="preserve">§</w:t>
      </w:r>
      <w:r>
        <w:t xml:space="preserve"> </w:t>
      </w:r>
      <w:r>
        <w:t xml:space="preserve">2255</w:t>
      </w:r>
      <w:r>
        <w:t xml:space="preserve"> </w:t>
      </w:r>
      <w:r>
        <w:t xml:space="preserve">motion.</w:t>
      </w:r>
    </w:p>
    <w:p>
      <w:pPr>
        <w:spacing w:before="0" w:after="280" w:line="350" w:lineRule="exact"/>
        <w:ind w:left="0" w:firstLine="0"/>
      </w:pPr>
      <w:r>
        <w:rPr>
          <w:b/>
          <w:bCs/>
        </w:rPr>
        <w:t xml:space="preserve">Rulings</w:t>
      </w:r>
      <w:r>
        <w:rPr>
          <w:b/>
          <w:bCs/>
        </w:rPr>
        <w:t xml:space="preserve"> </w:t>
      </w:r>
      <w:r>
        <w:rPr>
          <w:b/>
          <w:bCs/>
        </w:rPr>
        <w:t xml:space="preserve">Under</w:t>
      </w:r>
      <w:r>
        <w:rPr>
          <w:b/>
          <w:bCs/>
        </w:rPr>
        <w:t xml:space="preserve"> </w:t>
      </w:r>
      <w:r>
        <w:rPr>
          <w:b/>
          <w:bCs/>
        </w:rPr>
        <w:t xml:space="preserve">Review</w:t>
      </w:r>
    </w:p>
    <w:p>
      <w:pPr>
        <w:spacing w:before="0" w:after="280" w:line="350" w:lineRule="exact"/>
        <w:ind w:left="0" w:firstLine="0"/>
      </w:pPr>
      <w:r>
        <w:t xml:space="preserve">This</w:t>
      </w:r>
      <w:r>
        <w:t xml:space="preserve"> </w:t>
      </w:r>
      <w:r>
        <w:t xml:space="preserve">is</w:t>
      </w:r>
      <w:r>
        <w:t xml:space="preserve"> </w:t>
      </w:r>
      <w:r>
        <w:t xml:space="preserve">an</w:t>
      </w:r>
      <w:r>
        <w:t xml:space="preserve"> </w:t>
      </w:r>
      <w:r>
        <w:t xml:space="preserve">appeal</w:t>
      </w:r>
      <w:r>
        <w:t xml:space="preserve"> </w:t>
      </w:r>
      <w:r>
        <w:t xml:space="preserve">from</w:t>
      </w:r>
      <w:r>
        <w:t xml:space="preserve"> </w:t>
      </w:r>
      <w:r>
        <w:t xml:space="preserve">an</w:t>
      </w:r>
      <w:r>
        <w:t xml:space="preserve"> </w:t>
      </w:r>
      <w:r>
        <w:t xml:space="preserve">order</w:t>
      </w:r>
      <w:r>
        <w:t xml:space="preserve"> </w:t>
      </w:r>
      <w:r>
        <w:t xml:space="preserve">by</w:t>
      </w:r>
      <w:r>
        <w:t xml:space="preserve"> </w:t>
      </w:r>
      <w:r>
        <w:t xml:space="preserve">the</w:t>
      </w:r>
      <w:r>
        <w:t xml:space="preserve"> </w:t>
      </w:r>
      <w:r>
        <w:t xml:space="preserve">Honorable</w:t>
      </w:r>
      <w:r>
        <w:t xml:space="preserve"> </w:t>
      </w:r>
      <w:r>
        <w:t xml:space="preserve">Dabney</w:t>
      </w:r>
      <w:r>
        <w:t xml:space="preserve"> </w:t>
      </w:r>
      <w:r>
        <w:t xml:space="preserve">L.</w:t>
      </w:r>
      <w:r>
        <w:t xml:space="preserve"> </w:t>
      </w:r>
      <w:r>
        <w:t xml:space="preserve">Friedrich</w:t>
      </w:r>
      <w:r>
        <w:t xml:space="preserve"> </w:t>
      </w:r>
      <w:r>
        <w:t xml:space="preserve">denying</w:t>
      </w:r>
      <w:r>
        <w:t xml:space="preserve"> </w:t>
      </w:r>
      <w:r>
        <w:t xml:space="preserve">Wilson’s</w:t>
      </w:r>
      <w:r>
        <w:t xml:space="preserve"> </w:t>
      </w:r>
      <w:r>
        <w:t xml:space="preserve">§</w:t>
      </w:r>
      <w:r>
        <w:t xml:space="preserve"> </w:t>
      </w:r>
      <w:r>
        <w:t xml:space="preserve">2255</w:t>
      </w:r>
      <w:r>
        <w:t xml:space="preserve"> </w:t>
      </w:r>
      <w:r>
        <w:t xml:space="preserve">motion.</w:t>
      </w:r>
    </w:p>
    <w:p>
      <w:pPr>
        <w:spacing w:before="0" w:after="280" w:line="350" w:lineRule="exact"/>
        <w:ind w:left="0" w:firstLine="0"/>
      </w:pPr>
      <w:r>
        <w:rPr>
          <w:b/>
          <w:bCs/>
        </w:rPr>
        <w:t xml:space="preserve">Related</w:t>
      </w:r>
      <w:r>
        <w:rPr>
          <w:b/>
          <w:bCs/>
        </w:rPr>
        <w:t xml:space="preserve"> </w:t>
      </w:r>
      <w:r>
        <w:rPr>
          <w:b/>
          <w:bCs/>
        </w:rPr>
        <w:t xml:space="preserve">Cases</w:t>
      </w:r>
    </w:p>
    <w:p>
      <w:pPr>
        <w:spacing w:before="0" w:after="0" w:line="350" w:lineRule="exact"/>
        <w:ind w:left="0" w:firstLine="0"/>
      </w:pPr>
      <w:r>
        <w:t xml:space="preserve">Appellee</w:t>
      </w:r>
      <w:r>
        <w:t xml:space="preserve"> </w:t>
      </w:r>
      <w:r>
        <w:t xml:space="preserve">is</w:t>
      </w:r>
      <w:r>
        <w:t xml:space="preserve"> </w:t>
      </w:r>
      <w:r>
        <w:t xml:space="preserve">unaware</w:t>
      </w:r>
      <w:r>
        <w:t xml:space="preserve"> </w:t>
      </w:r>
      <w:r>
        <w:t xml:space="preserve">of</w:t>
      </w:r>
      <w:r>
        <w:t xml:space="preserve"> </w:t>
      </w:r>
      <w:r>
        <w:t xml:space="preserve">any</w:t>
      </w:r>
      <w:r>
        <w:t xml:space="preserve"> </w:t>
      </w:r>
      <w:r>
        <w:t xml:space="preserve">related</w:t>
      </w:r>
      <w:r>
        <w:t xml:space="preserve"> </w:t>
      </w:r>
      <w:r>
        <w:t xml:space="preserve">cases.</w:t>
      </w:r>
    </w:p>
    <w:p>
      <w:pPr>
        <w:keepNext/>
        <w:keepLines/>
        <w:pageBreakBefore/>
        <w:spacing w:before="0" w:after="308" w:line="420" w:lineRule="exact"/>
        <w:ind w:left="0" w:firstLine="0"/>
        <w:jc w:val="center"/>
      </w:pPr>
      <w:r>
        <w:rPr>
          <w:b/>
          <w:bCs/>
          <w:sz w:val="32"/>
          <w:szCs w:val="32"/>
        </w:rPr>
        <w:t xml:space="preserve">TABLE OF CONTENTS</w:t>
      </w:r>
    </w:p>
    <w:p>
      <w:pPr>
        <w:keepNext/>
        <w:keepLines/>
        <w:spacing w:before="84" w:after="0" w:line="350" w:lineRule="exact"/>
        <w:ind w:left="0" w:right="20" w:firstLine="0"/>
        <w:jc w:val="right"/>
      </w:pPr>
      <w:r>
        <w:rPr>
          <w:b/>
          <w:bCs/>
          <w:u w:val="single"/>
        </w:rPr>
        <w:t xml:space="preserve">Page</w:t>
      </w:r>
    </w:p>
    <w:p>
      <w:pPr>
        <w:keepLines/>
        <w:tabs>
          <w:tab w:val="right" w:leader="dot" w:pos="9360"/>
        </w:tabs>
        <w:spacing w:before="168" w:after="0" w:line="350" w:lineRule="exact"/>
        <w:ind w:left="720" w:right="720" w:hanging="720"/>
      </w:pPr>
      <w:r>
        <w:t xml:space="preserve">ISSUE PRESENTED</w:t>
      </w:r>
      <w:r>
        <w:t xml:space="preserve">   </w:t>
      </w:r>
      <w:r>
        <w:tab/>
      </w:r>
      <w:r>
        <w:t xml:space="preserve">1</w:t>
      </w:r>
    </w:p>
    <w:p>
      <w:pPr>
        <w:keepLines/>
        <w:tabs>
          <w:tab w:val="right" w:leader="dot" w:pos="9360"/>
        </w:tabs>
        <w:spacing w:before="168" w:after="0" w:line="350" w:lineRule="exact"/>
        <w:ind w:left="720" w:right="720" w:hanging="720"/>
      </w:pPr>
      <w:r>
        <w:t xml:space="preserve">STATEMENT OF THE CASE</w:t>
      </w:r>
      <w:r>
        <w:t xml:space="preserve">   </w:t>
      </w:r>
      <w:r>
        <w:tab/>
      </w:r>
      <w:r>
        <w:t xml:space="preserve">1</w:t>
      </w:r>
    </w:p>
    <w:p>
      <w:pPr>
        <w:keepLines/>
        <w:tabs>
          <w:tab w:val="right" w:leader="dot" w:pos="9360"/>
        </w:tabs>
        <w:spacing w:before="98" w:after="0" w:line="350" w:lineRule="exact"/>
        <w:ind w:left="1440" w:right="720" w:hanging="720"/>
      </w:pPr>
      <w:r>
        <w:t xml:space="preserve">A.</w:t>
      </w:r>
      <w:r>
        <w:tab/>
      </w:r>
      <w:r>
        <w:t xml:space="preserve">Procedural</w:t>
      </w:r>
      <w:r>
        <w:t xml:space="preserve"> </w:t>
      </w:r>
      <w:r>
        <w:t xml:space="preserve">History</w:t>
      </w:r>
      <w:r>
        <w:t xml:space="preserve">   </w:t>
      </w:r>
      <w:r>
        <w:tab/>
      </w:r>
      <w:r>
        <w:t xml:space="preserve">1</w:t>
      </w:r>
    </w:p>
    <w:p>
      <w:pPr>
        <w:keepLines/>
        <w:tabs>
          <w:tab w:val="right" w:leader="dot" w:pos="9360"/>
        </w:tabs>
        <w:spacing w:before="98" w:after="0" w:line="350" w:lineRule="exact"/>
        <w:ind w:left="1440" w:right="720" w:hanging="720"/>
      </w:pPr>
      <w:r>
        <w:t xml:space="preserve">B.</w:t>
      </w:r>
      <w:r>
        <w:tab/>
      </w:r>
      <w:r>
        <w:t xml:space="preserve">The</w:t>
      </w:r>
      <w:r>
        <w:t xml:space="preserve"> </w:t>
      </w:r>
      <w:r>
        <w:t xml:space="preserve">District</w:t>
      </w:r>
      <w:r>
        <w:t xml:space="preserve"> </w:t>
      </w:r>
      <w:r>
        <w:t xml:space="preserve">Court’s</w:t>
      </w:r>
      <w:r>
        <w:t xml:space="preserve"> </w:t>
      </w:r>
      <w:r>
        <w:t xml:space="preserve">Order</w:t>
      </w:r>
      <w:r>
        <w:t xml:space="preserve"> </w:t>
      </w:r>
      <w:r>
        <w:t xml:space="preserve">Denying</w:t>
      </w:r>
      <w:r>
        <w:t xml:space="preserve"> </w:t>
      </w:r>
      <w:r>
        <w:t xml:space="preserve">Wilson’s</w:t>
      </w:r>
      <w:r>
        <w:t xml:space="preserve"> </w:t>
      </w:r>
      <w:r>
        <w:t xml:space="preserve">§</w:t>
      </w:r>
      <w:r>
        <w:t xml:space="preserve"> </w:t>
      </w:r>
      <w:r>
        <w:t xml:space="preserve">2255</w:t>
      </w:r>
      <w:r>
        <w:t xml:space="preserve"> </w:t>
      </w:r>
      <w:r>
        <w:t xml:space="preserve">Motion</w:t>
      </w:r>
      <w:r>
        <w:t xml:space="preserve">   </w:t>
      </w:r>
      <w:r>
        <w:tab/>
      </w:r>
      <w:r>
        <w:t xml:space="preserve">3</w:t>
      </w:r>
    </w:p>
    <w:p>
      <w:pPr>
        <w:keepLines/>
        <w:tabs>
          <w:tab w:val="right" w:leader="dot" w:pos="9360"/>
        </w:tabs>
        <w:spacing w:before="168" w:after="0" w:line="350" w:lineRule="exact"/>
        <w:ind w:left="720" w:right="720" w:hanging="720"/>
      </w:pPr>
      <w:r>
        <w:t xml:space="preserve">SUMMARY OF ARGUMENT</w:t>
      </w:r>
      <w:r>
        <w:t xml:space="preserve">   </w:t>
      </w:r>
      <w:r>
        <w:tab/>
      </w:r>
      <w:r>
        <w:t xml:space="preserve">4</w:t>
      </w:r>
    </w:p>
    <w:p>
      <w:pPr>
        <w:keepLines/>
        <w:tabs>
          <w:tab w:val="right" w:leader="dot" w:pos="9360"/>
        </w:tabs>
        <w:spacing w:before="168" w:after="0" w:line="350" w:lineRule="exact"/>
        <w:ind w:left="720" w:right="720" w:hanging="720"/>
      </w:pPr>
      <w:r>
        <w:t xml:space="preserve">ARGUMENT</w:t>
      </w:r>
      <w:r>
        <w:t xml:space="preserve">   </w:t>
      </w:r>
      <w:r>
        <w:tab/>
      </w:r>
      <w:r>
        <w:t xml:space="preserve">4</w:t>
      </w:r>
    </w:p>
    <w:p>
      <w:pPr>
        <w:keepLines/>
        <w:tabs>
          <w:tab w:val="right" w:leader="dot" w:pos="9360"/>
        </w:tabs>
        <w:spacing w:before="98" w:after="0" w:line="350" w:lineRule="exact"/>
        <w:ind w:left="720" w:right="720" w:hanging="720"/>
      </w:pPr>
      <w:r>
        <w:t xml:space="preserve">I.</w:t>
      </w:r>
      <w:r>
        <w:tab/>
      </w:r>
      <w:r>
        <w:t xml:space="preserve">The</w:t>
      </w:r>
      <w:r>
        <w:t xml:space="preserve"> </w:t>
      </w:r>
      <w:r>
        <w:t xml:space="preserve">District</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Concluded</w:t>
      </w:r>
      <w:r>
        <w:t xml:space="preserve"> </w:t>
      </w:r>
      <w:r>
        <w:t xml:space="preserve">that</w:t>
      </w:r>
      <w:r>
        <w:t xml:space="preserve"> </w:t>
      </w:r>
      <w:r>
        <w:t xml:space="preserve">Wilson’s</w:t>
      </w:r>
      <w:r>
        <w:t xml:space="preserve"> </w:t>
      </w:r>
      <w:r>
        <w:t xml:space="preserve">Firearms</w:t>
      </w:r>
      <w:r>
        <w:t xml:space="preserve"> </w:t>
      </w:r>
      <w:r>
        <w:t xml:space="preserve">Offenses</w:t>
      </w:r>
      <w:r>
        <w:t xml:space="preserve"> </w:t>
      </w:r>
      <w:r>
        <w:t xml:space="preserve">were</w:t>
      </w:r>
      <w:r>
        <w:t xml:space="preserve"> </w:t>
      </w:r>
      <w:r>
        <w:t xml:space="preserve">not</w:t>
      </w:r>
      <w:r>
        <w:t xml:space="preserve"> </w:t>
      </w:r>
      <w:r>
        <w:t xml:space="preserve">Covered</w:t>
      </w:r>
      <w:r>
        <w:t xml:space="preserve"> </w:t>
      </w:r>
      <w:r>
        <w:t xml:space="preserve">by</w:t>
      </w:r>
      <w:r>
        <w:t xml:space="preserve"> </w:t>
      </w:r>
      <w:r>
        <w:t xml:space="preserve">the</w:t>
      </w:r>
      <w:r>
        <w:t xml:space="preserve"> </w:t>
      </w:r>
      <w:r>
        <w:t xml:space="preserve">President’s</w:t>
      </w:r>
      <w:r>
        <w:t xml:space="preserve"> </w:t>
      </w:r>
      <w:r>
        <w:t xml:space="preserve">Pardon.</w:t>
      </w:r>
      <w:r>
        <w:t xml:space="preserve">   </w:t>
      </w:r>
      <w:r>
        <w:tab/>
      </w:r>
      <w:r>
        <w:t xml:space="preserve">4</w:t>
      </w:r>
    </w:p>
    <w:p>
      <w:pPr>
        <w:keepLines/>
        <w:tabs>
          <w:tab w:val="right" w:leader="dot" w:pos="9360"/>
        </w:tabs>
        <w:spacing w:before="168" w:after="0" w:line="350" w:lineRule="exact"/>
        <w:ind w:left="720" w:right="720" w:hanging="720"/>
      </w:pPr>
      <w:r>
        <w:t xml:space="preserve">CONCLUSION</w:t>
      </w:r>
      <w:r>
        <w:t xml:space="preserve">   </w:t>
      </w:r>
      <w:r>
        <w:tab/>
      </w:r>
      <w:r>
        <w:t xml:space="preserve">7</w:t>
      </w:r>
    </w:p>
    <w:p>
      <w:pPr>
        <w:keepNext/>
        <w:keepLines/>
        <w:pageBreakBefore/>
        <w:spacing w:before="0" w:after="308" w:line="420" w:lineRule="exact"/>
        <w:ind w:left="0" w:firstLine="0"/>
        <w:jc w:val="center"/>
      </w:pPr>
      <w:r>
        <w:rPr>
          <w:b/>
          <w:bCs/>
          <w:sz w:val="32"/>
          <w:szCs w:val="32"/>
        </w:rPr>
        <w:t xml:space="preserve">TABLE OF AUTHORITIES</w:t>
      </w:r>
    </w:p>
    <w:p>
      <w:pPr>
        <w:keepNext/>
        <w:keepLines/>
        <w:tabs>
          <w:tab w:val="right" w:pos="9360"/>
        </w:tabs>
        <w:spacing w:before="280" w:after="56" w:line="350" w:lineRule="exact"/>
      </w:pPr>
      <w:r>
        <w:rPr>
          <w:b/>
          <w:bCs/>
        </w:rPr>
        <w:t xml:space="preserve">Cases:</w:t>
      </w:r>
      <w:r>
        <w:tab/>
      </w:r>
      <w:r>
        <w:rPr>
          <w:b/>
          <w:bCs/>
          <w:u w:val="single"/>
        </w:rPr>
        <w:t xml:space="preserve">Page(s)</w:t>
      </w:r>
    </w:p>
    <w:p>
      <w:pPr>
        <w:keepLines/>
        <w:tabs>
          <w:tab w:val="right" w:leader="dot" w:pos="9360"/>
        </w:tabs>
        <w:spacing w:before="196" w:after="0" w:line="350" w:lineRule="exact"/>
        <w:ind w:left="504" w:right="1120" w:hanging="504"/>
      </w:pPr>
      <w:r>
        <w:rPr>
          <w:i/>
          <w:iCs/>
        </w:rPr>
        <w:t xml:space="preserve">Andrews</w:t>
      </w:r>
      <w:r>
        <w:rPr>
          <w:i/>
          <w:iCs/>
        </w:rPr>
        <w:t xml:space="preserve"> </w:t>
      </w:r>
      <w:r>
        <w:rPr>
          <w:i/>
          <w:iCs/>
        </w:rPr>
        <w:t xml:space="preserve">v.</w:t>
      </w:r>
      <w:r>
        <w:rPr>
          <w:i/>
          <w:iCs/>
        </w:rPr>
        <w:t xml:space="preserve"> </w:t>
      </w:r>
      <w:r>
        <w:rPr>
          <w:i/>
          <w:iCs/>
        </w:rPr>
        <w:t xml:space="preserve">Warden</w:t>
      </w:r>
      <w:r>
        <w:t xml:space="preserve">,</w:t>
      </w:r>
      <w:r>
        <w:br/>
      </w:r>
      <w:r>
        <w:t xml:space="preserve">958</w:t>
      </w:r>
      <w:r>
        <w:t xml:space="preserve"> </w:t>
      </w:r>
      <w:r>
        <w:t xml:space="preserve">F.3d</w:t>
      </w:r>
      <w:r>
        <w:t xml:space="preserve"> </w:t>
      </w:r>
      <w:r>
        <w:t xml:space="preserve">1072</w:t>
      </w:r>
      <w:r>
        <w:t xml:space="preserve"> </w:t>
      </w:r>
      <w:r>
        <w:t xml:space="preserve">(11th</w:t>
      </w:r>
      <w:r>
        <w:t xml:space="preserve"> </w:t>
      </w:r>
      <w:r>
        <w:t xml:space="preserve">Cir.</w:t>
      </w:r>
      <w:r>
        <w:t xml:space="preserve"> </w:t>
      </w:r>
      <w:r>
        <w:t xml:space="preserve">2020)</w:t>
      </w:r>
      <w:r>
        <w:t xml:space="preserve">   </w:t>
      </w:r>
      <w:r>
        <w:tab/>
      </w:r>
      <w:r>
        <w:t xml:space="preserve">6, 7</w:t>
      </w:r>
    </w:p>
    <w:p>
      <w:pPr>
        <w:keepLines/>
        <w:tabs>
          <w:tab w:val="right" w:leader="dot" w:pos="9360"/>
        </w:tabs>
        <w:spacing w:before="196" w:after="0" w:line="350" w:lineRule="exact"/>
        <w:ind w:left="504" w:right="1120" w:hanging="504"/>
      </w:pPr>
      <w:r>
        <w:rPr>
          <w:i/>
          <w:iCs/>
        </w:rPr>
        <w:t xml:space="preserve">Dubin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599</w:t>
      </w:r>
      <w:r>
        <w:t xml:space="preserve"> </w:t>
      </w:r>
      <w:r>
        <w:t xml:space="preserve">U.S.</w:t>
      </w:r>
      <w:r>
        <w:t xml:space="preserve"> </w:t>
      </w:r>
      <w:r>
        <w:t xml:space="preserve">110</w:t>
      </w:r>
      <w:r>
        <w:t xml:space="preserve"> </w:t>
      </w:r>
      <w:r>
        <w:t xml:space="preserve">(2023)</w:t>
      </w:r>
      <w:r>
        <w:t xml:space="preserve">   </w:t>
      </w:r>
      <w:r>
        <w:tab/>
      </w:r>
      <w:r>
        <w:t xml:space="preserve">5</w:t>
      </w:r>
    </w:p>
    <w:p>
      <w:pPr>
        <w:keepLines/>
        <w:tabs>
          <w:tab w:val="right" w:leader="dot" w:pos="9360"/>
        </w:tabs>
        <w:spacing w:before="196" w:after="0" w:line="350" w:lineRule="exact"/>
        <w:ind w:left="504" w:right="1120" w:hanging="504"/>
      </w:pPr>
      <w:r>
        <w:rPr>
          <w:i/>
          <w:iCs/>
        </w:rPr>
        <w:t xml:space="preserve">Ingersoll-Rand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McClendon</w:t>
      </w:r>
      <w:r>
        <w:t xml:space="preserve">,</w:t>
      </w:r>
      <w:r>
        <w:br/>
      </w:r>
      <w:r>
        <w:t xml:space="preserve">498</w:t>
      </w:r>
      <w:r>
        <w:t xml:space="preserve"> </w:t>
      </w:r>
      <w:r>
        <w:t xml:space="preserve">U.S.</w:t>
      </w:r>
      <w:r>
        <w:t xml:space="preserve"> </w:t>
      </w:r>
      <w:r>
        <w:t xml:space="preserve">133</w:t>
      </w:r>
      <w:r>
        <w:t xml:space="preserve"> </w:t>
      </w:r>
      <w:r>
        <w:t xml:space="preserve">(1990)</w:t>
      </w:r>
      <w:r>
        <w:t xml:space="preserve">   </w:t>
      </w:r>
      <w:r>
        <w:tab/>
      </w:r>
      <w:r>
        <w:t xml:space="preserve">5</w:t>
      </w:r>
    </w:p>
    <w:p>
      <w:pPr>
        <w:keepLines/>
        <w:tabs>
          <w:tab w:val="right" w:leader="dot" w:pos="9360"/>
        </w:tabs>
        <w:spacing w:before="196" w:after="0" w:line="350" w:lineRule="exact"/>
        <w:ind w:left="504" w:right="1120" w:hanging="504"/>
      </w:pPr>
      <w:r>
        <w:rPr>
          <w:i/>
          <w:iCs/>
        </w:rPr>
        <w:t xml:space="preserve">Lamar,</w:t>
      </w:r>
      <w:r>
        <w:rPr>
          <w:i/>
          <w:iCs/>
        </w:rPr>
        <w:t xml:space="preserve"> </w:t>
      </w:r>
      <w:r>
        <w:rPr>
          <w:i/>
          <w:iCs/>
        </w:rPr>
        <w:t xml:space="preserve">Archer</w:t>
      </w:r>
      <w:r>
        <w:rPr>
          <w:i/>
          <w:iCs/>
        </w:rPr>
        <w:t xml:space="preserve"> </w:t>
      </w:r>
      <w:r>
        <w:rPr>
          <w:i/>
          <w:iCs/>
        </w:rPr>
        <w:t xml:space="preserve">&amp;</w:t>
      </w:r>
      <w:r>
        <w:rPr>
          <w:i/>
          <w:iCs/>
        </w:rPr>
        <w:t xml:space="preserve"> </w:t>
      </w:r>
      <w:r>
        <w:rPr>
          <w:i/>
          <w:iCs/>
        </w:rPr>
        <w:t xml:space="preserve">Cofrin,</w:t>
      </w:r>
      <w:r>
        <w:rPr>
          <w:i/>
          <w:iCs/>
        </w:rPr>
        <w:t xml:space="preserve"> </w:t>
      </w:r>
      <w:r>
        <w:rPr>
          <w:i/>
          <w:iCs/>
        </w:rPr>
        <w:t xml:space="preserve">LLP</w:t>
      </w:r>
      <w:r>
        <w:rPr>
          <w:i/>
          <w:iCs/>
        </w:rPr>
        <w:t xml:space="preserve"> </w:t>
      </w:r>
      <w:r>
        <w:rPr>
          <w:i/>
          <w:iCs/>
        </w:rPr>
        <w:t xml:space="preserve">v.</w:t>
      </w:r>
      <w:r>
        <w:rPr>
          <w:i/>
          <w:iCs/>
        </w:rPr>
        <w:t xml:space="preserve"> </w:t>
      </w:r>
      <w:r>
        <w:rPr>
          <w:i/>
          <w:iCs/>
        </w:rPr>
        <w:t xml:space="preserve">Appling</w:t>
      </w:r>
      <w:r>
        <w:t xml:space="preserve">,</w:t>
      </w:r>
      <w:r>
        <w:br/>
      </w:r>
      <w:r>
        <w:t xml:space="preserve">584</w:t>
      </w:r>
      <w:r>
        <w:t xml:space="preserve"> </w:t>
      </w:r>
      <w:r>
        <w:t xml:space="preserve">U.S.</w:t>
      </w:r>
      <w:r>
        <w:t xml:space="preserve"> </w:t>
      </w:r>
      <w:r>
        <w:t xml:space="preserve">709</w:t>
      </w:r>
      <w:r>
        <w:t xml:space="preserve"> </w:t>
      </w:r>
      <w:r>
        <w:t xml:space="preserve">(2018)</w:t>
      </w:r>
      <w:r>
        <w:t xml:space="preserve">   </w:t>
      </w:r>
      <w:r>
        <w:tab/>
      </w:r>
      <w:r>
        <w:t xml:space="preserve">5</w:t>
      </w:r>
    </w:p>
    <w:p>
      <w:pPr>
        <w:keepLines/>
        <w:tabs>
          <w:tab w:val="right" w:leader="dot" w:pos="9360"/>
        </w:tabs>
        <w:spacing w:before="196" w:after="0" w:line="350" w:lineRule="exact"/>
        <w:ind w:left="504" w:right="1120" w:hanging="504"/>
      </w:pPr>
      <w:r>
        <w:rPr>
          <w:i/>
          <w:iCs/>
        </w:rPr>
        <w:t xml:space="preserve">Rosemond</w:t>
      </w:r>
      <w:r>
        <w:rPr>
          <w:i/>
          <w:iCs/>
        </w:rPr>
        <w:t xml:space="preserve"> </w:t>
      </w:r>
      <w:r>
        <w:rPr>
          <w:i/>
          <w:iCs/>
        </w:rPr>
        <w:t xml:space="preserve">v.</w:t>
      </w:r>
      <w:r>
        <w:rPr>
          <w:i/>
          <w:iCs/>
        </w:rPr>
        <w:t xml:space="preserve"> </w:t>
      </w:r>
      <w:r>
        <w:rPr>
          <w:i/>
          <w:iCs/>
        </w:rPr>
        <w:t xml:space="preserve">Hudgins</w:t>
      </w:r>
      <w:r>
        <w:t xml:space="preserve">,</w:t>
      </w:r>
      <w:r>
        <w:br/>
      </w:r>
      <w:r>
        <w:t xml:space="preserve">92</w:t>
      </w:r>
      <w:r>
        <w:t xml:space="preserve"> </w:t>
      </w:r>
      <w:r>
        <w:t xml:space="preserve">F.4th</w:t>
      </w:r>
      <w:r>
        <w:t xml:space="preserve"> </w:t>
      </w:r>
      <w:r>
        <w:t xml:space="preserve">518</w:t>
      </w:r>
      <w:r>
        <w:t xml:space="preserve"> </w:t>
      </w:r>
      <w:r>
        <w:t xml:space="preserve">(4th</w:t>
      </w:r>
      <w:r>
        <w:t xml:space="preserve"> </w:t>
      </w:r>
      <w:r>
        <w:t xml:space="preserve">Cir.</w:t>
      </w:r>
      <w:r>
        <w:t xml:space="preserve"> </w:t>
      </w:r>
      <w:r>
        <w:t xml:space="preserve">2024)</w:t>
      </w:r>
      <w:r>
        <w:t xml:space="preserve">   </w:t>
      </w:r>
      <w:r>
        <w:tab/>
      </w:r>
      <w:r>
        <w:t xml:space="preserve">7</w:t>
      </w:r>
    </w:p>
    <w:p>
      <w:pPr>
        <w:keepLines/>
        <w:tabs>
          <w:tab w:val="right" w:leader="dot" w:pos="9360"/>
        </w:tabs>
        <w:spacing w:before="196" w:after="0" w:line="350" w:lineRule="exact"/>
        <w:ind w:left="504" w:right="1120" w:hanging="504"/>
      </w:pPr>
      <w:r>
        <w:rPr>
          <w:i/>
          <w:iCs/>
        </w:rPr>
        <w:t xml:space="preserve">The</w:t>
      </w:r>
      <w:r>
        <w:rPr>
          <w:i/>
          <w:iCs/>
        </w:rPr>
        <w:t xml:space="preserve"> </w:t>
      </w:r>
      <w:r>
        <w:rPr>
          <w:i/>
          <w:iCs/>
        </w:rPr>
        <w:t xml:space="preserve">Buena</w:t>
      </w:r>
      <w:r>
        <w:rPr>
          <w:i/>
          <w:iCs/>
        </w:rPr>
        <w:t xml:space="preserve"> </w:t>
      </w:r>
      <w:r>
        <w:rPr>
          <w:i/>
          <w:iCs/>
        </w:rPr>
        <w:t xml:space="preserve">Ventura</w:t>
      </w:r>
      <w:r>
        <w:t xml:space="preserve">,</w:t>
      </w:r>
      <w:r>
        <w:br/>
      </w:r>
      <w:r>
        <w:t xml:space="preserve">175</w:t>
      </w:r>
      <w:r>
        <w:t xml:space="preserve"> </w:t>
      </w:r>
      <w:r>
        <w:t xml:space="preserve">U.S.</w:t>
      </w:r>
      <w:r>
        <w:t xml:space="preserve"> </w:t>
      </w:r>
      <w:r>
        <w:t xml:space="preserve">384</w:t>
      </w:r>
      <w:r>
        <w:t xml:space="preserve"> </w:t>
      </w:r>
      <w:r>
        <w:t xml:space="preserve">(1899)</w:t>
      </w:r>
      <w:r>
        <w:t xml:space="preserve">   </w:t>
      </w:r>
      <w:r>
        <w:tab/>
      </w:r>
      <w:r>
        <w:t xml:space="preserve">5</w:t>
      </w:r>
    </w:p>
    <w:p>
      <w:pPr>
        <w:keepLines/>
        <w:tabs>
          <w:tab w:val="right" w:leader="dot" w:pos="9360"/>
        </w:tabs>
        <w:spacing w:before="196" w:after="0" w:line="35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Wilson</w:t>
      </w:r>
      <w:r>
        <w:t xml:space="preserve">,</w:t>
      </w:r>
      <w:r>
        <w:br/>
      </w:r>
      <w:r>
        <w:t xml:space="preserve">2025</w:t>
      </w:r>
      <w:r>
        <w:t xml:space="preserve"> </w:t>
      </w:r>
      <w:r>
        <w:t xml:space="preserve">WL</w:t>
      </w:r>
      <w:r>
        <w:t xml:space="preserve"> </w:t>
      </w:r>
      <w:r>
        <w:t xml:space="preserve">1009047</w:t>
      </w:r>
      <w:r>
        <w:t xml:space="preserve"> </w:t>
      </w:r>
      <w:r>
        <w:t xml:space="preserve">(D.D.C.</w:t>
      </w:r>
      <w:r>
        <w:t xml:space="preserve"> </w:t>
      </w:r>
      <w:r>
        <w:t xml:space="preserve">Mar.</w:t>
      </w:r>
      <w:r>
        <w:t xml:space="preserve"> </w:t>
      </w:r>
      <w:r>
        <w:t xml:space="preserve">13,</w:t>
      </w:r>
      <w:r>
        <w:t xml:space="preserve"> </w:t>
      </w:r>
      <w:r>
        <w:t xml:space="preserve">2025)</w:t>
      </w:r>
      <w:r>
        <w:t xml:space="preserve">   </w:t>
      </w:r>
      <w:r>
        <w:tab/>
      </w:r>
      <w:r>
        <w:t xml:space="preserve">3, 4</w:t>
      </w:r>
    </w:p>
    <w:p>
      <w:pPr>
        <w:keepLines/>
        <w:tabs>
          <w:tab w:val="right" w:leader="dot" w:pos="9360"/>
        </w:tabs>
        <w:spacing w:before="196" w:after="0" w:line="35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Wilson</w:t>
      </w:r>
      <w:r>
        <w:t xml:space="preserve">,</w:t>
      </w:r>
      <w:r>
        <w:br/>
      </w:r>
      <w:r>
        <w:t xml:space="preserve">32</w:t>
      </w:r>
      <w:r>
        <w:t xml:space="preserve"> </w:t>
      </w:r>
      <w:r>
        <w:t xml:space="preserve">U.S.</w:t>
      </w:r>
      <w:r>
        <w:t xml:space="preserve"> </w:t>
      </w:r>
      <w:r>
        <w:t xml:space="preserve">150</w:t>
      </w:r>
      <w:r>
        <w:t xml:space="preserve"> </w:t>
      </w:r>
      <w:r>
        <w:t xml:space="preserve">(1833)</w:t>
      </w:r>
      <w:r>
        <w:t xml:space="preserve">   </w:t>
      </w:r>
      <w:r>
        <w:tab/>
      </w:r>
      <w:r>
        <w:t xml:space="preserve">7</w:t>
      </w:r>
    </w:p>
    <w:p>
      <w:pPr>
        <w:keepNext/>
        <w:keepLines/>
        <w:tabs>
          <w:tab w:val="right" w:pos="9360"/>
        </w:tabs>
        <w:spacing w:before="392" w:after="56" w:line="350" w:lineRule="exact"/>
      </w:pPr>
      <w:r>
        <w:rPr>
          <w:b/>
          <w:bCs/>
        </w:rPr>
        <w:t xml:space="preserve">Statutes:</w:t>
      </w:r>
    </w:p>
    <w:p>
      <w:pPr>
        <w:keepLines/>
        <w:tabs>
          <w:tab w:val="right" w:leader="dot" w:pos="9360"/>
        </w:tabs>
        <w:spacing w:before="196" w:after="0" w:line="350" w:lineRule="exact"/>
        <w:ind w:left="504" w:right="1120" w:hanging="504"/>
      </w:pPr>
      <w:r>
        <w:t xml:space="preserve">18</w:t>
      </w:r>
      <w:r>
        <w:t xml:space="preserve"> </w:t>
      </w:r>
      <w:r>
        <w:t xml:space="preserve">U.S.C.</w:t>
      </w:r>
      <w:r>
        <w:t xml:space="preserve"> </w:t>
      </w:r>
      <w:r>
        <w:t xml:space="preserve">§</w:t>
      </w:r>
      <w:r>
        <w:t xml:space="preserve"> </w:t>
      </w:r>
      <w:r>
        <w:t xml:space="preserve">372</w:t>
      </w:r>
      <w:r>
        <w:t xml:space="preserve">   </w:t>
      </w:r>
      <w:r>
        <w:tab/>
      </w:r>
      <w:r>
        <w:t xml:space="preserve">1</w:t>
      </w:r>
    </w:p>
    <w:p>
      <w:pPr>
        <w:keepLines/>
        <w:tabs>
          <w:tab w:val="right" w:leader="dot" w:pos="9360"/>
        </w:tabs>
        <w:spacing w:before="196" w:after="0" w:line="350" w:lineRule="exact"/>
        <w:ind w:left="504" w:right="1120" w:hanging="504"/>
      </w:pPr>
      <w:r>
        <w:t xml:space="preserve">18</w:t>
      </w:r>
      <w:r>
        <w:t xml:space="preserve"> </w:t>
      </w:r>
      <w:r>
        <w:t xml:space="preserve">U.S.C.</w:t>
      </w:r>
      <w:r>
        <w:t xml:space="preserve"> </w:t>
      </w:r>
      <w:r>
        <w:t xml:space="preserve">§§</w:t>
      </w:r>
      <w:r>
        <w:t xml:space="preserve"> </w:t>
      </w:r>
      <w:r>
        <w:t xml:space="preserve">922(g)⁠(1)</w:t>
      </w:r>
      <w:r>
        <w:t xml:space="preserve"> </w:t>
      </w:r>
      <w:r>
        <w:t xml:space="preserve">&amp;</w:t>
      </w:r>
      <w:r>
        <w:t xml:space="preserve"> </w:t>
      </w:r>
      <w:r>
        <w:t xml:space="preserve">924(a)⁠(2)</w:t>
      </w:r>
      <w:r>
        <w:t xml:space="preserve">   </w:t>
      </w:r>
      <w:r>
        <w:tab/>
      </w:r>
      <w:r>
        <w:t xml:space="preserve">1</w:t>
      </w:r>
    </w:p>
    <w:p>
      <w:pPr>
        <w:keepLines/>
        <w:tabs>
          <w:tab w:val="right" w:leader="dot" w:pos="9360"/>
        </w:tabs>
        <w:spacing w:before="196" w:after="0" w:line="350" w:lineRule="exact"/>
        <w:ind w:left="504" w:right="1120" w:hanging="504"/>
      </w:pPr>
      <w:r>
        <w:t xml:space="preserve">26</w:t>
      </w:r>
      <w:r>
        <w:t xml:space="preserve"> </w:t>
      </w:r>
      <w:r>
        <w:t xml:space="preserve">U.S.C.</w:t>
      </w:r>
      <w:r>
        <w:t xml:space="preserve"> </w:t>
      </w:r>
      <w:r>
        <w:t xml:space="preserve">§§</w:t>
      </w:r>
      <w:r>
        <w:t xml:space="preserve"> </w:t>
      </w:r>
      <w:r>
        <w:t xml:space="preserve">5841,</w:t>
      </w:r>
      <w:r>
        <w:t xml:space="preserve"> </w:t>
      </w:r>
      <w:r>
        <w:t xml:space="preserve">5861(d),</w:t>
      </w:r>
      <w:r>
        <w:t xml:space="preserve"> </w:t>
      </w:r>
      <w:r>
        <w:t xml:space="preserve">&amp;</w:t>
      </w:r>
      <w:r>
        <w:t xml:space="preserve"> </w:t>
      </w:r>
      <w:r>
        <w:t xml:space="preserve">5871</w:t>
      </w:r>
      <w:r>
        <w:t xml:space="preserve">   </w:t>
      </w:r>
      <w:r>
        <w:tab/>
      </w:r>
      <w:r>
        <w:t xml:space="preserve">1</w:t>
      </w:r>
    </w:p>
    <w:p>
      <w:pPr>
        <w:keepLines/>
        <w:tabs>
          <w:tab w:val="right" w:leader="dot" w:pos="9360"/>
        </w:tabs>
        <w:spacing w:before="196" w:after="0" w:line="350" w:lineRule="exact"/>
        <w:ind w:left="504" w:right="1120" w:hanging="504"/>
      </w:pPr>
      <w:r>
        <w:t xml:space="preserve">28</w:t>
      </w:r>
      <w:r>
        <w:t xml:space="preserve"> </w:t>
      </w:r>
      <w:r>
        <w:t xml:space="preserve">U.S.C.</w:t>
      </w:r>
      <w:r>
        <w:t xml:space="preserve"> </w:t>
      </w:r>
      <w:r>
        <w:t xml:space="preserve">§</w:t>
      </w:r>
      <w:r>
        <w:t xml:space="preserve"> </w:t>
      </w:r>
      <w:r>
        <w:t xml:space="preserve">2255</w:t>
      </w:r>
      <w:r>
        <w:t xml:space="preserve">   </w:t>
      </w:r>
      <w:r>
        <w:tab/>
      </w:r>
      <w:r>
        <w:t xml:space="preserve">3, 7</w:t>
      </w:r>
    </w:p>
    <w:p>
      <w:pPr>
        <w:keepNext/>
        <w:keepLines/>
        <w:tabs>
          <w:tab w:val="right" w:pos="9360"/>
        </w:tabs>
        <w:spacing w:before="392" w:after="56" w:line="350" w:lineRule="exact"/>
      </w:pPr>
      <w:r>
        <w:rPr>
          <w:b/>
          <w:bCs/>
        </w:rPr>
        <w:t xml:space="preserve">Rules:</w:t>
      </w:r>
    </w:p>
    <w:p>
      <w:pPr>
        <w:keepLines/>
        <w:tabs>
          <w:tab w:val="right" w:leader="dot" w:pos="9360"/>
        </w:tabs>
        <w:spacing w:before="196" w:after="0" w:line="350" w:lineRule="exact"/>
        <w:ind w:left="504" w:right="1120" w:hanging="504"/>
      </w:pPr>
      <w:r>
        <w:t xml:space="preserve">Fed.</w:t>
      </w:r>
      <w:r>
        <w:t xml:space="preserve"> </w:t>
      </w:r>
      <w:r>
        <w:t xml:space="preserve">R.</w:t>
      </w:r>
      <w:r>
        <w:t xml:space="preserve"> </w:t>
      </w:r>
      <w:r>
        <w:t xml:space="preserve">Crim.</w:t>
      </w:r>
      <w:r>
        <w:t xml:space="preserve"> </w:t>
      </w:r>
      <w:r>
        <w:t xml:space="preserve">P.</w:t>
      </w:r>
      <w:r>
        <w:t xml:space="preserve"> </w:t>
      </w:r>
      <w:r>
        <w:t xml:space="preserve">20(a)</w:t>
      </w:r>
      <w:r>
        <w:t xml:space="preserve">   </w:t>
      </w:r>
      <w:r>
        <w:tab/>
      </w:r>
      <w:r>
        <w:t xml:space="preserve">2</w:t>
      </w:r>
    </w:p>
    <w:p>
      <w:pPr>
        <w:keepNext/>
        <w:keepLines/>
        <w:tabs>
          <w:tab w:val="right" w:pos="9360"/>
        </w:tabs>
        <w:spacing w:before="392" w:after="56" w:line="350" w:lineRule="exact"/>
      </w:pPr>
      <w:r>
        <w:rPr>
          <w:b/>
          <w:bCs/>
        </w:rPr>
        <w:t xml:space="preserve">Other Authorities:</w:t>
      </w:r>
    </w:p>
    <w:p>
      <w:pPr>
        <w:keepLines/>
        <w:tabs>
          <w:tab w:val="right" w:leader="dot" w:pos="9360"/>
        </w:tabs>
        <w:spacing w:before="196" w:after="0" w:line="350" w:lineRule="exact"/>
        <w:ind w:left="504" w:right="1120" w:hanging="504"/>
      </w:pPr>
      <w:r>
        <w:t xml:space="preserve">Proclamation</w:t>
      </w:r>
      <w:r>
        <w:t xml:space="preserve"> </w:t>
      </w:r>
      <w:r>
        <w:t xml:space="preserve">No.</w:t>
      </w:r>
      <w:r>
        <w:t xml:space="preserve"> </w:t>
      </w:r>
      <w:r>
        <w:t xml:space="preserve">10887,</w:t>
      </w:r>
      <w:r>
        <w:t xml:space="preserve"> </w:t>
      </w:r>
      <w:r>
        <w:t xml:space="preserve">90</w:t>
      </w:r>
      <w:r>
        <w:t xml:space="preserve"> </w:t>
      </w:r>
      <w:r>
        <w:t xml:space="preserve">Fed.</w:t>
      </w:r>
      <w:r>
        <w:t xml:space="preserve"> </w:t>
      </w:r>
      <w:r>
        <w:t xml:space="preserve">Reg.</w:t>
      </w:r>
      <w:r>
        <w:t xml:space="preserve"> </w:t>
      </w:r>
      <w:r>
        <w:t xml:space="preserve">8331</w:t>
      </w:r>
      <w:r>
        <w:t xml:space="preserve"> </w:t>
      </w:r>
      <w:r>
        <w:t xml:space="preserve">(Jan.</w:t>
      </w:r>
      <w:r>
        <w:t xml:space="preserve"> </w:t>
      </w:r>
      <w:r>
        <w:t xml:space="preserve">29,</w:t>
      </w:r>
      <w:r>
        <w:t xml:space="preserve"> </w:t>
      </w:r>
      <w:r>
        <w:t xml:space="preserve">2025)</w:t>
      </w:r>
      <w:r>
        <w:t xml:space="preserve">   </w:t>
      </w:r>
      <w:r>
        <w:tab/>
      </w:r>
      <w:r>
        <w:t xml:space="preserve">2</w:t>
      </w:r>
    </w:p>
    <w:p>
      <w:pPr>
        <w:spacing w:before="0" w:after="0" w:line="20" w:lineRule="exact"/>
        <w:sectPr>
          <w:footerReference w:type="default" r:id="rIdFtrPage"/>
          <w:pgSz w:w="12240" w:h="15840"/>
          <w:pgMar w:top="1440" w:right="1440" w:bottom="1440" w:left="1440" w:header="720" w:footer="676" w:gutter="0"/>
          <w:pgNumType w:fmt="lowerRoman" w:start="2"/>
        </w:sectPr>
      </w:pPr>
    </w:p>
    <w:p>
      <w:pPr>
        <w:pStyle w:val="Heading1"/>
        <w:keepNext/>
        <w:keepLines/>
        <w:spacing w:before="0" w:after="308" w:line="420" w:lineRule="exact"/>
        <w:ind w:left="0" w:firstLine="0"/>
        <w:jc w:val="center"/>
      </w:pPr>
      <w:r>
        <w:rPr>
          <w:b/>
          <w:bCs/>
          <w:sz w:val="32"/>
          <w:szCs w:val="32"/>
        </w:rPr>
        <w:t xml:space="preserve">ISSUE PRESENTED</w:t>
      </w:r>
    </w:p>
    <w:p>
      <w:pPr>
        <w:pStyle w:val="FirstParagraph"/>
      </w:pPr>
      <w:r>
        <w:t xml:space="preserve">Whether the district court erred when it concluded that Wilson’s offenses were not covered by President Trump’s pardon of “individuals convicted of offenses related to events that occurred at or near the United States Capitol on January 6, 2021.”</w:t>
      </w:r>
    </w:p>
    <w:p>
      <w:pPr>
        <w:pStyle w:val="Heading1"/>
        <w:keepNext/>
        <w:keepLines/>
        <w:spacing w:before="420" w:after="308" w:line="420" w:lineRule="exact"/>
        <w:ind w:left="0" w:firstLine="0"/>
        <w:jc w:val="center"/>
      </w:pPr>
      <w:r>
        <w:rPr>
          <w:b/>
          <w:bCs/>
          <w:sz w:val="32"/>
          <w:szCs w:val="32"/>
        </w:rPr>
        <w:t xml:space="preserve">STATEMENT OF THE CASE</w:t>
      </w:r>
    </w:p>
    <w:p>
      <w:pPr>
        <w:pStyle w:val="Heading2"/>
        <w:keepNext/>
        <w:keepLines/>
        <w:tabs>
          <w:tab w:val="left" w:pos="1440"/>
        </w:tabs>
        <w:spacing w:before="308" w:after="252" w:line="350" w:lineRule="exact"/>
        <w:ind w:left="1440" w:hanging="720"/>
      </w:pPr>
      <w:r>
        <w:rPr>
          <w:b/>
          <w:bCs/>
        </w:rPr>
        <w:t xml:space="preserve">A.</w:t>
      </w:r>
      <w:r>
        <w:rPr>
          <w:b/>
          <w:bCs/>
        </w:rPr>
        <w:tab/>
      </w:r>
      <w:r>
        <w:rPr>
          <w:b/>
          <w:bCs/>
        </w:rPr>
        <w:t xml:space="preserve">Procedural</w:t>
      </w:r>
      <w:r>
        <w:rPr>
          <w:b/>
          <w:bCs/>
        </w:rPr>
        <w:t xml:space="preserve"> </w:t>
      </w:r>
      <w:r>
        <w:rPr>
          <w:b/>
          <w:bCs/>
        </w:rPr>
        <w:t xml:space="preserve">History</w:t>
      </w:r>
    </w:p>
    <w:p>
      <w:pPr>
        <w:pStyle w:val="BodyText"/>
      </w:pPr>
      <w:r>
        <w:t xml:space="preserve">In June 2022, while investigating appellant Dan Wilson’s involvement in the January 6, 2021, attack on the United States Capitol, law enforcement agents executed a search warrant at Wilson’s home in the Western District of Kentucky (see Document (Doc.) 1</w:t>
      </w:r>
      <w:r>
        <w:noBreakHyphen/>
      </w:r>
      <w:r>
        <w:t xml:space="preserve">1 (Statement of Facts in support of Criminal Complaint) at 5</w:t>
      </w:r>
      <w:r>
        <w:noBreakHyphen/>
      </w:r>
      <w:r>
        <w:t xml:space="preserve">6; Doc. 59 (Statement of Offense) at 9</w:t>
      </w:r>
      <w:r>
        <w:noBreakHyphen/>
      </w:r>
      <w:r>
        <w:t xml:space="preserve">10).</w:t>
      </w:r>
      <w:r>
        <w:rPr>
          <w:rStyle w:val="FootnoteReference"/>
        </w:rPr>
        <w:footnoteReference w:id="9"/>
      </w:r>
      <w:r>
        <w:t xml:space="preserve"> </w:t>
      </w:r>
      <w:r>
        <w:t xml:space="preserve">Among other things, the agents found six firearms, which Wilson was prohibited from possessing as a result of his previous felony convictions (Doc. 1</w:t>
      </w:r>
      <w:r>
        <w:noBreakHyphen/>
      </w:r>
      <w:r>
        <w:t xml:space="preserve">1 at 5</w:t>
      </w:r>
      <w:r>
        <w:noBreakHyphen/>
      </w:r>
      <w:r>
        <w:t xml:space="preserve">6; Doc. 59 at 9</w:t>
      </w:r>
      <w:r>
        <w:noBreakHyphen/>
      </w:r>
      <w:r>
        <w:t xml:space="preserve">10).</w:t>
      </w:r>
    </w:p>
    <w:p>
      <w:pPr>
        <w:pStyle w:val="BodyText"/>
      </w:pPr>
      <w:r>
        <w:t xml:space="preserve">Wilson later entered a plea agreement in which he agreed to plead guilty to conspiracy to impede or injure an officer, in violation of 18 U.S.C. § 372; possession of a firearm by a prohibited person, in violation of 18 U.S.C. §§ 922(g)⁠(1) &amp; 924(a)⁠(2); and possession of an unregistered firearm, in violation of 26 U.S.C. §§ 5841, 5861(d), &amp; 5871 (Doc. 56 (plea agreement) at 1). The first charge arose from Wilson’s conduct leading up to and during the events of January 6, 2021 (Doc. 59 at 1</w:t>
      </w:r>
      <w:r>
        <w:noBreakHyphen/>
      </w:r>
      <w:r>
        <w:t xml:space="preserve">9). The latter two charges arose from the firearms found in Wilson’s home (id. at 9</w:t>
      </w:r>
      <w:r>
        <w:noBreakHyphen/>
      </w:r>
      <w:r>
        <w:t xml:space="preserve">10). As part of his plea agreement, Wilson agreed to have those charges transferred from the Western District of Kentucky to the District of Columbia under Federal Rule of Criminal Procedure 20(a) (id.).</w:t>
      </w:r>
    </w:p>
    <w:p>
      <w:pPr>
        <w:pStyle w:val="BodyText"/>
      </w:pPr>
      <w:r>
        <w:t xml:space="preserve">Wilson pleaded guilty on May 17, 2024 (5/17/24 Transcript (Tr.) 35</w:t>
      </w:r>
      <w:r>
        <w:noBreakHyphen/>
      </w:r>
      <w:r>
        <w:t xml:space="preserve">36). On August 28, 2024, the Honorable Dabney L. Friedrich sentenced Wilson to concurrent terms of 60 months in prison on each count, to be followed by three years of supervised release (8/28/24 Tr. 63</w:t>
      </w:r>
      <w:r>
        <w:noBreakHyphen/>
      </w:r>
      <w:r>
        <w:t xml:space="preserve">64). Wilson did not appeal.</w:t>
      </w:r>
    </w:p>
    <w:p>
      <w:pPr>
        <w:pStyle w:val="BodyText"/>
      </w:pPr>
      <w:r>
        <w:t xml:space="preserve">On January 20, 2025, President Trump issued a presidential proclamation granting “a full, complete and unconditional pardon to . . . individuals convicted of offenses related to events that occurred at or near the United States Capitol on January 6, 2021.” Proclamation No. 10887, 90 Fed. Reg. 8331 (Jan. 29, 2025). The proclamation excluded fourteen people from the pardon’s scope—Wilson was not one of them.</w:t>
      </w:r>
      <w:r>
        <w:t xml:space="preserve"> </w:t>
      </w:r>
      <w:r>
        <w:rPr>
          <w:i/>
          <w:iCs/>
        </w:rPr>
        <w:t xml:space="preserve">Id.</w:t>
      </w:r>
      <w:r>
        <w:t xml:space="preserve"> </w:t>
      </w:r>
      <w:r>
        <w:t xml:space="preserve">The pardon’s purpose, the President said, was to end a “grave national injustice” and begin a “process of national reconciliation.”</w:t>
      </w:r>
      <w:r>
        <w:t xml:space="preserve"> </w:t>
      </w:r>
      <w:r>
        <w:rPr>
          <w:i/>
          <w:iCs/>
        </w:rPr>
        <w:t xml:space="preserve">Id.</w:t>
      </w:r>
      <w:r>
        <w:t xml:space="preserve"> </w:t>
      </w:r>
      <w:r>
        <w:t xml:space="preserve">To ensure the full and expeditious implementation of the proclamation, the President delegated to the Attorney General the responsibility to “administer and effectuate the immediate issuance of certificates of pardon to all individuals described [in the pardon].”</w:t>
      </w:r>
      <w:r>
        <w:t xml:space="preserve"> </w:t>
      </w:r>
      <w:r>
        <w:rPr>
          <w:i/>
          <w:iCs/>
        </w:rPr>
        <w:t xml:space="preserve">Id.</w:t>
      </w:r>
      <w:r>
        <w:t xml:space="preserve"> </w:t>
      </w:r>
      <w:r>
        <w:t xml:space="preserve">Wilson received a certificate of pardon from the Department of Justice informing him that he had been “pardoned by the Presidential Proclamation of January 20, 2025,” and stating that the pardon covered his “convictions for offenses related to events that occurred at or near the United States Capitol on January 6, 2021” (Doc. 110, Exhibit A).</w:t>
      </w:r>
    </w:p>
    <w:p>
      <w:pPr>
        <w:pStyle w:val="BodyText"/>
      </w:pPr>
      <w:r>
        <w:t xml:space="preserve">Shortly after the President issued his proclamation, Wilson was released from custody by the Bureau of Prisons.</w:t>
      </w:r>
      <w:r>
        <w:t xml:space="preserve"> </w:t>
      </w:r>
      <w:r>
        <w:rPr>
          <w:i/>
          <w:iCs/>
        </w:rPr>
        <w:t xml:space="preserve">United States v. Wilson</w:t>
      </w:r>
      <w:r>
        <w:t xml:space="preserve">, 2025 WL 1009047, at *1 (D.D.C. Mar. 13, 2025). The Bureau of Prisons subsequently sought to have Wilson return to custody, prompting Wilson to move for a stay of any order requiring his reincarceration (Doc. 100). The district court granted a stay and ordered the government to “file a brief, with supporting legal authority, that sets forth its position as to why the Court should not order the defendant to self-report to the Federal Bureau of Prisons to serve the remainder of his sentence on the firearms offenses, which are unrelated to the defendant’s criminal conduct on January 6, 2021” (2/3/25 Minute Order).</w:t>
      </w:r>
    </w:p>
    <w:p>
      <w:pPr>
        <w:pStyle w:val="Heading2"/>
        <w:keepNext/>
        <w:keepLines/>
        <w:tabs>
          <w:tab w:val="left" w:pos="1440"/>
        </w:tabs>
        <w:spacing w:before="308" w:after="252" w:line="350" w:lineRule="exact"/>
        <w:ind w:left="1440" w:hanging="720"/>
      </w:pPr>
      <w:r>
        <w:rPr>
          <w:b/>
          <w:bCs/>
        </w:rPr>
        <w:t xml:space="preserve">B.</w:t>
      </w:r>
      <w:r>
        <w:rPr>
          <w:b/>
          <w:bCs/>
        </w:rPr>
        <w:tab/>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Denying</w:t>
      </w:r>
      <w:r>
        <w:rPr>
          <w:b/>
          <w:bCs/>
        </w:rPr>
        <w:t xml:space="preserve"> </w:t>
      </w:r>
      <w:r>
        <w:rPr>
          <w:b/>
          <w:bCs/>
        </w:rPr>
        <w:t xml:space="preserve">Wilson’s</w:t>
      </w:r>
      <w:r>
        <w:rPr>
          <w:b/>
          <w:bCs/>
        </w:rPr>
        <w:t xml:space="preserve"> </w:t>
      </w:r>
      <w:r>
        <w:rPr>
          <w:b/>
          <w:bCs/>
        </w:rPr>
        <w:t xml:space="preserve">§</w:t>
      </w:r>
      <w:r>
        <w:rPr>
          <w:b/>
          <w:bCs/>
        </w:rPr>
        <w:t xml:space="preserve"> </w:t>
      </w:r>
      <w:r>
        <w:rPr>
          <w:b/>
          <w:bCs/>
        </w:rPr>
        <w:t xml:space="preserve">2255</w:t>
      </w:r>
      <w:r>
        <w:rPr>
          <w:b/>
          <w:bCs/>
        </w:rPr>
        <w:t xml:space="preserve"> </w:t>
      </w:r>
      <w:r>
        <w:rPr>
          <w:b/>
          <w:bCs/>
        </w:rPr>
        <w:t xml:space="preserve">Motion</w:t>
      </w:r>
    </w:p>
    <w:p>
      <w:pPr>
        <w:pStyle w:val="BodyText"/>
      </w:pPr>
      <w:r>
        <w:t xml:space="preserve">On March 13, 2025, the district court entered an order denying Wilson’s 28 U.S.C. § 2255 motion.</w:t>
      </w:r>
      <w:r>
        <w:t xml:space="preserve"> </w:t>
      </w:r>
      <w:r>
        <w:rPr>
          <w:i/>
          <w:iCs/>
        </w:rPr>
        <w:t xml:space="preserve">See</w:t>
      </w:r>
      <w:r>
        <w:t xml:space="preserve"> </w:t>
      </w:r>
      <w:r>
        <w:rPr>
          <w:i/>
          <w:iCs/>
        </w:rPr>
        <w:t xml:space="preserve">United States v. Wilson</w:t>
      </w:r>
      <w:r>
        <w:t xml:space="preserve">, 2025 WL 1009047, at *9 (D.D.C. Mar. 13, 2025). In the accompanying opinion, the court determined that, for an offense to fall within the President’s pardon, “it must be tethered to a specific time—January 6, 2021—and place—at or near the U.S. Capitol.”</w:t>
      </w:r>
      <w:r>
        <w:t xml:space="preserve"> </w:t>
      </w:r>
      <w:r>
        <w:rPr>
          <w:i/>
          <w:iCs/>
        </w:rPr>
        <w:t xml:space="preserve">Id.</w:t>
      </w:r>
      <w:r>
        <w:t xml:space="preserve"> </w:t>
      </w:r>
      <w:r>
        <w:t xml:space="preserve">at *4. The court concluded that, “[b]ecause Wilson did not use the firearms he possessed in Kentucky when he conspired to impede and injure officers at the Capitol on January 6, 2021, his firearm convictions are not covered by the Presidential Pardon.”</w:t>
      </w:r>
      <w:r>
        <w:t xml:space="preserve"> </w:t>
      </w:r>
      <w:r>
        <w:rPr>
          <w:i/>
          <w:iCs/>
        </w:rPr>
        <w:t xml:space="preserve">Id.</w:t>
      </w:r>
    </w:p>
    <w:p>
      <w:pPr>
        <w:pStyle w:val="Heading1"/>
        <w:keepNext/>
        <w:keepLines/>
        <w:spacing w:before="420" w:after="308" w:line="420" w:lineRule="exact"/>
        <w:ind w:left="0" w:firstLine="0"/>
        <w:jc w:val="center"/>
      </w:pPr>
      <w:r>
        <w:rPr>
          <w:b/>
          <w:bCs/>
          <w:sz w:val="32"/>
          <w:szCs w:val="32"/>
        </w:rPr>
        <w:t xml:space="preserve">SUMMARY OF ARGUMENT</w:t>
      </w:r>
    </w:p>
    <w:p>
      <w:pPr>
        <w:pStyle w:val="BodyText"/>
      </w:pPr>
      <w:r>
        <w:t xml:space="preserve">The pardon at issue in this case reaches any conviction or charged conduct that is “related to the events that occurred at or near the United States Capitol on January 6, 2021.” That language is not limited solely to offenses that occurred at the U.S. Capitol on January 6, 2021. In the context of President Trump’s intent that the pardon will end a “grave national injustice” and begin a “process of national reconciliation,” the pardon’s remedial purpose will not be achieved if people subjected to January 6-related investigations continue to be prosecuted for certain in-home offenses that would not have been discovered but for those investigations. Wilson’s firearms offenses were just such offenses, and thus the Department of Justice reasonably concluded that the pardon covers them.</w:t>
      </w:r>
    </w:p>
    <w:p>
      <w:pPr>
        <w:pStyle w:val="Heading1"/>
        <w:keepNext/>
        <w:keepLines/>
        <w:spacing w:before="420" w:after="308" w:line="420" w:lineRule="exact"/>
        <w:ind w:left="0" w:firstLine="0"/>
        <w:jc w:val="center"/>
      </w:pPr>
      <w:r>
        <w:rPr>
          <w:b/>
          <w:bCs/>
          <w:sz w:val="32"/>
          <w:szCs w:val="32"/>
        </w:rPr>
        <w:t xml:space="preserve">ARGUMENT</w:t>
      </w:r>
    </w:p>
    <w:p>
      <w:pPr>
        <w:pStyle w:val="Heading2"/>
        <w:keepNext/>
        <w:keepLines/>
        <w:spacing w:before="336" w:after="280" w:line="35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Concluded</w:t>
      </w:r>
      <w:r>
        <w:rPr>
          <w:b/>
          <w:bCs/>
        </w:rPr>
        <w:t xml:space="preserve"> </w:t>
      </w:r>
      <w:r>
        <w:rPr>
          <w:b/>
          <w:bCs/>
        </w:rPr>
        <w:t xml:space="preserve">that</w:t>
      </w:r>
      <w:r>
        <w:rPr>
          <w:b/>
          <w:bCs/>
        </w:rPr>
        <w:t xml:space="preserve"> </w:t>
      </w:r>
      <w:r>
        <w:rPr>
          <w:b/>
          <w:bCs/>
        </w:rPr>
        <w:t xml:space="preserve">Wilson’s</w:t>
      </w:r>
      <w:r>
        <w:rPr>
          <w:b/>
          <w:bCs/>
        </w:rPr>
        <w:t xml:space="preserve"> </w:t>
      </w:r>
      <w:r>
        <w:rPr>
          <w:b/>
          <w:bCs/>
        </w:rPr>
        <w:t xml:space="preserve">Firearms</w:t>
      </w:r>
      <w:r>
        <w:rPr>
          <w:b/>
          <w:bCs/>
        </w:rPr>
        <w:t xml:space="preserve"> </w:t>
      </w:r>
      <w:r>
        <w:rPr>
          <w:b/>
          <w:bCs/>
        </w:rPr>
        <w:t xml:space="preserve">Offenses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Covered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President’s</w:t>
      </w:r>
      <w:r>
        <w:rPr>
          <w:b/>
          <w:bCs/>
        </w:rPr>
        <w:t xml:space="preserve"> </w:t>
      </w:r>
      <w:r>
        <w:rPr>
          <w:b/>
          <w:bCs/>
        </w:rPr>
        <w:t xml:space="preserve">Pardon.</w:t>
      </w:r>
    </w:p>
    <w:p>
      <w:pPr>
        <w:pStyle w:val="BodyText"/>
      </w:pPr>
      <w:r>
        <w:t xml:space="preserve">The President’s proclamation provided, as relevant, that the pardon reaches any conviction or charged conduct that is “related to the events that occurred at or near the United States Capitol on January 6, 2021.” 90 Fed. Reg. at 8331. That language is plainly not limited solely to offenses that occurred at the U.S. Capitol on January 6, 2021. The words “relate[d] to” in their “normal sense” have a “broad common-sense meaning” that potentially reaches anything having “a connection with” the related-to events.</w:t>
      </w:r>
      <w:r>
        <w:t xml:space="preserve"> </w:t>
      </w:r>
      <w:r>
        <w:rPr>
          <w:i/>
          <w:iCs/>
        </w:rPr>
        <w:t xml:space="preserve">Ingersoll-Rand Co. v. McClendon</w:t>
      </w:r>
      <w:r>
        <w:t xml:space="preserve">, 498 U.S. 133, 139 (1990). So when construing “language including the phrase ‘relat[ed] to,’” courts “typically read the relevant text expansively.”</w:t>
      </w:r>
      <w:r>
        <w:t xml:space="preserve"> </w:t>
      </w:r>
      <w:r>
        <w:rPr>
          <w:i/>
          <w:iCs/>
        </w:rPr>
        <w:t xml:space="preserve">Lamar, Archer &amp; Cofrin, LLP v. Appling</w:t>
      </w:r>
      <w:r>
        <w:t xml:space="preserve">, 584 U.S. 709, 717 (2018). How expansively depends on the “context.”</w:t>
      </w:r>
      <w:r>
        <w:t xml:space="preserve"> </w:t>
      </w:r>
      <w:r>
        <w:rPr>
          <w:i/>
          <w:iCs/>
        </w:rPr>
        <w:t xml:space="preserve">Dubin v. United States</w:t>
      </w:r>
      <w:r>
        <w:t xml:space="preserve">, 599 U.S. 110, 119 (2023) (“That the phrase [‘relate to’] refers to a relationship or nexus of some kind is clear. Yet the kind of relationship required, its nature and strength, will be informed by context.” (internal citation omitted)).</w:t>
      </w:r>
    </w:p>
    <w:p>
      <w:pPr>
        <w:pStyle w:val="BodyText"/>
      </w:pPr>
      <w:r>
        <w:t xml:space="preserve">The relevant context—as provided in the proclamation itself—is President Trump’s intent that the pardon will end a “grave national injustice” and begin a “process of national reconciliation.” 90 Fed. Reg. at 8331;</w:t>
      </w:r>
      <w:r>
        <w:t xml:space="preserve"> </w:t>
      </w:r>
      <w:r>
        <w:rPr>
          <w:i/>
          <w:iCs/>
        </w:rPr>
        <w:t xml:space="preserve">see also</w:t>
      </w:r>
      <w:r>
        <w:t xml:space="preserve"> </w:t>
      </w:r>
      <w:r>
        <w:rPr>
          <w:i/>
          <w:iCs/>
        </w:rPr>
        <w:t xml:space="preserve">The Buena Ventura</w:t>
      </w:r>
      <w:r>
        <w:t xml:space="preserve">, 175 U.S. 384, 394 (1899) (declining to give a cramped construction to a presidential proclamation on the ground that the President “never intended it”). The proclamation’s remedial purpose will not be achieved if people subjected to January 6-related investigations continue to be prosecuted for certain in-home offenses that would not have been discovered but for those investigations. Whether an offense falls within the scope of this remedial purpose—and thus is “related to” the events at the Capitol on January 6—involves a fact-intensive and case-specific inquiry.</w:t>
      </w:r>
    </w:p>
    <w:p>
      <w:pPr>
        <w:pStyle w:val="BodyText"/>
      </w:pPr>
      <w:r>
        <w:t xml:space="preserve">Here, the Department has determined that there is no sound reason to believe that Wilson’s possession of firearms at his home, while being a prohibited person, would have been discovered in any way other than as the unexpected byproduct of executing a search warrant seeking evidence related to Wilson’s conduct at the U.S. Capitol on January 6. For example, there was no victim or witness who feasibly would have reported this offense to the authorities, nor any investigation unrelated to the events of January 6, 2021, that might have otherwise uncovered it.</w:t>
      </w:r>
    </w:p>
    <w:p>
      <w:pPr>
        <w:pStyle w:val="BodyText"/>
      </w:pPr>
      <w:r>
        <w:t xml:space="preserve">In sum, the Department has concluded that were it not for Wilson’s involvement in “the events that occurred at or near the United States Capitol on January 6, 2021,” 90 Fed. Reg. at 8331, his firearms offenses would not have come to light, let alone been prosecuted. His convictions are sufficiently “related to” those events to fall within the pardon’s scope as described in the presidential proclamation’s text.</w:t>
      </w:r>
    </w:p>
    <w:p>
      <w:pPr>
        <w:pStyle w:val="BodyText"/>
      </w:pPr>
      <w:r>
        <w:t xml:space="preserve">In reviewing the Department’s reading of the President’s pardon, “deference should be accorded to an executive agency’s interpretation of an executive order it is charged with administering,” including in the context of a pardon.</w:t>
      </w:r>
      <w:r>
        <w:t xml:space="preserve"> </w:t>
      </w:r>
      <w:r>
        <w:rPr>
          <w:i/>
          <w:iCs/>
        </w:rPr>
        <w:t xml:space="preserve">Andrews v. Warden</w:t>
      </w:r>
      <w:r>
        <w:t xml:space="preserve">, 958 F.3d 1072, 1078 (11th Cir. 2020). As the Eleventh Circuit has observed, “deference to an agency’s interpretation is sensible in this context, where a court cannot even review a pardon that a recipient has not presented to it.”</w:t>
      </w:r>
      <w:r>
        <w:t xml:space="preserve"> </w:t>
      </w:r>
      <w:r>
        <w:rPr>
          <w:i/>
          <w:iCs/>
        </w:rPr>
        <w:t xml:space="preserve">Id.</w:t>
      </w:r>
      <w:r>
        <w:t xml:space="preserve"> </w:t>
      </w:r>
      <w:r>
        <w:t xml:space="preserve">(citing</w:t>
      </w:r>
      <w:r>
        <w:t xml:space="preserve"> </w:t>
      </w:r>
      <w:r>
        <w:rPr>
          <w:i/>
          <w:iCs/>
        </w:rPr>
        <w:t xml:space="preserve">United States v. Wilson</w:t>
      </w:r>
      <w:r>
        <w:t xml:space="preserve">, 32 U.S. 150, 161</w:t>
      </w:r>
      <w:r>
        <w:noBreakHyphen/>
      </w:r>
      <w:r>
        <w:t xml:space="preserve">63 (1833)). And as the Fourth Circuit has recognized, the Judicial Branch’s role with respect to pardons is quite limited.</w:t>
      </w:r>
      <w:r>
        <w:t xml:space="preserve"> </w:t>
      </w:r>
      <w:r>
        <w:rPr>
          <w:i/>
          <w:iCs/>
        </w:rPr>
        <w:t xml:space="preserve">See</w:t>
      </w:r>
      <w:r>
        <w:t xml:space="preserve"> </w:t>
      </w:r>
      <w:r>
        <w:rPr>
          <w:i/>
          <w:iCs/>
        </w:rPr>
        <w:t xml:space="preserve">Rosemond v. Hudgins</w:t>
      </w:r>
      <w:r>
        <w:t xml:space="preserve">, 92 F.4th 518, 525</w:t>
      </w:r>
      <w:r>
        <w:noBreakHyphen/>
      </w:r>
      <w:r>
        <w:t xml:space="preserve">26 (4th Cir. 2024). Because the Department’s position on the pardon is reasonable, it warrants deference.</w:t>
      </w:r>
      <w:r>
        <w:t xml:space="preserve"> </w:t>
      </w:r>
      <w:r>
        <w:rPr>
          <w:i/>
          <w:iCs/>
        </w:rPr>
        <w:t xml:space="preserve">Andrews</w:t>
      </w:r>
      <w:r>
        <w:t xml:space="preserve">, 958 F.3d at 1078.</w:t>
      </w:r>
    </w:p>
    <w:p>
      <w:pPr>
        <w:pStyle w:val="Heading1"/>
        <w:keepNext/>
        <w:keepLines/>
        <w:spacing w:before="420" w:after="308" w:line="420" w:lineRule="exact"/>
        <w:ind w:left="0" w:firstLine="0"/>
        <w:jc w:val="center"/>
      </w:pPr>
      <w:r>
        <w:rPr>
          <w:b/>
          <w:bCs/>
          <w:sz w:val="32"/>
          <w:szCs w:val="32"/>
        </w:rPr>
        <w:t xml:space="preserve">CONCLUSION</w:t>
      </w:r>
    </w:p>
    <w:p>
      <w:pPr>
        <w:keepNext/>
        <w:keepLines/>
        <w:spacing w:before="0" w:after="0" w:line="528" w:lineRule="exact"/>
        <w:ind w:left="0" w:firstLine="720"/>
      </w:pPr>
      <w:r>
        <w:t xml:space="preserve">WHEREFORE,</w:t>
      </w:r>
      <w:r>
        <w:t xml:space="preserve"> </w:t>
      </w:r>
      <w:r>
        <w:t xml:space="preserve">the</w:t>
      </w:r>
      <w:r>
        <w:t xml:space="preserve"> </w:t>
      </w:r>
      <w:r>
        <w:t xml:space="preserve">government</w:t>
      </w:r>
      <w:r>
        <w:t xml:space="preserve"> </w:t>
      </w:r>
      <w:r>
        <w:t xml:space="preserve">respectfully</w:t>
      </w:r>
      <w:r>
        <w:t xml:space="preserve"> </w:t>
      </w:r>
      <w:r>
        <w:t xml:space="preserve">submits</w:t>
      </w:r>
      <w:r>
        <w:t xml:space="preserve"> </w:t>
      </w:r>
      <w:r>
        <w:t xml:space="preserve">that</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denying</w:t>
      </w:r>
      <w:r>
        <w:t xml:space="preserve"> </w:t>
      </w:r>
      <w:r>
        <w:t xml:space="preserve">Wilson’s</w:t>
      </w:r>
      <w:r>
        <w:t xml:space="preserve"> </w:t>
      </w:r>
      <w:r>
        <w:t xml:space="preserve">§</w:t>
      </w:r>
      <w:r>
        <w:t xml:space="preserve"> </w:t>
      </w:r>
      <w:r>
        <w:t xml:space="preserve">2255</w:t>
      </w:r>
      <w:r>
        <w:t xml:space="preserve"> </w:t>
      </w:r>
      <w:r>
        <w:t xml:space="preserve">motion</w:t>
      </w:r>
      <w:r>
        <w:t xml:space="preserve"> </w:t>
      </w:r>
      <w:r>
        <w:t xml:space="preserve">should</w:t>
      </w:r>
      <w:r>
        <w:t xml:space="preserve"> </w:t>
      </w:r>
      <w:r>
        <w:t xml:space="preserve">be</w:t>
      </w:r>
      <w:r>
        <w:t xml:space="preserve"> </w:t>
      </w:r>
      <w:r>
        <w:t xml:space="preserve">reversed.</w:t>
      </w:r>
    </w:p>
    <w:p>
      <w:pPr>
        <w:keepNext/>
        <w:keepLines/>
        <w:spacing w:before="392" w:after="0" w:line="350" w:lineRule="exact"/>
        <w:ind w:left="4680" w:firstLine="0"/>
      </w:pPr>
      <w:r>
        <w:t xml:space="preserve">Respectfully submitted,</w:t>
      </w:r>
    </w:p>
    <w:p>
      <w:pPr>
        <w:keepNext/>
        <w:keepLines/>
        <w:spacing w:before="336" w:after="0" w:line="350" w:lineRule="exact"/>
        <w:ind w:left="4680" w:firstLine="0"/>
      </w:pPr>
      <w:r>
        <w:t xml:space="preserve">/s/ Daniel J. Lenerz</w:t>
      </w:r>
    </w:p>
    <w:p>
      <w:pPr>
        <w:keepNext/>
        <w:keepLines/>
        <w:spacing w:before="0" w:after="0" w:line="350" w:lineRule="exact"/>
        <w:ind w:left="4680" w:firstLine="0"/>
      </w:pPr>
      <w:r>
        <w:t xml:space="preserve">DANIEL J. LENERZ</w:t>
      </w:r>
    </w:p>
    <w:p>
      <w:pPr>
        <w:keepNext/>
        <w:keepLines/>
        <w:spacing w:before="0" w:after="0" w:line="350" w:lineRule="exact"/>
        <w:ind w:left="4680" w:firstLine="140"/>
      </w:pPr>
      <w:r>
        <w:rPr>
          <w:i/>
          <w:iCs/>
        </w:rPr>
        <w:t xml:space="preserve">Assistant</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Attorney</w:t>
      </w:r>
    </w:p>
    <w:p>
      <w:pPr>
        <w:keepNext/>
        <w:keepLines/>
        <w:spacing w:before="0" w:after="0" w:line="350" w:lineRule="exact"/>
        <w:ind w:left="4680" w:firstLine="140"/>
      </w:pPr>
      <w:r>
        <w:rPr>
          <w:i/>
          <w:iCs/>
        </w:rPr>
        <w:t xml:space="preserve">601</w:t>
      </w:r>
      <w:r>
        <w:rPr>
          <w:i/>
          <w:iCs/>
        </w:rPr>
        <w:t xml:space="preserve"> </w:t>
      </w:r>
      <w:r>
        <w:rPr>
          <w:i/>
          <w:iCs/>
        </w:rPr>
        <w:t xml:space="preserve">D</w:t>
      </w:r>
      <w:r>
        <w:rPr>
          <w:i/>
          <w:iCs/>
        </w:rPr>
        <w:t xml:space="preserve"> </w:t>
      </w:r>
      <w:r>
        <w:rPr>
          <w:i/>
          <w:iCs/>
        </w:rPr>
        <w:t xml:space="preserve">Street,</w:t>
      </w:r>
      <w:r>
        <w:rPr>
          <w:i/>
          <w:iCs/>
        </w:rPr>
        <w:t xml:space="preserve"> </w:t>
      </w:r>
      <w:r>
        <w:rPr>
          <w:i/>
          <w:iCs/>
        </w:rPr>
        <w:t xml:space="preserve">NW,</w:t>
      </w:r>
      <w:r>
        <w:rPr>
          <w:i/>
          <w:iCs/>
        </w:rPr>
        <w:t xml:space="preserve"> </w:t>
      </w:r>
      <w:r>
        <w:rPr>
          <w:i/>
          <w:iCs/>
        </w:rPr>
        <w:t xml:space="preserve">Room</w:t>
      </w:r>
      <w:r>
        <w:rPr>
          <w:i/>
          <w:iCs/>
        </w:rPr>
        <w:t xml:space="preserve"> </w:t>
      </w:r>
      <w:r>
        <w:rPr>
          <w:i/>
          <w:iCs/>
        </w:rPr>
        <w:t xml:space="preserve">6.232</w:t>
      </w:r>
    </w:p>
    <w:p>
      <w:pPr>
        <w:keepNext/>
        <w:keepLines/>
        <w:spacing w:before="0" w:after="0" w:line="35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20530</w:t>
      </w:r>
    </w:p>
    <w:p>
      <w:pPr>
        <w:keepNext/>
        <w:keepLines/>
        <w:spacing w:before="0" w:after="0" w:line="350" w:lineRule="exact"/>
        <w:ind w:left="4680" w:firstLine="140"/>
      </w:pPr>
      <w:r>
        <w:rPr>
          <w:i/>
          <w:iCs/>
        </w:rPr>
        <w:t xml:space="preserve">Daniel.Lenerz@usdoj.gov</w:t>
      </w:r>
    </w:p>
    <w:p>
      <w:pPr>
        <w:keepLines/>
        <w:spacing w:before="0" w:after="0" w:line="350" w:lineRule="exact"/>
        <w:ind w:left="4680" w:firstLine="140"/>
      </w:pPr>
      <w:r>
        <w:rPr>
          <w:i/>
          <w:iCs/>
        </w:rPr>
        <w:t xml:space="preserve">(202)</w:t>
      </w:r>
      <w:r>
        <w:rPr>
          <w:i/>
          <w:iCs/>
        </w:rPr>
        <w:t xml:space="preserve"> </w:t>
      </w:r>
      <w:r>
        <w:rPr>
          <w:i/>
          <w:iCs/>
        </w:rPr>
        <w:t xml:space="preserve">252</w:t>
        <w:noBreakHyphen/>
        <w:t xml:space="preserve">6829</w:t>
      </w:r>
    </w:p>
    <w:p>
      <w:pPr>
        <w:keepNext/>
        <w:keepLines/>
        <w:pageBreakBefore/>
        <w:spacing w:before="0" w:after="308" w:line="420" w:lineRule="exact"/>
        <w:ind w:left="0" w:firstLine="0"/>
        <w:jc w:val="center"/>
      </w:pPr>
      <w:r>
        <w:rPr>
          <w:b/>
          <w:bCs/>
          <w:sz w:val="32"/>
          <w:szCs w:val="32"/>
        </w:rPr>
        <w:t xml:space="preserve">CERTIFICATE OF COMPLIANCE</w:t>
      </w:r>
    </w:p>
    <w:p>
      <w:pPr>
        <w:spacing w:before="0" w:after="0" w:line="350" w:lineRule="exact"/>
        <w:ind w:left="0" w:firstLine="0"/>
      </w:pPr>
      <w:r>
        <w:t xml:space="preserve">I HEREBY CERTIFY pursuant to Fed. R. App. P. 32(g) that this brief contains 1,505 words, excluding the parts of the brief exempted by Fed. R. App. P. 32(f) and D.C. Circuit Rule 32(e)⁠(1), and therefore complies with the type-volume limitation of Fed. R. App. P. 32(a)⁠(7)⁠(B). This brief has been prepared in 14-point TeX Gyre Schola, a proportionally spaced typeface.</w:t>
      </w:r>
    </w:p>
    <w:p>
      <w:pPr>
        <w:keepNext/>
        <w:keepLines/>
        <w:spacing w:before="448" w:after="0" w:line="350" w:lineRule="exact"/>
        <w:ind w:left="4680" w:firstLine="0"/>
      </w:pPr>
      <w:r>
        <w:t xml:space="preserve">/s/ Daniel J. Lenerz</w:t>
      </w:r>
    </w:p>
    <w:p>
      <w:pPr>
        <w:keepNext/>
        <w:keepLines/>
        <w:spacing w:before="0" w:after="0" w:line="350" w:lineRule="exact"/>
        <w:ind w:left="4680" w:firstLine="0"/>
      </w:pPr>
      <w:r>
        <w:t xml:space="preserve">DANIEL J. LENERZ</w:t>
      </w:r>
    </w:p>
    <w:p>
      <w:pPr>
        <w:keepLines/>
        <w:spacing w:before="0" w:after="0" w:line="350" w:lineRule="exact"/>
        <w:ind w:left="4680" w:firstLine="140"/>
      </w:pPr>
      <w:r>
        <w:rPr>
          <w:i/>
          <w:iCs/>
        </w:rPr>
        <w:t xml:space="preserve">Assistant</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Attorney</w:t>
      </w:r>
    </w:p>
    <w:p>
      <w:pPr>
        <w:keepNext/>
        <w:keepLines/>
        <w:pageBreakBefore/>
        <w:spacing w:before="0" w:after="308" w:line="420" w:lineRule="exact"/>
        <w:ind w:left="0" w:firstLine="0"/>
        <w:jc w:val="center"/>
      </w:pPr>
      <w:r>
        <w:rPr>
          <w:b/>
          <w:bCs/>
          <w:sz w:val="32"/>
          <w:szCs w:val="32"/>
        </w:rPr>
        <w:t xml:space="preserve">CERTIFICATE OF SERVICE</w:t>
      </w:r>
    </w:p>
    <w:p>
      <w:pPr>
        <w:spacing w:before="0" w:after="0" w:line="350" w:lineRule="exact"/>
        <w:ind w:left="0" w:firstLine="0"/>
      </w:pPr>
      <w:r>
        <w:t xml:space="preserve">I HEREBY CERTIFY that I have caused a copy of the foregoing </w:t>
      </w:r>
      <w:r>
        <w:t xml:space="preserve">Brief</w:t>
      </w:r>
      <w:r>
        <w:t xml:space="preserve"> </w:t>
      </w:r>
      <w:r>
        <w:t xml:space="preserve">for</w:t>
      </w:r>
      <w:r>
        <w:t xml:space="preserve"> </w:t>
      </w:r>
      <w:r>
        <w:t xml:space="preserve">Appellee</w:t>
      </w:r>
      <w:r>
        <w:t xml:space="preserve"> to be served by electronic means, through the Court’s CM/ECF system, upon </w:t>
      </w:r>
      <w:r>
        <w:t xml:space="preserve">counsel</w:t>
      </w:r>
      <w:r>
        <w:t xml:space="preserve"> </w:t>
      </w:r>
      <w:r>
        <w:t xml:space="preserve">for</w:t>
      </w:r>
      <w:r>
        <w:t xml:space="preserve"> </w:t>
      </w:r>
      <w:r>
        <w:t xml:space="preserve">appellant,</w:t>
      </w:r>
      <w:r>
        <w:t xml:space="preserve"> </w:t>
      </w:r>
      <w:r>
        <w:t xml:space="preserve">Carolyn</w:t>
      </w:r>
      <w:r>
        <w:t xml:space="preserve"> </w:t>
      </w:r>
      <w:r>
        <w:t xml:space="preserve">Stewart,</w:t>
      </w:r>
      <w:r>
        <w:t xml:space="preserve"> </w:t>
      </w:r>
      <w:r>
        <w:t xml:space="preserve">Esq.,</w:t>
      </w:r>
      <w:r>
        <w:t xml:space="preserve"> </w:t>
      </w:r>
      <w:r>
        <w:t xml:space="preserve">Stewart</w:t>
      </w:r>
      <w:r>
        <w:t xml:space="preserve"> </w:t>
      </w:r>
      <w:r>
        <w:t xml:space="preserve">Country</w:t>
      </w:r>
      <w:r>
        <w:t xml:space="preserve"> </w:t>
      </w:r>
      <w:r>
        <w:t xml:space="preserve">Law</w:t>
      </w:r>
      <w:r>
        <w:t xml:space="preserve"> </w:t>
      </w:r>
      <w:r>
        <w:t xml:space="preserve">PA,</w:t>
      </w:r>
      <w:r>
        <w:t xml:space="preserve"> </w:t>
      </w:r>
      <w:r>
        <w:t xml:space="preserve">Plant</w:t>
      </w:r>
      <w:r>
        <w:t xml:space="preserve"> </w:t>
      </w:r>
      <w:r>
        <w:t xml:space="preserve">City,</w:t>
      </w:r>
      <w:r>
        <w:t xml:space="preserve"> </w:t>
      </w:r>
      <w:r>
        <w:t xml:space="preserve">FL</w:t>
      </w:r>
      <w:r>
        <w:t xml:space="preserve"> </w:t>
      </w:r>
      <w:r>
        <w:t xml:space="preserve">33567,</w:t>
      </w:r>
      <w:r>
        <w:t xml:space="preserve"> </w:t>
      </w:r>
      <w:r>
        <w:t xml:space="preserve">and</w:t>
      </w:r>
      <w:r>
        <w:t xml:space="preserve"> </w:t>
      </w:r>
      <w:r>
        <w:t xml:space="preserve">upon</w:t>
      </w:r>
      <w:r>
        <w:t xml:space="preserve"> </w:t>
      </w:r>
      <w:r>
        <w:t xml:space="preserve">court-appointed</w:t>
      </w:r>
      <w:r>
        <w:t xml:space="preserve"> </w:t>
      </w:r>
      <w:r>
        <w:t xml:space="preserve">amicus</w:t>
      </w:r>
      <w:r>
        <w:t xml:space="preserve"> </w:t>
      </w:r>
      <w:r>
        <w:t xml:space="preserve">curiae,</w:t>
      </w:r>
      <w:r>
        <w:t xml:space="preserve"> </w:t>
      </w:r>
      <w:r>
        <w:t xml:space="preserve">Alexander</w:t>
      </w:r>
      <w:r>
        <w:t xml:space="preserve"> </w:t>
      </w:r>
      <w:r>
        <w:t xml:space="preserve">J.</w:t>
      </w:r>
      <w:r>
        <w:t xml:space="preserve"> </w:t>
      </w:r>
      <w:r>
        <w:t xml:space="preserve">Cave,</w:t>
      </w:r>
      <w:r>
        <w:t xml:space="preserve"> </w:t>
      </w:r>
      <w:r>
        <w:t xml:space="preserve">Covington</w:t>
      </w:r>
      <w:r>
        <w:t xml:space="preserve"> </w:t>
      </w:r>
      <w:r>
        <w:t xml:space="preserve">&amp;</w:t>
      </w:r>
      <w:r>
        <w:t xml:space="preserve"> </w:t>
      </w:r>
      <w:r>
        <w:t xml:space="preserve">Burling</w:t>
      </w:r>
      <w:r>
        <w:t xml:space="preserve"> </w:t>
      </w:r>
      <w:r>
        <w:t xml:space="preserve">LLP,</w:t>
      </w:r>
      <w:r>
        <w:t xml:space="preserve"> </w:t>
      </w:r>
      <w:r>
        <w:t xml:space="preserve">One</w:t>
      </w:r>
      <w:r>
        <w:t xml:space="preserve"> </w:t>
      </w:r>
      <w:r>
        <w:t xml:space="preserve">CityCenter,</w:t>
      </w:r>
      <w:r>
        <w:t xml:space="preserve"> </w:t>
      </w:r>
      <w:r>
        <w:t xml:space="preserve">850</w:t>
      </w:r>
      <w:r>
        <w:t xml:space="preserve"> </w:t>
      </w:r>
      <w:r>
        <w:t xml:space="preserve">Tenth</w:t>
      </w:r>
      <w:r>
        <w:t xml:space="preserve"> </w:t>
      </w:r>
      <w:r>
        <w:t xml:space="preserve">Street</w:t>
      </w:r>
      <w:r>
        <w:t xml:space="preserve"> </w:t>
      </w:r>
      <w:r>
        <w:t xml:space="preserve">NW,</w:t>
      </w:r>
      <w:r>
        <w:t xml:space="preserve"> </w:t>
      </w:r>
      <w:r>
        <w:t xml:space="preserve">Washington,</w:t>
      </w:r>
      <w:r>
        <w:t xml:space="preserve"> </w:t>
      </w:r>
      <w:r>
        <w:t xml:space="preserve">DC</w:t>
      </w:r>
      <w:r>
        <w:t xml:space="preserve"> </w:t>
      </w:r>
      <w:r>
        <w:t xml:space="preserve">20001</w:t>
      </w:r>
      <w:r>
        <w:t xml:space="preserve">, on this </w:t>
      </w:r>
      <w:r>
        <w:t xml:space="preserve">20th</w:t>
      </w:r>
      <w:r>
        <w:t xml:space="preserve"> </w:t>
      </w:r>
      <w:r>
        <w:t xml:space="preserve">day</w:t>
      </w:r>
      <w:r>
        <w:t xml:space="preserve"> </w:t>
      </w:r>
      <w:r>
        <w:t xml:space="preserve">of</w:t>
      </w:r>
      <w:r>
        <w:t xml:space="preserve"> </w:t>
      </w:r>
      <w:r>
        <w:t xml:space="preserve">October,</w:t>
      </w:r>
      <w:r>
        <w:t xml:space="preserve"> </w:t>
      </w:r>
      <w:r>
        <w:t xml:space="preserve">2025</w:t>
      </w:r>
      <w:r>
        <w:t xml:space="preserve">.</w:t>
      </w:r>
    </w:p>
    <w:p>
      <w:pPr>
        <w:keepNext/>
        <w:keepLines/>
        <w:spacing w:before="448" w:after="0" w:line="350" w:lineRule="exact"/>
        <w:ind w:left="4680" w:firstLine="0"/>
      </w:pPr>
      <w:r>
        <w:t xml:space="preserve">/s/ Daniel J. Lenerz</w:t>
      </w:r>
    </w:p>
    <w:p>
      <w:pPr>
        <w:keepNext/>
        <w:keepLines/>
        <w:spacing w:before="0" w:after="0" w:line="350" w:lineRule="exact"/>
        <w:ind w:left="4680" w:firstLine="0"/>
      </w:pPr>
      <w:r>
        <w:t xml:space="preserve">DANIEL J. LENERZ</w:t>
      </w:r>
    </w:p>
    <w:p>
      <w:pPr>
        <w:keepLines/>
        <w:spacing w:before="0" w:after="0" w:line="350" w:lineRule="exact"/>
        <w:ind w:left="4680" w:firstLine="140"/>
      </w:pPr>
      <w:r>
        <w:rPr>
          <w:i/>
          <w:iCs/>
        </w:rPr>
        <w:t xml:space="preserve">Assistant</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Attorney</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“Doc. __” refers to the district court docket number for Case No. 23-cr</w:t>
      </w:r>
      <w:r>
        <w:noBreakHyphen/>
      </w:r>
      <w:r>
        <w:t xml:space="preserve">427 (D.D.C.).</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50"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50"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50"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50"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50"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28" w:lineRule="exact"/>
      <w:ind w:left="720" w:hanging="720"/>
    </w:pPr>
  </w:style>
  <w:style w:type="paragraph" w:styleId="BlockText">
    <w:name w:val="Block Text"/>
    <w:basedOn w:val="BodyText"/>
    <w:next w:val="BodyText"/>
    <w:uiPriority w:val="9"/>
    <w:unhideWhenUsed/>
    <w:qFormat/>
    <w:pPr>
      <w:spacing w:before="280" w:after="280" w:line="350" w:lineRule="exact"/>
      <w:ind w:firstLine="0" w:left="720" w:right="720"/>
    </w:pPr>
  </w:style>
  <w:style w:type="paragraph" w:styleId="FootnoteText">
    <w:name w:val="Footnote Text"/>
    <w:basedOn w:val="Normal"/>
    <w:next w:val="FootnoteText"/>
    <w:uiPriority w:val="9"/>
    <w:unhideWhenUsed/>
    <w:qFormat/>
    <w:pPr>
      <w:keepLines/>
      <w:spacing w:before="0" w:after="140" w:line="35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the United States</vt:lpwstr>
  </property>
  <property fmtid="{D5CDD505-2E9C-101B-9397-08002B2CF9AE}" pid="4" name="caption">
    <vt:lpwstr/>
  </property>
  <property fmtid="{D5CDD505-2E9C-101B-9397-08002B2CF9AE}" pid="5" name="case_number">
    <vt:lpwstr>25-3041</vt:lpwstr>
  </property>
  <property fmtid="{D5CDD505-2E9C-101B-9397-08002B2CF9AE}" pid="6" name="certificate_of_parties">
    <vt:lpwstr>Pursuant to D.C. Circuit Rule 28(a)(1), appellee hereby states as follows:Parties and AmiciThe parties to this appeal are appellant Dan Edwin Wilson and appellee the United States of America. On July 3, 2025, this Court appointed Alexander Cave as amicus curiae to present arguments in support of the district court’s March 13, 2025, memorandum opinion and order denying Wilson’s 28 U.S.C. § 2255 motion.Rulings Under ReviewThis is an appeal from an order by the Honorable Dabney L. Friedrich denying Wilson’s § 2255 motion.Related CasesAppellee is unaware of any related cases.</vt:lpwstr>
  </property>
  <property fmtid="{D5CDD505-2E9C-101B-9397-08002B2CF9AE}" pid="7" name="counsel">
    <vt:lpwstr/>
  </property>
  <property fmtid="{D5CDD505-2E9C-101B-9397-08002B2CF9AE}" pid="8" name="district_court_case">
    <vt:lpwstr>Cr. No. 23-427 (DLF)</vt:lpwstr>
  </property>
  <property fmtid="{D5CDD505-2E9C-101B-9397-08002B2CF9AE}" pid="9" name="oral_argument">
    <vt:lpwstr>ORAL ARGUMENT NOT YET SCHEDULED</vt:lpwstr>
  </property>
  <property fmtid="{D5CDD505-2E9C-101B-9397-08002B2CF9AE}" pid="10" name="phone">
    <vt:lpwstr>(202) 252-6829</vt:lpwstr>
  </property>
  <property fmtid="{D5CDD505-2E9C-101B-9397-08002B2CF9AE}" pid="11" name="proceeding">
    <vt:lpwstr>APPEAL FROM THE UNITED STATES DISTRICT COURT FOR THE DISTRICT OF COLUMBIA</vt:lpwstr>
  </property>
  <property fmtid="{D5CDD505-2E9C-101B-9397-08002B2CF9AE}" pid="12" name="service">
    <vt:lpwstr/>
  </property>
  <property fmtid="{D5CDD505-2E9C-101B-9397-08002B2CF9AE}" pid="13" name="signature">
    <vt:lpwstr/>
  </property>
</Properties>
</file>