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Students (&gt;16? years) &amp; young adults starting a job/internship or studying away from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Key Point: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Still financially dependent from their parents/guardians/tutors)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Budget management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Expenses usually not covered by parents (going out with friends, video games)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Savings planning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Generally goal-oriented (buy a car/bike, take driving classes, new computer/console, etc.)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Investment (if relevant)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Immigrants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Money relationship with family back home (sending or receiving money to/from home)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Cost-of-Living differences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How long have they been living here</w:t>
      </w:r>
    </w:p>
    <w:p w:rsidR="00000000" w:rsidDel="00000000" w:rsidP="00000000" w:rsidRDefault="00000000" w:rsidRPr="00000000" w14:paraId="0000000E">
      <w:pPr>
        <w:ind w:left="720" w:firstLine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People planning to move to a country - Immigrant-to-be</w:t>
      </w:r>
    </w:p>
    <w:p w:rsidR="00000000" w:rsidDel="00000000" w:rsidP="00000000" w:rsidRDefault="00000000" w:rsidRPr="00000000" w14:paraId="00000010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Crypto bros taking Ls left, right and center - CCU coin going to the moon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Reconversion therapy away from dubious investment methods</w:t>
      </w:r>
    </w:p>
    <w:p w:rsidR="00000000" w:rsidDel="00000000" w:rsidP="00000000" w:rsidRDefault="00000000" w:rsidRPr="00000000" w14:paraId="00000013">
      <w:pPr>
        <w:ind w:left="0" w:firstLine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sz w:val="20"/>
          <w:szCs w:val="20"/>
          <w:highlight w:val="white"/>
          <w:rtl w:val="0"/>
        </w:rPr>
        <w:t xml:space="preserve">People buried in debt and that are barely able (or unable) to face their obligations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980000"/>
          <w:sz w:val="20"/>
          <w:szCs w:val="20"/>
          <w:highlight w:val="white"/>
        </w:rPr>
      </w:pPr>
      <w:r w:rsidDel="00000000" w:rsidR="00000000" w:rsidRPr="00000000">
        <w:rPr>
          <w:color w:val="980000"/>
          <w:sz w:val="20"/>
          <w:szCs w:val="20"/>
          <w:highlight w:val="white"/>
          <w:rtl w:val="0"/>
        </w:rPr>
        <w:t xml:space="preserve">Couples going through break-up/divorce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980000"/>
          <w:sz w:val="20"/>
          <w:szCs w:val="20"/>
          <w:highlight w:val="white"/>
        </w:rPr>
      </w:pPr>
      <w:r w:rsidDel="00000000" w:rsidR="00000000" w:rsidRPr="00000000">
        <w:rPr>
          <w:color w:val="980000"/>
          <w:sz w:val="20"/>
          <w:szCs w:val="20"/>
          <w:highlight w:val="white"/>
          <w:rtl w:val="0"/>
        </w:rPr>
        <w:t xml:space="preserve">Families going through inheritance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44444"/>
          <w:sz w:val="16"/>
          <w:szCs w:val="16"/>
          <w:highlight w:val="white"/>
        </w:rPr>
      </w:pPr>
      <w:r w:rsidDel="00000000" w:rsidR="00000000" w:rsidRPr="00000000">
        <w:rPr>
          <w:color w:val="444444"/>
          <w:sz w:val="16"/>
          <w:szCs w:val="16"/>
          <w:highlight w:val="white"/>
          <w:rtl w:val="0"/>
        </w:rPr>
        <w:t xml:space="preserve">Topics in red tend to be emotionally delicate and are probably not very executable.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