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ANÁLISIS Y DESARROLLO DE SOFTWARE - 228118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Sistema de información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funcionando al 100% con todas las reglas de negocio, cumpliendo con todos y cada uno de las historias de usuario en la documentación realizada en las fases anteriores.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Generación de reportes estadísticos.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Envío de correos masivos dentro de las funcionalidades del software.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Carga masiva de datos (Ejemplo: Configuración del sistema).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Consumo de WebServices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4"/>
        <w:gridCol w:w="4275"/>
        <w:gridCol w:w="588"/>
        <w:gridCol w:w="588"/>
        <w:gridCol w:w="3719"/>
        <w:tblGridChange w:id="0">
          <w:tblGrid>
            <w:gridCol w:w="794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funcionalidad del software evidencia el cumplimiento de las reglas de negocio y restricciones. (El aprendiz presenta las historias de usuario para esta verificación)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el uso de patrones GoF en la implementación del software.*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permite la carga inicial de datos.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envía correos de forma masiva.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genera reportes estadísticos en PDF.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consume Web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informe de hallazgos después de aplicar pruebas.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Utiliza un lenguaje incluyente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a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Identifica el concepto de Mercadeo, mezcla de mercados y la importancia que tiene este proceso en el desarrollo integral de las 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producto de su proyecto con base en la  fundamentación teórica y conceptual del mercadeo, de sus variables y el propósito de la investigación de mercados.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 (Navegabilidad interfaz en inglés).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  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Nelson Hernan Rodriguez Ayala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CTI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13-04-2023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49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4B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4C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4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NeiMVHbth3fhgxIAwFXhk6Zgg==">CgMxLjAyCGguZ2pkZ3hzMgloLjMwajB6bGw4AHIhMXZnMDJ4Q3hPVi1ta1Y4SzVBamhoVmJwZHgwT3hTU3U3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2019-05-23T15:51:00Z</dcterms:created>
</cp:coreProperties>
</file>