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ANÁLISIS Y DESARROLLO DE SOFTWARE - 228118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MARÍA LORENA CAICEDO PALACIOS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4"/>
        <w:gridCol w:w="4275"/>
        <w:gridCol w:w="588"/>
        <w:gridCol w:w="588"/>
        <w:gridCol w:w="3719"/>
        <w:tblGridChange w:id="0">
          <w:tblGrid>
            <w:gridCol w:w="794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Contempla una clara presentación de los procesos a mejorar  reflejados en los módulos que componen el sistema de información. (diagrama de procesos anterior y actual).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 es 100% funcional.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cumple con los atributos de calidad expresados en los requisitos no funcionales de acuerdo con la ISO 25010 (Producto Software).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puesto en marcha en un servidor web propio con salida a internet o a través de un plan de hosting.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al plan de capacitación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informe de las pruebas  de implantación realizadas al sistema durante la puesta en marcha en producción.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 manual técnico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 manual de usuario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F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E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E1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W2kUEWnr6/RTvdO0eOhUY/auA==">CgMxLjA4AHIhMWtLbUJ6UEhWZWN3am05NmRjSC1vZ0l1TklNSC1kX3dM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