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0" w:name="_heading=h.ienwe33hre9b" w:colFirst="0" w:colLast="0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4032884</wp:posOffset>
            </wp:positionH>
            <wp:positionV relativeFrom="paragraph">
              <wp:posOffset>-651509</wp:posOffset>
            </wp:positionV>
            <wp:extent cx="592455" cy="56134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  <w:bookmarkStart w:id="1" w:name="_heading=h.gjdgxs" w:colFirst="0" w:colLast="0"/>
      <w:bookmarkEnd w:id="1"/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CRONOGRAMA DE ACTIVIDADES</w:t>
      </w:r>
      <w:r w:rsidR="00232D5C">
        <w:rPr>
          <w:b/>
          <w:sz w:val="20"/>
          <w:szCs w:val="20"/>
        </w:rPr>
        <w:t xml:space="preserve"> FASE </w:t>
      </w:r>
      <w:r w:rsidR="00E912C5">
        <w:rPr>
          <w:b/>
          <w:sz w:val="20"/>
          <w:szCs w:val="20"/>
        </w:rPr>
        <w:t>EVALUACIÓN</w:t>
      </w: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2" w:name="_heading=h.30j0zll" w:colFirst="0" w:colLast="0"/>
      <w:bookmarkEnd w:id="2"/>
      <w:r>
        <w:rPr>
          <w:b/>
          <w:sz w:val="20"/>
          <w:szCs w:val="20"/>
        </w:rPr>
        <w:t>PROGRAMA DE FORMACIÓN TITULADA</w:t>
      </w:r>
    </w:p>
    <w:p w:rsidR="00822EB9" w:rsidRDefault="00A66DDC">
      <w:pPr>
        <w:spacing w:after="0" w:line="240" w:lineRule="auto"/>
        <w:jc w:val="center"/>
        <w:rPr>
          <w:color w:val="E36C09"/>
          <w:sz w:val="20"/>
          <w:szCs w:val="20"/>
        </w:rPr>
      </w:pPr>
      <w:r>
        <w:rPr>
          <w:color w:val="000000"/>
        </w:rPr>
        <w:t>GESTIÓN DE REDES DE DATOS</w:t>
      </w:r>
    </w:p>
    <w:p w:rsidR="00822EB9" w:rsidRPr="00E432C1" w:rsidRDefault="00635E3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39A900"/>
          <w:sz w:val="20"/>
          <w:szCs w:val="20"/>
        </w:rPr>
      </w:pPr>
      <w:r w:rsidRPr="00E432C1">
        <w:rPr>
          <w:color w:val="39A900"/>
          <w:sz w:val="20"/>
          <w:szCs w:val="20"/>
        </w:rPr>
        <w:t>NOMBRE DEL CENTRO DE FORMACIÓN – NOMBRE DE LA REGIONAL</w:t>
      </w:r>
    </w:p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tbl>
      <w:tblPr>
        <w:tblStyle w:val="a"/>
        <w:tblW w:w="13462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9214"/>
      </w:tblGrid>
      <w:tr w:rsidR="00822EB9" w:rsidTr="009805AE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  <w:u w:val="single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9805AE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 DE FORMACIÓN: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b/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de actividades para el aprendiz)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  <w:r>
              <w:rPr>
                <w:b/>
                <w:color w:val="39A900"/>
                <w:sz w:val="20"/>
                <w:szCs w:val="20"/>
              </w:rPr>
              <w:t xml:space="preserve"> </w:t>
            </w:r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9805AE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FIN: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Fin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</w:tbl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p w:rsidR="00822EB9" w:rsidRDefault="00635E3C">
      <w:pPr>
        <w:spacing w:after="0" w:line="240" w:lineRule="auto"/>
        <w:jc w:val="both"/>
        <w:rPr>
          <w:b/>
          <w:color w:val="39A900"/>
          <w:sz w:val="20"/>
          <w:szCs w:val="20"/>
        </w:rPr>
      </w:pPr>
      <w:r>
        <w:rPr>
          <w:b/>
          <w:color w:val="39A900"/>
          <w:sz w:val="20"/>
          <w:szCs w:val="20"/>
        </w:rPr>
        <w:t>(Verificar Información dispuesta en las Guías de Aprendizaje y ajustar según sea el caso)</w:t>
      </w:r>
    </w:p>
    <w:tbl>
      <w:tblPr>
        <w:tblStyle w:val="a0"/>
        <w:tblW w:w="134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1"/>
        <w:gridCol w:w="1830"/>
        <w:gridCol w:w="2595"/>
        <w:gridCol w:w="2535"/>
        <w:gridCol w:w="1110"/>
        <w:gridCol w:w="1275"/>
        <w:gridCol w:w="2206"/>
      </w:tblGrid>
      <w:tr w:rsidR="009805AE" w:rsidTr="009805AE">
        <w:trPr>
          <w:trHeight w:val="300"/>
          <w:tblHeader/>
          <w:jc w:val="center"/>
        </w:trPr>
        <w:tc>
          <w:tcPr>
            <w:tcW w:w="1911" w:type="dxa"/>
            <w:vMerge w:val="restart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DEL PROYECTO</w:t>
            </w:r>
          </w:p>
        </w:tc>
        <w:tc>
          <w:tcPr>
            <w:tcW w:w="1830" w:type="dxa"/>
            <w:vMerge w:val="restart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 APRENDIZAJE</w:t>
            </w:r>
          </w:p>
        </w:tc>
        <w:tc>
          <w:tcPr>
            <w:tcW w:w="2595" w:type="dxa"/>
            <w:vMerge w:val="restart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RESULTADO DE APRENDIZAJE</w:t>
            </w:r>
          </w:p>
        </w:tc>
        <w:tc>
          <w:tcPr>
            <w:tcW w:w="2535" w:type="dxa"/>
            <w:vMerge w:val="restart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EVIDENCIAS DE APRENDIZAJE</w:t>
            </w:r>
          </w:p>
        </w:tc>
        <w:tc>
          <w:tcPr>
            <w:tcW w:w="2385" w:type="dxa"/>
            <w:gridSpan w:val="2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FECHAS DE ENTREGA</w:t>
            </w:r>
          </w:p>
        </w:tc>
        <w:tc>
          <w:tcPr>
            <w:tcW w:w="2206" w:type="dxa"/>
            <w:vMerge w:val="restart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INSTRUCTOR O ÁREA RESPONSABLE</w:t>
            </w:r>
          </w:p>
        </w:tc>
      </w:tr>
      <w:tr w:rsidR="009805AE" w:rsidTr="009805AE">
        <w:trPr>
          <w:trHeight w:val="450"/>
          <w:tblHeader/>
          <w:jc w:val="center"/>
        </w:trPr>
        <w:tc>
          <w:tcPr>
            <w:tcW w:w="1911" w:type="dxa"/>
            <w:vMerge/>
            <w:shd w:val="clear" w:color="auto" w:fill="808080"/>
            <w:vAlign w:val="center"/>
          </w:tcPr>
          <w:p w:rsidR="009805AE" w:rsidRDefault="0098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808080"/>
            <w:vAlign w:val="center"/>
          </w:tcPr>
          <w:p w:rsidR="009805AE" w:rsidRDefault="0098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808080"/>
            <w:vAlign w:val="center"/>
          </w:tcPr>
          <w:p w:rsidR="009805AE" w:rsidRDefault="0098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535" w:type="dxa"/>
            <w:vMerge/>
            <w:shd w:val="clear" w:color="auto" w:fill="808080"/>
            <w:vAlign w:val="center"/>
          </w:tcPr>
          <w:p w:rsidR="009805AE" w:rsidRDefault="00980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INICIA</w:t>
            </w:r>
          </w:p>
        </w:tc>
        <w:tc>
          <w:tcPr>
            <w:tcW w:w="1275" w:type="dxa"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FINALIZA</w:t>
            </w:r>
          </w:p>
        </w:tc>
        <w:tc>
          <w:tcPr>
            <w:tcW w:w="2206" w:type="dxa"/>
            <w:vMerge/>
            <w:shd w:val="clear" w:color="auto" w:fill="808080"/>
            <w:vAlign w:val="center"/>
          </w:tcPr>
          <w:p w:rsidR="009805AE" w:rsidRDefault="009805A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</w:tr>
      <w:tr w:rsidR="005C0947" w:rsidTr="009805AE">
        <w:trPr>
          <w:trHeight w:val="1428"/>
          <w:jc w:val="center"/>
        </w:trPr>
        <w:tc>
          <w:tcPr>
            <w:tcW w:w="1911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AP4. Gestionar la infraestructura tecnológica y la seguridad para las redes de datos.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GA8-220501104-AA1 - Comprobar el funcionamiento de los equipos activos y las configuraciones realizadas, para garantizar la disponibilidad de la infraestructura informática.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220501104-03 - Verificar el funcionamiento de los equipos activos de interconexión, de acuerdo con los requerimientos establecidos.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Taller sobre indicadores y medidas de desempeño de la red.</w:t>
            </w:r>
            <w:r>
              <w:rPr>
                <w:color w:val="000000"/>
                <w:sz w:val="18"/>
                <w:szCs w:val="18"/>
              </w:rPr>
              <w:br/>
              <w:t>GA8-220501104-AA1-EV01.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428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las pruebas de conectividad, disponibilidad, rendimiento y calidad de la red.</w:t>
            </w:r>
            <w:r>
              <w:rPr>
                <w:color w:val="000000"/>
                <w:sz w:val="18"/>
                <w:szCs w:val="18"/>
              </w:rPr>
              <w:br/>
              <w:t>GA8-220501104-AA1-EV02.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GA8-220501104-AA2 - Gestionar los equipos activos de interconexión, de acuerdo con los protocolos, estándares </w:t>
            </w:r>
            <w:r>
              <w:rPr>
                <w:color w:val="000000"/>
                <w:sz w:val="18"/>
                <w:szCs w:val="18"/>
              </w:rPr>
              <w:lastRenderedPageBreak/>
              <w:t>y requisitos, que garanticen el cumplimiento al diseño preestablecido.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220501104-04 - Gestionar los equipos activos de interconexión, para garantizar el funcionamiento de la red.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detección de fallas en el funcionamiento de la red.</w:t>
            </w:r>
            <w:r>
              <w:rPr>
                <w:color w:val="000000"/>
                <w:sz w:val="18"/>
                <w:szCs w:val="18"/>
              </w:rPr>
              <w:br/>
              <w:t>GA8-220501104-AA2-EV01.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9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GA8-220501107-AA1 - Verificar el funcionamiento de la red inalámbrica configurada y realizar los informes técnicos y ejecutivos pertinentes para este proceso, de acuerdo con los estándares técnicos.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220501107-04 - Validar que los parámetros de certificación cumplan con estándares y normatividad vigente.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verificación para validar parámetros de calidad, velocidad de transmisión, ancho de banda, uso de canales y frecuencias de transmisión.</w:t>
            </w:r>
            <w:r>
              <w:rPr>
                <w:color w:val="000000"/>
                <w:sz w:val="18"/>
                <w:szCs w:val="18"/>
              </w:rPr>
              <w:br/>
              <w:t>GA8-220501107-AA1-EV01.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44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GA8-220601501-AA1 - Identificar estrategias de prevención y control del impacto ambiental de los accidentes y enfermedades laborales, de acuerdo con las políticas organizacionales y el entorno social.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220601501-01 - Analizar las estrategias para la prevención y control de los impactos ambientales y de los accidentes y enfermedades laborales (ATEL) de acuerdo con las políticas organizacionales y el entorno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 xml:space="preserve">Análisis de caso de situaciones que se presentan en el contexto ambiental y del SST. </w:t>
            </w:r>
            <w:r>
              <w:rPr>
                <w:color w:val="000000"/>
                <w:sz w:val="18"/>
                <w:szCs w:val="18"/>
              </w:rPr>
              <w:br/>
              <w:t>GA8-220601501-AA1-EV01.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68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GA8-220601501-AA2 - Reconocer el desarrollo de las acciones de control de los impactos ambientales, disminución de accidentes y enfermedades laborales, de acuerdo con los planes y programas </w:t>
            </w:r>
            <w:r>
              <w:rPr>
                <w:color w:val="000000"/>
                <w:sz w:val="18"/>
                <w:szCs w:val="18"/>
              </w:rPr>
              <w:lastRenderedPageBreak/>
              <w:t>establecidos por la organización.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220601501-02 - Implementar estrategias para el control de los impactos ambientales y de los accidentes y enfermedades, de acuerdo con los planes y programas establecidos por la organización.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Diagrama de Ishikawa o Espina de pescado, sobre las estrategias para la prevención y control de los impactos ambientales, accidentes y enfermedades laborales (ATEL).</w:t>
            </w:r>
            <w:r>
              <w:rPr>
                <w:color w:val="000000"/>
                <w:sz w:val="18"/>
                <w:szCs w:val="18"/>
              </w:rPr>
              <w:br/>
              <w:t>GA8-220601501-AA2-EV01.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GA8-220601501-AA3 - Plantear acciones que orienten al equipo de trabajo en los planes o programas ambientales y de SST, de acuerdo con el área de desempeño.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220601501-03 - Realizar seguimiento y acompañamiento al desarrollo de los planes y programas ambientales y SST, según el área de desempeño.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 xml:space="preserve">Mapa mental respecto a los planes y acciones establecidos en medio ambiente y SST. </w:t>
            </w:r>
            <w:r>
              <w:rPr>
                <w:color w:val="000000"/>
                <w:sz w:val="18"/>
                <w:szCs w:val="18"/>
              </w:rPr>
              <w:br/>
              <w:t xml:space="preserve">GA8-220601501-AA3-EV01. 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GA8-220601501-AA4 - Plantear propuestas que favorezcan la cultura ambiental responsable, el desarrollo sustentable y el autocuidado, de acuerdo con el contexto productivo y social.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220601501-04 - Proponer acciones de mejora para el manejo ambiental y el control de la SST, de acuerdo con estrategias de trabajo, colaborativo, cooperativo y coordinado en el contexto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Video expositivo sobre oportunidades de mejora en medio ambiente y SST.</w:t>
            </w:r>
            <w:r>
              <w:rPr>
                <w:color w:val="000000"/>
                <w:sz w:val="18"/>
                <w:szCs w:val="18"/>
              </w:rPr>
              <w:br/>
              <w:t>GA8-220601501-AA4-EV01.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GA9-220501106-AA1 - Validar servicios implementados, teniendo definidas las necesidades, utilizando diferentes herramientas de testeo y criterios de evaluación.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220501106-03 - Verificar el funcionamiento de dispositivos de cómputo y servicios de red de acuerdo a políticas de la organización.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detección de fallos en el rendimiento y operación de la solución.</w:t>
            </w:r>
            <w:r>
              <w:rPr>
                <w:color w:val="000000"/>
                <w:sz w:val="18"/>
                <w:szCs w:val="18"/>
              </w:rPr>
              <w:br/>
              <w:t>GA9-220501106-AA1-EV01.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428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GA9-220501106-AA2 - Declarar e implementar políticas que ofrezcan alta disponibilidad y de acceso a los diferentes servicios existentes en la red, de acuerdo con protocolos técnicos.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220501106-04 - Gestionar los dispositivos de cómputo y servicios de red para garantizar el funcionamiento de la plataforma tecnológica.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Bitácora de eventos de infraestructura y plataformas.</w:t>
            </w:r>
            <w:r>
              <w:rPr>
                <w:color w:val="000000"/>
                <w:sz w:val="18"/>
                <w:szCs w:val="18"/>
              </w:rPr>
              <w:br/>
              <w:t>GA9-220501106-AA2-EV01.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428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de actualización de componentes de </w:t>
            </w:r>
            <w:r>
              <w:rPr>
                <w:i/>
                <w:color w:val="000000"/>
                <w:sz w:val="18"/>
                <w:szCs w:val="18"/>
              </w:rPr>
              <w:t>hardware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los equipos de cómputo.</w:t>
            </w:r>
            <w:r>
              <w:rPr>
                <w:color w:val="000000"/>
                <w:sz w:val="18"/>
                <w:szCs w:val="18"/>
              </w:rPr>
              <w:br/>
              <w:t>GA9-220501106-AA2-EV02.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GA10-220501091-AA1 - Comprobar el funcionamiento del sistema de telefonía y datos implementados en la estructura de red, mediante el uso de herramientas adecuadas.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220501091-03 - Verificar el funcionamiento de los equipos y software de comunicación de voz sobre IP (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), para validar el cumplimiento de los requerimientos establecidos en el diseño.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verificación de pruebas de funcionamiento de infraestructura de voz y datos.</w:t>
            </w:r>
            <w:r>
              <w:rPr>
                <w:color w:val="000000"/>
                <w:sz w:val="18"/>
                <w:szCs w:val="18"/>
              </w:rPr>
              <w:br/>
              <w:t>GA10-220501091-AA1-EV01.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44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GA10-220501091-AA2 - Gestionar la solución de comunicaciones unificadas, estableciendo políticas que mantengan disponibles cada uno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000000"/>
                <w:sz w:val="18"/>
                <w:szCs w:val="18"/>
              </w:rPr>
              <w:t>los servicios implementados, documentando el desarrollo de procesos, evidencias de errores y su respectiva solución.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220501091-04 - Gestionar los equipos y</w:t>
            </w:r>
            <w:r>
              <w:rPr>
                <w:i/>
                <w:color w:val="000000"/>
                <w:sz w:val="18"/>
                <w:szCs w:val="18"/>
              </w:rPr>
              <w:t xml:space="preserve"> software </w:t>
            </w:r>
            <w:r>
              <w:rPr>
                <w:color w:val="000000"/>
                <w:sz w:val="18"/>
                <w:szCs w:val="18"/>
              </w:rPr>
              <w:t>de comunicación de voz sobre IP (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), para garantizar su funcionamiento acorde con los parámetros establecidos en el diseño.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Bitácora de actividades y eventos del sistema de tecnología de 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br/>
              <w:t>GA10-220501091-AA2-EV01.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GA10-240201529-AA1 - Identificar los componentes del comportamiento emprendedor, conforme a las características emprendedoras, objetivos personales y análisis del entorno.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240201529-01. Integrar elementos de la cultura emprendedora teniendo en cuenta el perfil personal y el contexto de desarrollo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Conociendo mi visión. </w:t>
            </w:r>
            <w:r>
              <w:rPr>
                <w:color w:val="000000"/>
                <w:sz w:val="18"/>
                <w:szCs w:val="18"/>
              </w:rPr>
              <w:br/>
              <w:t>GA10-240201529-AA1-EV01.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GA10-240201529-AA2 - Aplicar herramientas para la toma de decisiones, teniendo en cuenta los problemas planteados. 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240201529-02. Caracterizar la idea de negocio teniendo en cuenta las oportunidades y necesidades del sector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Taller identificación del problema. </w:t>
            </w:r>
            <w:r>
              <w:rPr>
                <w:color w:val="000000"/>
                <w:sz w:val="18"/>
                <w:szCs w:val="18"/>
              </w:rPr>
              <w:br/>
              <w:t>GA10-240201529-AA2-EV01.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7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GA10-240201529-AA3 -Experimentar la capacidad creativa e innovadora, teniendo en cuenta la solución de retos e identificación de oportunidades.        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240201529-03. Estructurar el plan de negocio de acuerdo con las características empresariales y tendencias de mercado.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color w:val="000000"/>
                <w:sz w:val="18"/>
                <w:szCs w:val="18"/>
              </w:rPr>
              <w:br/>
              <w:t>Prototipo de la solución.</w:t>
            </w:r>
            <w:r>
              <w:rPr>
                <w:color w:val="000000"/>
                <w:sz w:val="18"/>
                <w:szCs w:val="18"/>
              </w:rPr>
              <w:br/>
              <w:t>GA10-240201529-AA3-EV01.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7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Plan de acción. </w:t>
            </w:r>
            <w:r>
              <w:rPr>
                <w:color w:val="000000"/>
                <w:sz w:val="18"/>
                <w:szCs w:val="18"/>
              </w:rPr>
              <w:br/>
              <w:t>GA10-240201529-AA3-EV02.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GA10-240201529-AA4 -Relacionar elementos del triángulo de la responsabilidad, acorde con la ejecución de técnicas de negociación.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240201529-04. Valorar la propuesta de negocio conforme con su estructura y necesidades del sector productivo y social.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Taller de negociación y modelo de negocio básico.</w:t>
            </w:r>
            <w:r>
              <w:rPr>
                <w:color w:val="000000"/>
                <w:sz w:val="18"/>
                <w:szCs w:val="18"/>
              </w:rPr>
              <w:br/>
              <w:t>GA10-240201529-AA4-EV01.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65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GA11-220501014-AA1 - Validar el estado de la </w:t>
            </w:r>
            <w:r>
              <w:rPr>
                <w:sz w:val="18"/>
                <w:szCs w:val="18"/>
              </w:rPr>
              <w:t>implementación</w:t>
            </w:r>
            <w:r>
              <w:rPr>
                <w:color w:val="000000"/>
                <w:sz w:val="18"/>
                <w:szCs w:val="18"/>
              </w:rPr>
              <w:t xml:space="preserve"> del sistema de </w:t>
            </w:r>
            <w:r>
              <w:rPr>
                <w:sz w:val="18"/>
                <w:szCs w:val="18"/>
              </w:rPr>
              <w:t>gestión</w:t>
            </w:r>
            <w:r>
              <w:rPr>
                <w:color w:val="000000"/>
                <w:sz w:val="18"/>
                <w:szCs w:val="18"/>
              </w:rPr>
              <w:t xml:space="preserve"> de la seguridad de la información, ajustando y documentando los procesos realizados. 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220501014-03 - Verificar eventos en la infraestructura de red, mediante herramientas y técnicas de análisis de datos que permitan determinar incidentes de seguridad.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análisis de alertas y mensajes emitidos por los sistemas de detección de intrusos.</w:t>
            </w:r>
            <w:r>
              <w:rPr>
                <w:color w:val="000000"/>
                <w:sz w:val="18"/>
                <w:szCs w:val="18"/>
              </w:rPr>
              <w:br/>
              <w:t>GA11-220501014-AA1-EV01.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65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supervisar la infraestructura y los servicios de red de una organización.</w:t>
            </w:r>
            <w:r>
              <w:rPr>
                <w:color w:val="000000"/>
                <w:sz w:val="18"/>
                <w:szCs w:val="18"/>
              </w:rPr>
              <w:br/>
              <w:t>GA11-220501014-AA1-EV02.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6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GA11-220501014-AA2 - Gestionar los dispositivos y procesos de la red establecidos en el sistema de gestión de seguridad de la información, según el plan de seguridad.</w:t>
            </w:r>
          </w:p>
        </w:tc>
        <w:tc>
          <w:tcPr>
            <w:tcW w:w="2595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220501014-04 - Gestionar el estado de la seguridad en la red de datos de la organización y su pertinencia según el plan de seguridad.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  <w:t>I</w:t>
            </w:r>
            <w:r>
              <w:rPr>
                <w:color w:val="000000"/>
                <w:sz w:val="18"/>
                <w:szCs w:val="18"/>
              </w:rPr>
              <w:t>nforme de hallazgos del análisis de vulnerabilidades y amenazas.</w:t>
            </w:r>
            <w:r>
              <w:rPr>
                <w:color w:val="000000"/>
                <w:sz w:val="18"/>
                <w:szCs w:val="18"/>
              </w:rPr>
              <w:br/>
              <w:t>GA11-220501014-AA2-EV01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206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monitoreo del estado de la red.</w:t>
            </w:r>
            <w:r>
              <w:rPr>
                <w:color w:val="000000"/>
                <w:sz w:val="18"/>
                <w:szCs w:val="18"/>
              </w:rPr>
              <w:br/>
              <w:t>GA11-220501014-AA2-EV02.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98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GA11-210201501-AA1 - Comparar las condiciones del trabajo en el devenir histórico, de acuerdo con los derechos fundamentales.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210201501-01 - Reconocer el trabajo como factor de movilidad social y transformación vital con referencia a la fenomenología y a los derechos fundamentales en el trabajo.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color w:val="000000"/>
                <w:sz w:val="18"/>
                <w:szCs w:val="18"/>
              </w:rPr>
              <w:br/>
              <w:t>Taller.</w:t>
            </w:r>
            <w:r>
              <w:rPr>
                <w:color w:val="000000"/>
                <w:sz w:val="18"/>
                <w:szCs w:val="18"/>
              </w:rPr>
              <w:br/>
              <w:t>GA11-210201501-AA1-EV01.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98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Foro sobre características del trabajo en contexto local. </w:t>
            </w:r>
            <w:r>
              <w:rPr>
                <w:color w:val="000000"/>
                <w:sz w:val="18"/>
                <w:szCs w:val="18"/>
              </w:rPr>
              <w:br/>
              <w:t>GA11-210201501-AA1-EV02.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17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GA11-210201501-AA2 - Reconocer los derechos humanos laborales, con base en el estudio de los derechos humanos y fundamentales en el trabajo.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210201501-02 - Valorar la importancia de la ciudadanía laboral con base en el estudio de los derechos humanos y fundamentales en el trabajo.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sobre trabajo decente, ciudadanía laboral, derechos individuales y colectivos en el trabajo.</w:t>
            </w:r>
            <w:r>
              <w:rPr>
                <w:color w:val="000000"/>
                <w:sz w:val="18"/>
                <w:szCs w:val="18"/>
              </w:rPr>
              <w:br/>
              <w:t>GA11-210201501-AA2-EV01.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17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Foro sobre el convenio colectivo del trabajo y la libertad sindical.</w:t>
            </w:r>
            <w:r>
              <w:rPr>
                <w:color w:val="000000"/>
                <w:sz w:val="18"/>
                <w:szCs w:val="18"/>
              </w:rPr>
              <w:br/>
              <w:t>GA11-210201501-AA2-EV02.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17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Gráfico sobre la negociación colectiva.</w:t>
            </w:r>
            <w:r>
              <w:rPr>
                <w:color w:val="000000"/>
                <w:sz w:val="18"/>
                <w:szCs w:val="18"/>
              </w:rPr>
              <w:br/>
              <w:t>GA11-210201501-AA2-EV03.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17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Infografía sobre la huelga.</w:t>
            </w:r>
            <w:r>
              <w:rPr>
                <w:color w:val="000000"/>
                <w:sz w:val="18"/>
                <w:szCs w:val="18"/>
              </w:rPr>
              <w:br/>
              <w:t>GA11-210201501-AA2-EV04.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GA11-210201501-AA3 - Establecer la importancia de los derechos de los pueblos, de la solidaridad y la paz, de acuerdo con los indicadores de desarrollo humano.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210201501-03 - Practicar los derechos fundamentales en el trabajo de acuerdo con la Constitución Política y los Convenios Internacionales.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Mapa mental violación de derechos del trabajo. </w:t>
            </w:r>
            <w:r>
              <w:rPr>
                <w:color w:val="000000"/>
                <w:sz w:val="18"/>
                <w:szCs w:val="18"/>
              </w:rPr>
              <w:br/>
              <w:t xml:space="preserve">GA11-210201501-AA3-EV01. 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Foro estudio de caso.</w:t>
            </w:r>
            <w:r>
              <w:rPr>
                <w:color w:val="000000"/>
                <w:sz w:val="18"/>
                <w:szCs w:val="18"/>
              </w:rPr>
              <w:br/>
              <w:t xml:space="preserve">GA11-210201501-AA3-EV02. 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conocimiento: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Cuadro comparativo sobre el derecho de petición y la acción de tutela.</w:t>
            </w:r>
            <w:r>
              <w:rPr>
                <w:color w:val="000000"/>
                <w:sz w:val="18"/>
                <w:szCs w:val="18"/>
              </w:rPr>
              <w:br/>
              <w:t>GA11-210201501-AA3-EV03.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0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Texto argumentativo.</w:t>
            </w:r>
            <w:r>
              <w:rPr>
                <w:color w:val="000000"/>
                <w:sz w:val="18"/>
                <w:szCs w:val="18"/>
              </w:rPr>
              <w:br/>
              <w:t>GA11-210201501-AA3-EV04.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GA11-210201501-AA4 - Comprender la importancia de las acciones e instituciones encargadas de la protección de los derechos del trabajo, los pueblos y la naturaleza, según el contexto territorial específico.</w:t>
            </w:r>
          </w:p>
        </w:tc>
        <w:tc>
          <w:tcPr>
            <w:tcW w:w="259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210201501-04 - Participar en acciones solidarias teniendo en cuenta el ejercicio de los derechos humanos, de los pueblos y de la naturaleza.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Foro Estado social de derecho.</w:t>
            </w:r>
            <w:r>
              <w:rPr>
                <w:color w:val="000000"/>
                <w:sz w:val="18"/>
                <w:szCs w:val="18"/>
              </w:rPr>
              <w:br/>
              <w:t>GA11-210201501-AA4-EV01.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13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9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Presentación. </w:t>
            </w:r>
            <w:r>
              <w:rPr>
                <w:color w:val="000000"/>
                <w:sz w:val="18"/>
                <w:szCs w:val="18"/>
              </w:rPr>
              <w:br/>
              <w:t>GA11-210201501-AA4-EV02.</w:t>
            </w:r>
          </w:p>
          <w:p w:rsidR="005C0947" w:rsidRDefault="005C0947" w:rsidP="005C0947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GA12-220501105-AA1 - Administrar la plataforma de monitoreo, establecer políticas que den respuesta a la solución de incidentes y documentar el resultado de los procesos, de acuerdo con las políticas de la organización.</w:t>
            </w: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220501105-03 - Monitorear el funcionamiento de la infraestructura tecnológica de red de acuerdo con políticas y criterios técnicos de la organización.</w:t>
            </w:r>
          </w:p>
        </w:tc>
        <w:tc>
          <w:tcPr>
            <w:tcW w:w="2535" w:type="dxa"/>
            <w:vMerge w:val="restart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 xml:space="preserve">Evidencia de producto: 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Lista de verificación del alistamiento y configuración de la plataforma de gestión y monitoreo.</w:t>
            </w:r>
            <w:r>
              <w:rPr>
                <w:color w:val="000000"/>
                <w:sz w:val="18"/>
                <w:szCs w:val="18"/>
              </w:rPr>
              <w:br/>
              <w:t>GA12-220501105-AA1-EV01.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vMerge w:val="restart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72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595" w:type="dxa"/>
            <w:shd w:val="clear" w:color="auto" w:fill="auto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220501105-04 - Gestionar los recursos tecnológicos, utilizando herramientas de administración y monitoreo.</w:t>
            </w:r>
          </w:p>
        </w:tc>
        <w:tc>
          <w:tcPr>
            <w:tcW w:w="2535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06" w:type="dxa"/>
            <w:vMerge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GA12-240201526-AA1 - Diseñar su proyecto de vida, de acuerdo con el reconocimiento de principios y valores éticos.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240201526-01 - Promover mi dignidad y la del otro a partir de los principios y valores éticos como aporte en la instauración de una cultura de paz.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Presentación del proyecto de vida. </w:t>
            </w:r>
            <w:r>
              <w:rPr>
                <w:color w:val="000000"/>
                <w:sz w:val="18"/>
                <w:szCs w:val="18"/>
              </w:rPr>
              <w:br/>
              <w:t>GA12-240201526-AA1-EV01.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GA12-240201526-AA2 - Reconocer los conceptos sobre la vida en comunidad, teniendo como base las relaciones con el contexto social y el sector productivo de su programa.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240201526-02 - Establecer relaciones de crecimiento personal y comunitario a partir del bien común como aporte para el desarrollo social. 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Diagrama de sistemas.</w:t>
            </w:r>
            <w:r>
              <w:rPr>
                <w:color w:val="000000"/>
                <w:sz w:val="18"/>
                <w:szCs w:val="18"/>
              </w:rPr>
              <w:br/>
              <w:t>GA12-240201526-AA2-EV01.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GA12-240201526-AA3 - Proponer estrategias para promover el uso racional de los recursos, de acuerdo con criterios de sustentabilidad ética que contribuyan a una cultura de paz.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240201526-03 - Promover el uso racional de los recursos naturales a partir de criterios de sostenibilidad y sustentabilidad ética y normativa vigente.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Estrategia para el uso racional de los recursos naturales. </w:t>
            </w:r>
            <w:r>
              <w:rPr>
                <w:color w:val="000000"/>
                <w:sz w:val="18"/>
                <w:szCs w:val="18"/>
              </w:rPr>
              <w:br/>
              <w:t>GA12-240201526-AA3-EV01.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bookmarkStart w:id="3" w:name="_GoBack"/>
            <w:bookmarkEnd w:id="3"/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5C0947" w:rsidTr="009805AE">
        <w:trPr>
          <w:trHeight w:val="960"/>
          <w:jc w:val="center"/>
        </w:trPr>
        <w:tc>
          <w:tcPr>
            <w:tcW w:w="1911" w:type="dxa"/>
            <w:vMerge/>
            <w:shd w:val="clear" w:color="auto" w:fill="auto"/>
            <w:vAlign w:val="center"/>
          </w:tcPr>
          <w:p w:rsidR="005C0947" w:rsidRDefault="005C0947" w:rsidP="005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GA12-240201526-AA4 - Reflexionar alrededor de acuerdos de paz, teniendo en cuenta el contexto social y la dignidad humana.</w:t>
            </w:r>
          </w:p>
        </w:tc>
        <w:tc>
          <w:tcPr>
            <w:tcW w:w="259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240201526-04 - Contribuir con el fortalecimiento de la cultura de paz a partir de la dignidad humana y las estrategias para la transformación de conflictos.</w:t>
            </w:r>
          </w:p>
        </w:tc>
        <w:tc>
          <w:tcPr>
            <w:tcW w:w="253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 xml:space="preserve">Solución del caso. </w:t>
            </w:r>
            <w:r>
              <w:rPr>
                <w:color w:val="000000"/>
                <w:sz w:val="18"/>
                <w:szCs w:val="18"/>
              </w:rPr>
              <w:br/>
              <w:t>GA12-240201526-AA4-EV01.</w:t>
            </w:r>
          </w:p>
          <w:p w:rsidR="005C0947" w:rsidRDefault="005C0947" w:rsidP="005C094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:rsidR="005C0947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06" w:type="dxa"/>
            <w:shd w:val="clear" w:color="auto" w:fill="FFFFFF"/>
            <w:vAlign w:val="center"/>
          </w:tcPr>
          <w:p w:rsidR="005C0947" w:rsidRPr="0087280E" w:rsidRDefault="005C0947" w:rsidP="005C0947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</w:tbl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Nota 1: </w:t>
      </w:r>
      <w:r w:rsidR="00394FE0">
        <w:rPr>
          <w:sz w:val="18"/>
          <w:szCs w:val="18"/>
        </w:rPr>
        <w:t>d</w:t>
      </w:r>
      <w:r>
        <w:rPr>
          <w:sz w:val="18"/>
          <w:szCs w:val="18"/>
        </w:rPr>
        <w:t>eberá ajustar este documento, añadiendo la cantidad de casillas necesarias para las actividades, evidencias, RAP y demás información concerniente con el programa a desarrollar.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2:</w:t>
      </w:r>
      <w:r w:rsidR="00394FE0">
        <w:rPr>
          <w:sz w:val="18"/>
          <w:szCs w:val="18"/>
        </w:rPr>
        <w:t xml:space="preserve">  e</w:t>
      </w:r>
      <w:r>
        <w:rPr>
          <w:sz w:val="18"/>
          <w:szCs w:val="18"/>
        </w:rPr>
        <w:t xml:space="preserve">l cronograma deberá ser ajustado con los tiempos reales de formación, teniendo en cuenta las fechas registradas en el Sistema de Gestión Académica, los plazos para el desarrollo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 las actividades y las guías de aprendizaje.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3:</w:t>
      </w:r>
      <w:r w:rsidR="00394FE0">
        <w:rPr>
          <w:sz w:val="18"/>
          <w:szCs w:val="18"/>
        </w:rPr>
        <w:t xml:space="preserve"> u</w:t>
      </w:r>
      <w:r>
        <w:rPr>
          <w:sz w:val="18"/>
          <w:szCs w:val="18"/>
        </w:rPr>
        <w:t>na vez ajustado</w:t>
      </w:r>
      <w:r w:rsidR="00394FE0">
        <w:rPr>
          <w:sz w:val="18"/>
          <w:szCs w:val="18"/>
        </w:rPr>
        <w:t>,</w:t>
      </w:r>
      <w:r>
        <w:rPr>
          <w:sz w:val="18"/>
          <w:szCs w:val="18"/>
        </w:rPr>
        <w:t xml:space="preserve"> cambiar el color verde de la fuente por color negro. </w:t>
      </w: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sectPr w:rsidR="00822EB9">
      <w:headerReference w:type="default" r:id="rId11"/>
      <w:footerReference w:type="default" r:id="rId12"/>
      <w:pgSz w:w="15840" w:h="12240" w:orient="landscape"/>
      <w:pgMar w:top="1701" w:right="1134" w:bottom="1134" w:left="1134" w:header="709" w:footer="9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BAE" w:rsidRDefault="008C4BAE">
      <w:pPr>
        <w:spacing w:after="0" w:line="240" w:lineRule="auto"/>
      </w:pPr>
      <w:r>
        <w:separator/>
      </w:r>
    </w:p>
  </w:endnote>
  <w:endnote w:type="continuationSeparator" w:id="0">
    <w:p w:rsidR="008C4BAE" w:rsidRDefault="008C4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2595" cy="234315"/>
                        <a:chOff x="3219700" y="3662825"/>
                        <a:chExt cx="4252600" cy="234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3219703" y="3662843"/>
                          <a:ext cx="4252595" cy="234315"/>
                          <a:chOff x="0" y="0"/>
                          <a:chExt cx="5485885" cy="30289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485875" cy="30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06670" w:rsidRDefault="007066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63970" y="0"/>
                            <a:ext cx="262191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759"/>
                            <a:ext cx="246189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2595" cy="234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BAE" w:rsidRDefault="008C4BAE">
      <w:pPr>
        <w:spacing w:after="0" w:line="240" w:lineRule="auto"/>
      </w:pPr>
      <w:r>
        <w:separator/>
      </w:r>
    </w:p>
  </w:footnote>
  <w:footnote w:type="continuationSeparator" w:id="0">
    <w:p w:rsidR="008C4BAE" w:rsidRDefault="008C4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B9"/>
    <w:rsid w:val="000328BE"/>
    <w:rsid w:val="000952C7"/>
    <w:rsid w:val="0014794F"/>
    <w:rsid w:val="0015005E"/>
    <w:rsid w:val="00181282"/>
    <w:rsid w:val="001C18A4"/>
    <w:rsid w:val="001C3D95"/>
    <w:rsid w:val="00232D5C"/>
    <w:rsid w:val="002C716E"/>
    <w:rsid w:val="002F0941"/>
    <w:rsid w:val="00346343"/>
    <w:rsid w:val="00394FE0"/>
    <w:rsid w:val="00447E6D"/>
    <w:rsid w:val="00492C29"/>
    <w:rsid w:val="005118F4"/>
    <w:rsid w:val="0052357E"/>
    <w:rsid w:val="005C0947"/>
    <w:rsid w:val="00635E3C"/>
    <w:rsid w:val="00672AE3"/>
    <w:rsid w:val="00684CA3"/>
    <w:rsid w:val="007043F3"/>
    <w:rsid w:val="00706670"/>
    <w:rsid w:val="00716911"/>
    <w:rsid w:val="007275FA"/>
    <w:rsid w:val="007E2E32"/>
    <w:rsid w:val="0080700A"/>
    <w:rsid w:val="00822035"/>
    <w:rsid w:val="00822EB9"/>
    <w:rsid w:val="00862743"/>
    <w:rsid w:val="008664D7"/>
    <w:rsid w:val="008A6FA4"/>
    <w:rsid w:val="008C4BAE"/>
    <w:rsid w:val="008E4CBE"/>
    <w:rsid w:val="008E4E76"/>
    <w:rsid w:val="009103CC"/>
    <w:rsid w:val="00912858"/>
    <w:rsid w:val="0094134A"/>
    <w:rsid w:val="009805AE"/>
    <w:rsid w:val="009A7EBA"/>
    <w:rsid w:val="009B68B0"/>
    <w:rsid w:val="009B69C5"/>
    <w:rsid w:val="009C00DA"/>
    <w:rsid w:val="00A66DDC"/>
    <w:rsid w:val="00AB2BA0"/>
    <w:rsid w:val="00B0638C"/>
    <w:rsid w:val="00CD042C"/>
    <w:rsid w:val="00CD27C6"/>
    <w:rsid w:val="00D04C2D"/>
    <w:rsid w:val="00D235B4"/>
    <w:rsid w:val="00DE15C5"/>
    <w:rsid w:val="00E23A9D"/>
    <w:rsid w:val="00E432C1"/>
    <w:rsid w:val="00E912C5"/>
    <w:rsid w:val="00ED4047"/>
    <w:rsid w:val="00F0717C"/>
    <w:rsid w:val="00F16FA1"/>
    <w:rsid w:val="00F53F23"/>
    <w:rsid w:val="00FB3A54"/>
    <w:rsid w:val="00FF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D763"/>
  <w15:docId w15:val="{0334F0BC-ADAD-488D-979B-F6AF43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1D13B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320"/>
  </w:style>
  <w:style w:type="paragraph" w:styleId="Piedepgina">
    <w:name w:val="footer"/>
    <w:basedOn w:val="Normal"/>
    <w:link w:val="Piedepgina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20"/>
  </w:style>
  <w:style w:type="paragraph" w:styleId="NormalWeb">
    <w:name w:val="Normal (Web)"/>
    <w:basedOn w:val="Normal"/>
    <w:uiPriority w:val="99"/>
    <w:unhideWhenUsed/>
    <w:rsid w:val="00DD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fnt0">
    <w:name w:val="fnt0"/>
    <w:basedOn w:val="Fuentedeprrafopredeter"/>
    <w:rsid w:val="00DD0C63"/>
  </w:style>
  <w:style w:type="character" w:styleId="Textoennegrita">
    <w:name w:val="Strong"/>
    <w:basedOn w:val="Fuentedeprrafopredeter"/>
    <w:uiPriority w:val="22"/>
    <w:qFormat/>
    <w:rsid w:val="0059429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E00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9D38E5"/>
  </w:style>
  <w:style w:type="table" w:customStyle="1" w:styleId="TableNormal1">
    <w:name w:val="Table Normal1"/>
    <w:uiPriority w:val="2"/>
    <w:semiHidden/>
    <w:unhideWhenUsed/>
    <w:qFormat/>
    <w:rsid w:val="006F34A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34AB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rsid w:val="006F34AB"/>
    <w:rPr>
      <w:color w:val="0000FF"/>
      <w:u w:val="single"/>
    </w:rPr>
  </w:style>
  <w:style w:type="paragraph" w:customStyle="1" w:styleId="Default">
    <w:name w:val="Default"/>
    <w:link w:val="DefaultCar"/>
    <w:rsid w:val="00D70FAB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character" w:customStyle="1" w:styleId="DefaultCar">
    <w:name w:val="Default Car"/>
    <w:link w:val="Default"/>
    <w:rsid w:val="00D70FAB"/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table" w:styleId="Sombreadomedio2-nfasis5">
    <w:name w:val="Medium Shading 2 Accent 5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B202E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A0E349F008B644AAB6A282E0D042D17E">
    <w:name w:val="A0E349F008B644AAB6A282E0D042D17E"/>
    <w:rsid w:val="0054457E"/>
    <w:rPr>
      <w:rFonts w:eastAsiaTheme="minorEastAsia"/>
      <w:lang w:eastAsia="es-CO"/>
    </w:rPr>
  </w:style>
  <w:style w:type="character" w:styleId="nfasis">
    <w:name w:val="Emphasis"/>
    <w:qFormat/>
    <w:rsid w:val="00DD4F25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259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9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59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9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90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Xr+PKwr5ojTiKgn6IYRcj5/fg==">CgMxLjAyDmguaWVud2UzM2hyZTliMghoLmdqZGd4czIJaC4zMGowemxsOAByITFKV25fbjNvZE1EOGtBTzRyUXdmTFhGbHo5cHZJODNqSA==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D2D4B2-3EB9-480E-8FCE-F8799A3BE6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8EADE8E-8BB3-41FC-A927-1EE76BA216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3AD9E0-0AB9-4E35-BD3A-D09F6D541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</Pages>
  <Words>2645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ervicio Nacional de Aprendizaje SENA</dc:creator>
  <cp:lastModifiedBy>Luis Fernando Amortegui Garcia</cp:lastModifiedBy>
  <cp:revision>43</cp:revision>
  <dcterms:created xsi:type="dcterms:W3CDTF">2023-10-20T01:56:00Z</dcterms:created>
  <dcterms:modified xsi:type="dcterms:W3CDTF">2023-12-13T20:24:00Z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MSIP_Label_1299739c-ad3d-4908-806e-4d91151a6e13_Enabled">
    <vt:lpwstr>true</vt:lpwstr>
  </property>
  <property fmtid="{D5CDD505-2E9C-101B-9397-08002B2CF9AE}" pid="13" name="MSIP_Label_1299739c-ad3d-4908-806e-4d91151a6e13_SetDate">
    <vt:lpwstr>2023-10-20T01:56:32Z</vt:lpwstr>
  </property>
  <property fmtid="{D5CDD505-2E9C-101B-9397-08002B2CF9AE}" pid="14" name="MSIP_Label_1299739c-ad3d-4908-806e-4d91151a6e13_Method">
    <vt:lpwstr>Standard</vt:lpwstr>
  </property>
  <property fmtid="{D5CDD505-2E9C-101B-9397-08002B2CF9AE}" pid="15" name="MSIP_Label_1299739c-ad3d-4908-806e-4d91151a6e13_Name">
    <vt:lpwstr>All Employees (Unrestricted)</vt:lpwstr>
  </property>
  <property fmtid="{D5CDD505-2E9C-101B-9397-08002B2CF9AE}" pid="16" name="MSIP_Label_1299739c-ad3d-4908-806e-4d91151a6e13_SiteId">
    <vt:lpwstr>cbc2c381-2f2e-4d93-91d1-506c9316ace7</vt:lpwstr>
  </property>
  <property fmtid="{D5CDD505-2E9C-101B-9397-08002B2CF9AE}" pid="17" name="MSIP_Label_1299739c-ad3d-4908-806e-4d91151a6e13_ActionId">
    <vt:lpwstr>6d600862-567d-44da-8215-94cc8ae2d376</vt:lpwstr>
  </property>
  <property fmtid="{D5CDD505-2E9C-101B-9397-08002B2CF9AE}" pid="18" name="MSIP_Label_1299739c-ad3d-4908-806e-4d91151a6e13_ContentBits">
    <vt:lpwstr>0</vt:lpwstr>
  </property>
</Properties>
</file>