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907EE" w14:textId="658A22D3" w:rsidR="000076B0" w:rsidRPr="000076B0" w:rsidRDefault="000076B0" w:rsidP="000076B0">
      <w:pPr>
        <w:rPr>
          <w:b/>
          <w:bCs/>
          <w:sz w:val="28"/>
          <w:szCs w:val="28"/>
        </w:rPr>
      </w:pPr>
      <w:r w:rsidRPr="000076B0">
        <w:rPr>
          <w:b/>
          <w:bCs/>
          <w:sz w:val="28"/>
          <w:szCs w:val="28"/>
        </w:rPr>
        <w:t>Crudo</w:t>
      </w:r>
    </w:p>
    <w:p w14:paraId="28CC7DE0" w14:textId="51826CEC" w:rsidR="000076B0" w:rsidRDefault="000076B0" w:rsidP="000076B0">
      <w:r w:rsidRPr="000076B0">
        <w:t xml:space="preserve">En cuanto a las reservas probadas de crudo, al cierre de 2023 se registraron </w:t>
      </w:r>
      <w:r w:rsidRPr="000076B0">
        <w:rPr>
          <w:b/>
          <w:bCs/>
        </w:rPr>
        <w:t>2.019 millones de barriles</w:t>
      </w:r>
      <w:r w:rsidRPr="000076B0">
        <w:t xml:space="preserve">, lo que representa una leve disminución del </w:t>
      </w:r>
      <w:r w:rsidRPr="000076B0">
        <w:rPr>
          <w:b/>
          <w:bCs/>
        </w:rPr>
        <w:t>2,6%</w:t>
      </w:r>
      <w:r w:rsidRPr="000076B0">
        <w:t xml:space="preserve"> frente a las reservas de 2022. Esta reducción se explica por un menor nivel de incorporación de reservas nuevas, que para este periodo fue de </w:t>
      </w:r>
      <w:r w:rsidRPr="000076B0">
        <w:rPr>
          <w:b/>
          <w:bCs/>
        </w:rPr>
        <w:t>229 millones de barriles</w:t>
      </w:r>
      <w:r w:rsidRPr="000076B0">
        <w:t xml:space="preserve">, en contraste con los </w:t>
      </w:r>
      <w:r w:rsidRPr="000076B0">
        <w:rPr>
          <w:b/>
          <w:bCs/>
        </w:rPr>
        <w:t>310 millones</w:t>
      </w:r>
      <w:r w:rsidRPr="000076B0">
        <w:t xml:space="preserve"> del año anterior. El índice de reemplazo de reservas se situó en </w:t>
      </w:r>
      <w:r w:rsidRPr="000076B0">
        <w:rPr>
          <w:b/>
          <w:bCs/>
        </w:rPr>
        <w:t>0,81</w:t>
      </w:r>
      <w:r w:rsidRPr="000076B0">
        <w:t xml:space="preserve">, lo que indica que por cada barril extraído se incorporaron menos de uno al balance de reservas, lo cual es una señal de alerta para la sostenibilidad a largo plazo del recurso. No obstante, la </w:t>
      </w:r>
      <w:r w:rsidRPr="000076B0">
        <w:rPr>
          <w:b/>
          <w:bCs/>
        </w:rPr>
        <w:t>relación reservas-producción (R/P)</w:t>
      </w:r>
      <w:r w:rsidRPr="000076B0">
        <w:t xml:space="preserve"> se ubicó en </w:t>
      </w:r>
      <w:r w:rsidRPr="000076B0">
        <w:rPr>
          <w:b/>
          <w:bCs/>
        </w:rPr>
        <w:t>7,1 años</w:t>
      </w:r>
      <w:r w:rsidRPr="000076B0">
        <w:t>, manteniéndose dentro de un rango históricamente estable.</w:t>
      </w:r>
      <w:r>
        <w:tab/>
      </w:r>
      <w:r>
        <w:tab/>
      </w:r>
      <w:r>
        <w:tab/>
      </w:r>
      <w:r>
        <w:tab/>
      </w:r>
    </w:p>
    <w:p w14:paraId="1DC8ABE9" w14:textId="798287DB" w:rsidR="000076B0" w:rsidRDefault="000076B0" w:rsidP="000076B0">
      <w:r>
        <w:tab/>
      </w:r>
      <w:r>
        <w:tab/>
      </w:r>
      <w:r>
        <w:tab/>
      </w:r>
      <w:r>
        <w:tab/>
      </w:r>
      <w:r>
        <w:rPr>
          <w:noProof/>
        </w:rPr>
        <w:drawing>
          <wp:inline distT="0" distB="0" distL="0" distR="0" wp14:anchorId="1FA2CFBA" wp14:editId="21EDC721">
            <wp:extent cx="5612130" cy="3465195"/>
            <wp:effectExtent l="0" t="0" r="0" b="0"/>
            <wp:docPr id="331898107" name="Gráfico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D41DEF" w14:textId="346B80B4" w:rsidR="000076B0" w:rsidRDefault="000076B0" w:rsidP="000076B0">
      <w:r>
        <w:tab/>
      </w:r>
      <w:r>
        <w:tab/>
      </w:r>
      <w:r>
        <w:tab/>
      </w:r>
      <w:r>
        <w:tab/>
      </w:r>
      <w:r>
        <w:tab/>
      </w:r>
      <w:r>
        <w:tab/>
      </w:r>
      <w:r>
        <w:tab/>
      </w:r>
      <w:r>
        <w:tab/>
      </w:r>
    </w:p>
    <w:p w14:paraId="1F8D4A4B" w14:textId="77777777" w:rsidR="000076B0" w:rsidRDefault="000076B0" w:rsidP="000076B0">
      <w:r>
        <w:tab/>
      </w:r>
      <w:r>
        <w:tab/>
      </w:r>
      <w:r>
        <w:tab/>
      </w:r>
      <w:r>
        <w:tab/>
      </w:r>
      <w:r>
        <w:tab/>
      </w:r>
      <w:r>
        <w:tab/>
      </w:r>
    </w:p>
    <w:p w14:paraId="4FC06A33" w14:textId="20AFD4B0" w:rsidR="000076B0" w:rsidRDefault="000076B0" w:rsidP="000076B0">
      <w:r>
        <w:tab/>
      </w:r>
      <w:r>
        <w:tab/>
      </w:r>
      <w:r>
        <w:tab/>
      </w:r>
      <w:r>
        <w:tab/>
      </w:r>
      <w:r>
        <w:tab/>
      </w:r>
      <w:r>
        <w:tab/>
      </w:r>
      <w:r>
        <w:tab/>
      </w:r>
      <w:r>
        <w:tab/>
      </w:r>
      <w:r>
        <w:tab/>
      </w:r>
      <w:r>
        <w:tab/>
      </w:r>
      <w:r>
        <w:tab/>
      </w:r>
      <w:r>
        <w:tab/>
      </w:r>
    </w:p>
    <w:p w14:paraId="36DB200C" w14:textId="3C59E0C2" w:rsidR="000076B0" w:rsidRDefault="000076B0" w:rsidP="000076B0">
      <w:r>
        <w:t>L</w:t>
      </w:r>
      <w:r w:rsidRPr="000076B0">
        <w:t xml:space="preserve">a producción fiscalizada de crudo en Colombia </w:t>
      </w:r>
      <w:r w:rsidR="005512C4">
        <w:t xml:space="preserve">para el año 2023 </w:t>
      </w:r>
      <w:r w:rsidRPr="000076B0">
        <w:t xml:space="preserve">mostró una recuperación sostenida frente al año 2022. El promedio anual alcanzó los </w:t>
      </w:r>
      <w:r w:rsidRPr="000076B0">
        <w:rPr>
          <w:b/>
          <w:bCs/>
        </w:rPr>
        <w:t>23.638 barriles diarios</w:t>
      </w:r>
      <w:r w:rsidRPr="000076B0">
        <w:t xml:space="preserve">, lo que representa un aumento del </w:t>
      </w:r>
      <w:r w:rsidRPr="000076B0">
        <w:rPr>
          <w:b/>
          <w:bCs/>
        </w:rPr>
        <w:t>3,0%</w:t>
      </w:r>
      <w:r w:rsidRPr="000076B0">
        <w:t xml:space="preserve"> respecto a los </w:t>
      </w:r>
      <w:r w:rsidRPr="000076B0">
        <w:rPr>
          <w:b/>
          <w:bCs/>
        </w:rPr>
        <w:t>22.944 barriles diarios</w:t>
      </w:r>
      <w:r w:rsidRPr="000076B0">
        <w:t xml:space="preserve"> registrados en 2022. Esta mejora refleja una mayor estabilidad operativa en los campos de producción, así como una recuperación gradual de la actividad exploratoria y de extracción tras los efectos de la pandemia y la coyuntura internacional.</w:t>
      </w:r>
    </w:p>
    <w:p w14:paraId="258C1D45" w14:textId="3DC44A14" w:rsidR="000076B0" w:rsidRPr="000076B0" w:rsidRDefault="000076B0" w:rsidP="000076B0">
      <w:r>
        <w:rPr>
          <w:noProof/>
        </w:rPr>
        <w:lastRenderedPageBreak/>
        <w:drawing>
          <wp:inline distT="0" distB="0" distL="0" distR="0" wp14:anchorId="2E5AB15E" wp14:editId="2C2F073D">
            <wp:extent cx="5612130" cy="3274695"/>
            <wp:effectExtent l="0" t="0" r="7620" b="1905"/>
            <wp:docPr id="444665011" name="Gráfico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694EBE" w14:textId="77777777" w:rsidR="000076B0" w:rsidRPr="000076B0" w:rsidRDefault="000076B0" w:rsidP="000076B0">
      <w:r w:rsidRPr="000076B0">
        <w:t xml:space="preserve">En términos mensuales, se observa que </w:t>
      </w:r>
      <w:r w:rsidRPr="000076B0">
        <w:rPr>
          <w:b/>
          <w:bCs/>
        </w:rPr>
        <w:t>todos los meses del año 2023 presentaron cifras superiores</w:t>
      </w:r>
      <w:r w:rsidRPr="000076B0">
        <w:t xml:space="preserve"> a sus equivalentes del año anterior. Por ejemplo, en enero de 2023 se registró una producción de </w:t>
      </w:r>
      <w:r w:rsidRPr="000076B0">
        <w:rPr>
          <w:b/>
          <w:bCs/>
        </w:rPr>
        <w:t>23.992 barriles diarios</w:t>
      </w:r>
      <w:r w:rsidRPr="000076B0">
        <w:t xml:space="preserve">, lo que representa un crecimiento del </w:t>
      </w:r>
      <w:r w:rsidRPr="000076B0">
        <w:rPr>
          <w:b/>
          <w:bCs/>
        </w:rPr>
        <w:t>4,4%</w:t>
      </w:r>
      <w:r w:rsidRPr="000076B0">
        <w:t xml:space="preserve"> frente al mismo mes en 2022. Esta tendencia positiva se mantuvo a lo largo del primer semestre, con variaciones interanuales que oscilaron entre el 2,6% y el 4,1%. Este comportamiento sugiere una mejora en las condiciones de operación, así como el impacto de inversiones y mantenimientos programados.</w:t>
      </w:r>
    </w:p>
    <w:p w14:paraId="55FE9574" w14:textId="77777777" w:rsidR="000076B0" w:rsidRDefault="000076B0" w:rsidP="000076B0">
      <w:r w:rsidRPr="000076B0">
        <w:t>Geográficamente, las regiones productoras tradicionales continuaron consolidando su participación en el total nacional. Departamentos como Meta, Casanare y Arauca se mantuvieron como los principales centros de extracción, gracias a su infraestructura establecida y reservas activas. Asimismo, la producción estuvo acompañada de un comportamiento favorable en las exportaciones, tanto en volumen como en valor, impulsadas en parte por los precios internacionales del crudo.</w:t>
      </w:r>
    </w:p>
    <w:p w14:paraId="1C182AA3" w14:textId="4D997098" w:rsidR="000076B0" w:rsidRPr="000076B0" w:rsidRDefault="000076B0" w:rsidP="000076B0">
      <w:r>
        <w:rPr>
          <w:noProof/>
        </w:rPr>
        <w:lastRenderedPageBreak/>
        <w:drawing>
          <wp:inline distT="0" distB="0" distL="0" distR="0" wp14:anchorId="12815987" wp14:editId="52F08C51">
            <wp:extent cx="5612130" cy="4842510"/>
            <wp:effectExtent l="0" t="0" r="7620" b="0"/>
            <wp:docPr id="1617358528" name="Gráfico 1">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B87974" w14:textId="40C85D0C" w:rsidR="000076B0" w:rsidRPr="000076B0" w:rsidRDefault="000076B0" w:rsidP="000076B0">
      <w:r w:rsidRPr="000076B0">
        <w:t>No obstante, a pesar de esta recuperación, los niveles de producción aún se mantienen por debajo de los alcanzados en 2020, lo que plantea retos estructurales para el sector en términos de sostenibilidad de la oferta. Las políticas públicas deberán continuar promoviendo mecanismos de atracción de inversión y tecnificación, asegurando además un balance entre la producción y los compromisos climáticos del país.</w:t>
      </w:r>
    </w:p>
    <w:p w14:paraId="66F6A25D" w14:textId="01F72E49" w:rsidR="008C1C17" w:rsidRDefault="000076B0">
      <w:r w:rsidRPr="000076B0">
        <w:t xml:space="preserve">A nivel internacional, el comportamiento del mercado petrolero también mostró una tendencia de recuperación. En 2023, la producción mundial de crudo alcanzó los </w:t>
      </w:r>
      <w:r w:rsidRPr="000076B0">
        <w:rPr>
          <w:b/>
          <w:bCs/>
        </w:rPr>
        <w:t>9</w:t>
      </w:r>
      <w:r w:rsidR="00120768">
        <w:rPr>
          <w:b/>
          <w:bCs/>
        </w:rPr>
        <w:t>6</w:t>
      </w:r>
      <w:r w:rsidRPr="000076B0">
        <w:rPr>
          <w:b/>
          <w:bCs/>
        </w:rPr>
        <w:t>,</w:t>
      </w:r>
      <w:r w:rsidR="00120768">
        <w:rPr>
          <w:b/>
          <w:bCs/>
        </w:rPr>
        <w:t>3</w:t>
      </w:r>
      <w:r w:rsidRPr="000076B0">
        <w:rPr>
          <w:b/>
          <w:bCs/>
        </w:rPr>
        <w:t xml:space="preserve"> millones de barriles por día</w:t>
      </w:r>
      <w:r w:rsidRPr="000076B0">
        <w:t xml:space="preserve">, evidenciando un crecimiento anual del </w:t>
      </w:r>
      <w:r w:rsidRPr="000076B0">
        <w:rPr>
          <w:b/>
          <w:bCs/>
        </w:rPr>
        <w:t>2,</w:t>
      </w:r>
      <w:r w:rsidR="00120768">
        <w:rPr>
          <w:b/>
          <w:bCs/>
        </w:rPr>
        <w:t>2</w:t>
      </w:r>
      <w:r w:rsidRPr="000076B0">
        <w:rPr>
          <w:b/>
          <w:bCs/>
        </w:rPr>
        <w:t>%</w:t>
      </w:r>
      <w:r w:rsidRPr="000076B0">
        <w:t xml:space="preserve"> con respecto a 2022. Este repunte estuvo liderado por países como Estados Unidos, Arabia Saudita y Rusia, y estuvo impulsado por una mayor demanda energética global tras la reactivación económica postpandemia. En términos de consumo, </w:t>
      </w:r>
      <w:r w:rsidR="00120768">
        <w:t xml:space="preserve">para 2023 </w:t>
      </w:r>
      <w:r w:rsidRPr="000076B0">
        <w:t xml:space="preserve">la cifra global se situó en </w:t>
      </w:r>
      <w:r w:rsidRPr="000076B0">
        <w:rPr>
          <w:b/>
          <w:bCs/>
        </w:rPr>
        <w:t>101 millones de barriles por día</w:t>
      </w:r>
      <w:r w:rsidRPr="000076B0">
        <w:t xml:space="preserve">, reflejando una recuperación sostenida con una tasa de crecimiento del </w:t>
      </w:r>
      <w:r w:rsidR="00120768">
        <w:rPr>
          <w:b/>
          <w:bCs/>
        </w:rPr>
        <w:t>2</w:t>
      </w:r>
      <w:r w:rsidRPr="000076B0">
        <w:rPr>
          <w:b/>
          <w:bCs/>
        </w:rPr>
        <w:t>,6%</w:t>
      </w:r>
      <w:r w:rsidRPr="000076B0">
        <w:t xml:space="preserve">. Por su parte, los precios internacionales del petróleo también presentaron un comportamiento favorable durante gran parte del año, con un precio promedio del Brent superior a los </w:t>
      </w:r>
      <w:r w:rsidRPr="000076B0">
        <w:rPr>
          <w:b/>
          <w:bCs/>
        </w:rPr>
        <w:t>80 USD por barril</w:t>
      </w:r>
      <w:r w:rsidRPr="000076B0">
        <w:t xml:space="preserve">, lo cual contribuyó a mejorar el valor de las exportaciones colombianas. Este contexto global crea un entorno propicio para que Colombia fortalezca su capacidad productiva y aproveche las </w:t>
      </w:r>
      <w:r w:rsidRPr="000076B0">
        <w:lastRenderedPageBreak/>
        <w:t>oportunidades comerciales del mercado externo, sin dejar de lado los desafíos asociados a la transición energética.</w:t>
      </w:r>
    </w:p>
    <w:p w14:paraId="49777A93" w14:textId="27B62BEB" w:rsidR="000076B0" w:rsidRDefault="000076B0">
      <w:r>
        <w:rPr>
          <w:noProof/>
        </w:rPr>
        <w:drawing>
          <wp:inline distT="0" distB="0" distL="0" distR="0" wp14:anchorId="12BF8D85" wp14:editId="2FDAEBD5">
            <wp:extent cx="5612130" cy="4046220"/>
            <wp:effectExtent l="0" t="0" r="7620" b="0"/>
            <wp:docPr id="140756136" name="Gráfico 1" title="Gráfico">
              <a:extLst xmlns:a="http://schemas.openxmlformats.org/drawingml/2006/main">
                <a:ext uri="{FF2B5EF4-FFF2-40B4-BE49-F238E27FC236}">
                  <a16:creationId xmlns:a16="http://schemas.microsoft.com/office/drawing/2014/main" id="{00000000-0008-0000-2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9B6A57" w14:textId="77A6471E" w:rsidR="000076B0" w:rsidRDefault="000076B0">
      <w:r>
        <w:rPr>
          <w:noProof/>
        </w:rPr>
        <w:lastRenderedPageBreak/>
        <w:drawing>
          <wp:inline distT="0" distB="0" distL="0" distR="0" wp14:anchorId="41033246" wp14:editId="07186233">
            <wp:extent cx="5612130" cy="3988435"/>
            <wp:effectExtent l="0" t="0" r="7620" b="0"/>
            <wp:docPr id="1496792898" name="Gráfico 1">
              <a:extLst xmlns:a="http://schemas.openxmlformats.org/drawingml/2006/main">
                <a:ext uri="{FF2B5EF4-FFF2-40B4-BE49-F238E27FC236}">
                  <a16:creationId xmlns:a16="http://schemas.microsoft.com/office/drawing/2014/main" id="{00000000-0008-0000-2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6A6E57" w14:textId="162FE1CC" w:rsidR="002B2C63" w:rsidRDefault="002B2C63">
      <w:pPr>
        <w:rPr>
          <w:b/>
          <w:bCs/>
          <w:sz w:val="28"/>
          <w:szCs w:val="28"/>
        </w:rPr>
      </w:pPr>
      <w:r w:rsidRPr="002B2C63">
        <w:rPr>
          <w:b/>
          <w:bCs/>
          <w:sz w:val="28"/>
          <w:szCs w:val="28"/>
        </w:rPr>
        <w:t>Combustibles Líquidos</w:t>
      </w:r>
    </w:p>
    <w:p w14:paraId="6C47DB2F" w14:textId="77777777" w:rsidR="002B2C63" w:rsidRDefault="002B2C63">
      <w:pPr>
        <w:rPr>
          <w:b/>
          <w:bCs/>
          <w:sz w:val="28"/>
          <w:szCs w:val="28"/>
        </w:rPr>
      </w:pPr>
    </w:p>
    <w:p w14:paraId="736FEC43" w14:textId="6C0DA3F7" w:rsidR="002B2C63" w:rsidRPr="002B2C63" w:rsidRDefault="00A84AE3" w:rsidP="002B2C63">
      <w:r w:rsidRPr="00A84AE3">
        <w:t xml:space="preserve">Durante el año 2023, la producción nacional de combustibles líquidos derivados del petróleo mostró un comportamiento mixto. La producción de gasolinas (motor corriente y extra) alcanzó los </w:t>
      </w:r>
      <w:r w:rsidRPr="00A84AE3">
        <w:rPr>
          <w:b/>
          <w:bCs/>
        </w:rPr>
        <w:t>1</w:t>
      </w:r>
      <w:r w:rsidR="00120768">
        <w:rPr>
          <w:b/>
          <w:bCs/>
        </w:rPr>
        <w:t>80</w:t>
      </w:r>
      <w:r w:rsidRPr="00A84AE3">
        <w:rPr>
          <w:b/>
          <w:bCs/>
        </w:rPr>
        <w:t>.</w:t>
      </w:r>
      <w:r w:rsidR="00120768">
        <w:rPr>
          <w:b/>
          <w:bCs/>
        </w:rPr>
        <w:t>822</w:t>
      </w:r>
      <w:r w:rsidRPr="00A84AE3">
        <w:rPr>
          <w:b/>
          <w:bCs/>
        </w:rPr>
        <w:t xml:space="preserve"> barriles diarios</w:t>
      </w:r>
      <w:r w:rsidR="00120768">
        <w:t xml:space="preserve"> entre las dos</w:t>
      </w:r>
      <w:r w:rsidRPr="00A84AE3">
        <w:t xml:space="preserve">, lo que representa un </w:t>
      </w:r>
      <w:r w:rsidRPr="00A84AE3">
        <w:rPr>
          <w:b/>
          <w:bCs/>
        </w:rPr>
        <w:t>incremento del 4</w:t>
      </w:r>
      <w:r w:rsidR="00442414">
        <w:rPr>
          <w:b/>
          <w:bCs/>
        </w:rPr>
        <w:t>4</w:t>
      </w:r>
      <w:r w:rsidRPr="00A84AE3">
        <w:rPr>
          <w:b/>
          <w:bCs/>
        </w:rPr>
        <w:t>%</w:t>
      </w:r>
      <w:r w:rsidRPr="00A84AE3">
        <w:t xml:space="preserve"> en comparación con los </w:t>
      </w:r>
      <w:r w:rsidRPr="00A84AE3">
        <w:rPr>
          <w:b/>
          <w:bCs/>
        </w:rPr>
        <w:t>12</w:t>
      </w:r>
      <w:r w:rsidR="00120768">
        <w:rPr>
          <w:b/>
          <w:bCs/>
        </w:rPr>
        <w:t>4</w:t>
      </w:r>
      <w:r w:rsidRPr="00A84AE3">
        <w:rPr>
          <w:b/>
          <w:bCs/>
        </w:rPr>
        <w:t>.8</w:t>
      </w:r>
      <w:r w:rsidR="00120768">
        <w:rPr>
          <w:b/>
          <w:bCs/>
        </w:rPr>
        <w:t>45</w:t>
      </w:r>
      <w:r w:rsidRPr="00A84AE3">
        <w:rPr>
          <w:b/>
          <w:bCs/>
        </w:rPr>
        <w:t xml:space="preserve"> barriles diarios registrados en 2022</w:t>
      </w:r>
      <w:r w:rsidRPr="00A84AE3">
        <w:t xml:space="preserve">. Este crecimiento está asociado a una mayor disponibilidad operativa en las refinerías del país y a un repunte en la demanda nacional. Sin embargo, la producción de diésel (ACPM) registró una caída significativa, al pasar de </w:t>
      </w:r>
      <w:r w:rsidRPr="00A84AE3">
        <w:rPr>
          <w:b/>
          <w:bCs/>
        </w:rPr>
        <w:t>192.501 barriles diarios en 2022</w:t>
      </w:r>
      <w:r w:rsidRPr="00A84AE3">
        <w:t xml:space="preserve"> a </w:t>
      </w:r>
      <w:r w:rsidRPr="00A84AE3">
        <w:rPr>
          <w:b/>
          <w:bCs/>
        </w:rPr>
        <w:t>129.811 barriles diarios en 2023</w:t>
      </w:r>
      <w:r w:rsidRPr="00A84AE3">
        <w:t xml:space="preserve">, lo que representa una reducción del </w:t>
      </w:r>
      <w:r w:rsidRPr="00A84AE3">
        <w:rPr>
          <w:b/>
          <w:bCs/>
        </w:rPr>
        <w:t>32,6%</w:t>
      </w:r>
      <w:r w:rsidRPr="00A84AE3">
        <w:t>, posiblemente relacionada con ajustes operativos en la carga de crudo y priorización de otros productos refinados.</w:t>
      </w:r>
      <w:r w:rsidR="002B2C63">
        <w:rPr>
          <w:noProof/>
        </w:rPr>
        <w:drawing>
          <wp:inline distT="0" distB="0" distL="0" distR="0" wp14:anchorId="3B2D7DE4" wp14:editId="490CDB4D">
            <wp:extent cx="5631371" cy="1733107"/>
            <wp:effectExtent l="0" t="0" r="7620" b="635"/>
            <wp:docPr id="1113474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8951" cy="1741595"/>
                    </a:xfrm>
                    <a:prstGeom prst="rect">
                      <a:avLst/>
                    </a:prstGeom>
                    <a:noFill/>
                  </pic:spPr>
                </pic:pic>
              </a:graphicData>
            </a:graphic>
          </wp:inline>
        </w:drawing>
      </w:r>
    </w:p>
    <w:p w14:paraId="42EB56F5" w14:textId="77777777" w:rsidR="002B2C63" w:rsidRDefault="002B2C63" w:rsidP="002B2C63">
      <w:r w:rsidRPr="002B2C63">
        <w:lastRenderedPageBreak/>
        <w:t xml:space="preserve">En cuanto a los precios internos, durante 2023 se observó un comportamiento al alza, en línea con la política de ajuste gradual del precio de la gasolina corriente para reducir el déficit del Fondo de Estabilización de Precios de los Combustibles (FEPC). El precio promedio nacional del galón de gasolina corriente alcanzó niveles cercanos a los </w:t>
      </w:r>
      <w:r w:rsidRPr="002B2C63">
        <w:rPr>
          <w:b/>
          <w:bCs/>
        </w:rPr>
        <w:t>14.000 pesos</w:t>
      </w:r>
      <w:r w:rsidRPr="002B2C63">
        <w:t xml:space="preserve">, mientras que el diésel se mantuvo relativamente estable en un promedio cercano a los </w:t>
      </w:r>
      <w:r w:rsidRPr="002B2C63">
        <w:rPr>
          <w:b/>
          <w:bCs/>
        </w:rPr>
        <w:t>9.065 pesos por galón</w:t>
      </w:r>
      <w:r w:rsidRPr="002B2C63">
        <w:t>, sin mayores variaciones hasta finales del año. Esta brecha refleja el tratamiento diferencial que ha tenido cada combustible en las decisiones de política pública sobre precios.</w:t>
      </w:r>
    </w:p>
    <w:p w14:paraId="0C0ED11D" w14:textId="4EA540EC" w:rsidR="002B2C63" w:rsidRPr="002B2C63" w:rsidRDefault="002B2C63" w:rsidP="002B2C63">
      <w:r>
        <w:rPr>
          <w:noProof/>
        </w:rPr>
        <w:drawing>
          <wp:inline distT="0" distB="0" distL="0" distR="0" wp14:anchorId="37320206" wp14:editId="7DB322A0">
            <wp:extent cx="5330939" cy="3391786"/>
            <wp:effectExtent l="0" t="0" r="3175" b="0"/>
            <wp:docPr id="9062406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749" cy="3398027"/>
                    </a:xfrm>
                    <a:prstGeom prst="rect">
                      <a:avLst/>
                    </a:prstGeom>
                    <a:noFill/>
                  </pic:spPr>
                </pic:pic>
              </a:graphicData>
            </a:graphic>
          </wp:inline>
        </w:drawing>
      </w:r>
    </w:p>
    <w:p w14:paraId="5973CA0C" w14:textId="77777777" w:rsidR="002B2C63" w:rsidRDefault="002B2C63" w:rsidP="002B2C63">
      <w:r w:rsidRPr="002B2C63">
        <w:t xml:space="preserve">Adicionalmente, la participación de </w:t>
      </w:r>
      <w:r w:rsidRPr="002B2C63">
        <w:rPr>
          <w:b/>
          <w:bCs/>
        </w:rPr>
        <w:t>biocombustibles</w:t>
      </w:r>
      <w:r w:rsidRPr="002B2C63">
        <w:t xml:space="preserve"> continuó siendo significativa en la matriz de combustibles líquidos. En 2023 se incorporaron en promedio </w:t>
      </w:r>
      <w:r w:rsidRPr="002B2C63">
        <w:rPr>
          <w:b/>
          <w:bCs/>
        </w:rPr>
        <w:t>10% de etanol</w:t>
      </w:r>
      <w:r w:rsidRPr="002B2C63">
        <w:t xml:space="preserve"> en las gasolinas tipo corriente y extra, mientras que el biodiésel representó mezclas de </w:t>
      </w:r>
      <w:r w:rsidRPr="002B2C63">
        <w:rPr>
          <w:b/>
          <w:bCs/>
        </w:rPr>
        <w:t>hasta el 10% en el ACPM</w:t>
      </w:r>
      <w:r w:rsidRPr="002B2C63">
        <w:t>, cumpliendo con las metas regulatorias del Ministerio de Minas y Energía. Sin embargo, la producción nacional de estos biocombustibles también registró leves descensos, lo que sugiere oportunidades para fortalecer la cadena de suministro local y diversificar fuentes.</w:t>
      </w:r>
    </w:p>
    <w:p w14:paraId="4189E40A" w14:textId="01D0C7F1" w:rsidR="002B2C63" w:rsidRDefault="002B2C63" w:rsidP="002B2C63">
      <w:r>
        <w:rPr>
          <w:noProof/>
        </w:rPr>
        <w:lastRenderedPageBreak/>
        <w:drawing>
          <wp:inline distT="0" distB="0" distL="0" distR="0" wp14:anchorId="47F5C971" wp14:editId="246CEAF2">
            <wp:extent cx="5370786" cy="3261789"/>
            <wp:effectExtent l="0" t="0" r="1905" b="0"/>
            <wp:docPr id="17582024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509" cy="3274375"/>
                    </a:xfrm>
                    <a:prstGeom prst="rect">
                      <a:avLst/>
                    </a:prstGeom>
                    <a:noFill/>
                  </pic:spPr>
                </pic:pic>
              </a:graphicData>
            </a:graphic>
          </wp:inline>
        </w:drawing>
      </w:r>
    </w:p>
    <w:p w14:paraId="6D94B7AC" w14:textId="7C854611" w:rsidR="00442414" w:rsidRPr="002B2C63" w:rsidRDefault="00442414" w:rsidP="002B2C63">
      <w:r>
        <w:rPr>
          <w:noProof/>
        </w:rPr>
        <w:drawing>
          <wp:inline distT="0" distB="0" distL="0" distR="0" wp14:anchorId="37C99E5F" wp14:editId="524EC674">
            <wp:extent cx="5407454" cy="3164840"/>
            <wp:effectExtent l="0" t="0" r="3175" b="0"/>
            <wp:docPr id="1131601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6633" cy="3170212"/>
                    </a:xfrm>
                    <a:prstGeom prst="rect">
                      <a:avLst/>
                    </a:prstGeom>
                    <a:noFill/>
                  </pic:spPr>
                </pic:pic>
              </a:graphicData>
            </a:graphic>
          </wp:inline>
        </w:drawing>
      </w:r>
    </w:p>
    <w:p w14:paraId="5F4F7C3B" w14:textId="5AD08CDB" w:rsidR="002B2C63" w:rsidRPr="00A84AE3" w:rsidRDefault="00A84AE3">
      <w:pPr>
        <w:rPr>
          <w:b/>
          <w:bCs/>
          <w:sz w:val="28"/>
          <w:szCs w:val="28"/>
        </w:rPr>
      </w:pPr>
      <w:r w:rsidRPr="00A84AE3">
        <w:rPr>
          <w:b/>
          <w:bCs/>
          <w:sz w:val="28"/>
          <w:szCs w:val="28"/>
        </w:rPr>
        <w:t>Gas</w:t>
      </w:r>
    </w:p>
    <w:p w14:paraId="7CC1939E" w14:textId="77777777" w:rsidR="00A84AE3" w:rsidRDefault="00A84AE3"/>
    <w:p w14:paraId="0BA525D5" w14:textId="07EBB720" w:rsidR="00A84AE3" w:rsidRDefault="00A84AE3" w:rsidP="00A84AE3">
      <w:r w:rsidRPr="00A84AE3">
        <w:t xml:space="preserve">En 2023, las reservas probadas de gas natural en Colombia se ubicaron en </w:t>
      </w:r>
      <w:r w:rsidRPr="00A84AE3">
        <w:rPr>
          <w:b/>
          <w:bCs/>
        </w:rPr>
        <w:t>2.373 giga pies cúbicos (</w:t>
      </w:r>
      <w:proofErr w:type="spellStart"/>
      <w:r w:rsidRPr="00A84AE3">
        <w:rPr>
          <w:b/>
          <w:bCs/>
        </w:rPr>
        <w:t>Gpc</w:t>
      </w:r>
      <w:proofErr w:type="spellEnd"/>
      <w:r w:rsidRPr="00A84AE3">
        <w:rPr>
          <w:b/>
          <w:bCs/>
        </w:rPr>
        <w:t>)</w:t>
      </w:r>
      <w:r w:rsidRPr="00A84AE3">
        <w:t xml:space="preserve">, lo que representa una reducción del </w:t>
      </w:r>
      <w:r w:rsidRPr="00A84AE3">
        <w:rPr>
          <w:b/>
          <w:bCs/>
        </w:rPr>
        <w:t>15,8%</w:t>
      </w:r>
      <w:r w:rsidRPr="00A84AE3">
        <w:t xml:space="preserve"> frente a los </w:t>
      </w:r>
      <w:r w:rsidRPr="00A84AE3">
        <w:rPr>
          <w:b/>
          <w:bCs/>
        </w:rPr>
        <w:t xml:space="preserve">2.817 </w:t>
      </w:r>
      <w:proofErr w:type="spellStart"/>
      <w:r w:rsidRPr="00A84AE3">
        <w:rPr>
          <w:b/>
          <w:bCs/>
        </w:rPr>
        <w:t>Gpc</w:t>
      </w:r>
      <w:proofErr w:type="spellEnd"/>
      <w:r w:rsidRPr="00A84AE3">
        <w:t xml:space="preserve"> reportados en 2022. Esta disminución obedece principalmente a una menor incorporación de reservas, que en este período fue negativa (-58 </w:t>
      </w:r>
      <w:proofErr w:type="spellStart"/>
      <w:r w:rsidRPr="00A84AE3">
        <w:t>Gpc</w:t>
      </w:r>
      <w:proofErr w:type="spellEnd"/>
      <w:r w:rsidRPr="00A84AE3">
        <w:t xml:space="preserve">), contrastando con la incorporación positiva de 45 </w:t>
      </w:r>
      <w:proofErr w:type="spellStart"/>
      <w:r w:rsidRPr="00A84AE3">
        <w:t>Gpc</w:t>
      </w:r>
      <w:proofErr w:type="spellEnd"/>
      <w:r w:rsidRPr="00A84AE3">
        <w:t xml:space="preserve"> del año anterior. Como resultado, el índice de reemplazo de reservas se situó en </w:t>
      </w:r>
      <w:r w:rsidRPr="00A84AE3">
        <w:rPr>
          <w:b/>
          <w:bCs/>
        </w:rPr>
        <w:t>-0,15</w:t>
      </w:r>
      <w:r w:rsidRPr="00A84AE3">
        <w:t xml:space="preserve">, reflejando que no se repuso </w:t>
      </w:r>
      <w:r w:rsidRPr="00A84AE3">
        <w:lastRenderedPageBreak/>
        <w:t xml:space="preserve">lo consumido durante el año. La relación reservas-producción (R/P) pasó de </w:t>
      </w:r>
      <w:r w:rsidRPr="00A84AE3">
        <w:rPr>
          <w:b/>
          <w:bCs/>
        </w:rPr>
        <w:t>7,2 años en 2022</w:t>
      </w:r>
      <w:r w:rsidRPr="00A84AE3">
        <w:t xml:space="preserve"> a </w:t>
      </w:r>
      <w:r w:rsidRPr="00A84AE3">
        <w:rPr>
          <w:b/>
          <w:bCs/>
        </w:rPr>
        <w:t>6,1 años en 2023</w:t>
      </w:r>
      <w:r>
        <w:t>.</w:t>
      </w:r>
    </w:p>
    <w:p w14:paraId="4F205861" w14:textId="2DB5A23B" w:rsidR="00A84AE3" w:rsidRPr="00A84AE3" w:rsidRDefault="00A84AE3" w:rsidP="00A84AE3">
      <w:r>
        <w:rPr>
          <w:noProof/>
        </w:rPr>
        <w:drawing>
          <wp:inline distT="0" distB="0" distL="0" distR="0" wp14:anchorId="49807C4C" wp14:editId="61A66981">
            <wp:extent cx="5667080" cy="2807667"/>
            <wp:effectExtent l="0" t="0" r="0" b="0"/>
            <wp:docPr id="21256600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5914" cy="2812044"/>
                    </a:xfrm>
                    <a:prstGeom prst="rect">
                      <a:avLst/>
                    </a:prstGeom>
                    <a:noFill/>
                  </pic:spPr>
                </pic:pic>
              </a:graphicData>
            </a:graphic>
          </wp:inline>
        </w:drawing>
      </w:r>
    </w:p>
    <w:p w14:paraId="59A90FC7" w14:textId="343E04C9" w:rsidR="00A84AE3" w:rsidRDefault="00A84AE3" w:rsidP="00A84AE3">
      <w:r w:rsidRPr="00A84AE3">
        <w:t>En términos de producción, el gas natural mantuvo un comportamiento relativamente estable. La producción fiscalizada</w:t>
      </w:r>
      <w:r w:rsidR="00442414">
        <w:t xml:space="preserve"> en 2023 </w:t>
      </w:r>
      <w:r w:rsidRPr="00A84AE3">
        <w:t xml:space="preserve">promedio mensual se situó cerca de los </w:t>
      </w:r>
      <w:r w:rsidR="00442414">
        <w:rPr>
          <w:b/>
          <w:bCs/>
        </w:rPr>
        <w:t>47</w:t>
      </w:r>
      <w:r w:rsidRPr="00A84AE3">
        <w:rPr>
          <w:b/>
          <w:bCs/>
        </w:rPr>
        <w:t xml:space="preserve">.000 millones de pies </w:t>
      </w:r>
      <w:r w:rsidRPr="00442414">
        <w:rPr>
          <w:b/>
          <w:bCs/>
        </w:rPr>
        <w:t>cúbicos (MPC)</w:t>
      </w:r>
      <w:r w:rsidR="00442414" w:rsidRPr="00442414">
        <w:t>. A</w:t>
      </w:r>
      <w:r w:rsidRPr="00442414">
        <w:t>unque</w:t>
      </w:r>
      <w:r w:rsidRPr="00A84AE3">
        <w:t xml:space="preserve"> el suministro fue suficiente para cubrir la demanda interna, se evidencia una alta concentración en algunos campos y cuencas, lo cual representa un riesgo estructural si no se diversifica la base productiva.</w:t>
      </w:r>
    </w:p>
    <w:p w14:paraId="13EF9828" w14:textId="5D25DFD1" w:rsidR="00A84AE3" w:rsidRPr="00A84AE3" w:rsidRDefault="00A84AE3" w:rsidP="00A84AE3">
      <w:r>
        <w:rPr>
          <w:noProof/>
        </w:rPr>
        <w:drawing>
          <wp:inline distT="0" distB="0" distL="0" distR="0" wp14:anchorId="10CBF806" wp14:editId="19E362C1">
            <wp:extent cx="5458909" cy="3198244"/>
            <wp:effectExtent l="0" t="0" r="8890" b="2540"/>
            <wp:docPr id="8671897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366" cy="3204371"/>
                    </a:xfrm>
                    <a:prstGeom prst="rect">
                      <a:avLst/>
                    </a:prstGeom>
                    <a:noFill/>
                  </pic:spPr>
                </pic:pic>
              </a:graphicData>
            </a:graphic>
          </wp:inline>
        </w:drawing>
      </w:r>
    </w:p>
    <w:p w14:paraId="45CF365C" w14:textId="628EEC9A" w:rsidR="00A84AE3" w:rsidRDefault="00A84AE3" w:rsidP="00A84AE3">
      <w:r w:rsidRPr="00A84AE3">
        <w:t xml:space="preserve">Desde el punto de vista del consumo, el sector industrial se mantuvo como el principal usuario del gas natural, seguido del térmico, el residencial y </w:t>
      </w:r>
      <w:r w:rsidR="00442414">
        <w:t>las refinerías</w:t>
      </w:r>
      <w:r w:rsidRPr="00A84AE3">
        <w:t xml:space="preserve">. El consumo total mostró un leve </w:t>
      </w:r>
      <w:r w:rsidRPr="00A84AE3">
        <w:lastRenderedPageBreak/>
        <w:t>crecimiento respecto a 2022, en línea con la recuperación económica y la expansión de la cobertura. El sector residencial, por su parte, mantuvo un patrón estable de consumo mensual, mientras que el segmento de gas natural vehicular (GNV)</w:t>
      </w:r>
      <w:r w:rsidR="00801762">
        <w:t xml:space="preserve"> </w:t>
      </w:r>
      <w:r w:rsidRPr="00A84AE3">
        <w:t>mostró una ligera reducción.</w:t>
      </w:r>
    </w:p>
    <w:p w14:paraId="77F1E532" w14:textId="2724B53C" w:rsidR="00A84AE3" w:rsidRPr="00A84AE3" w:rsidRDefault="00A84AE3" w:rsidP="00A84AE3">
      <w:r>
        <w:rPr>
          <w:noProof/>
        </w:rPr>
        <w:drawing>
          <wp:inline distT="0" distB="0" distL="0" distR="0" wp14:anchorId="087022AD" wp14:editId="7D37CF64">
            <wp:extent cx="5318361" cy="3162975"/>
            <wp:effectExtent l="0" t="0" r="0" b="0"/>
            <wp:docPr id="5017774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858" cy="3169812"/>
                    </a:xfrm>
                    <a:prstGeom prst="rect">
                      <a:avLst/>
                    </a:prstGeom>
                    <a:noFill/>
                  </pic:spPr>
                </pic:pic>
              </a:graphicData>
            </a:graphic>
          </wp:inline>
        </w:drawing>
      </w:r>
    </w:p>
    <w:p w14:paraId="29ACDDA3" w14:textId="48F5BD61" w:rsidR="00A84AE3" w:rsidRDefault="00A84AE3" w:rsidP="00A84AE3">
      <w:r w:rsidRPr="00A84AE3">
        <w:t xml:space="preserve">La </w:t>
      </w:r>
      <w:r w:rsidRPr="00A84AE3">
        <w:rPr>
          <w:b/>
          <w:bCs/>
        </w:rPr>
        <w:t>cobertura del servicio</w:t>
      </w:r>
      <w:r w:rsidRPr="00A84AE3">
        <w:t xml:space="preserve"> continuó expandiéndose en 2023, consolidando al gas natural como una fuente energética esencial para los hogares colombianos. El número de usuarios residenciales superó los </w:t>
      </w:r>
      <w:r w:rsidRPr="00A84AE3">
        <w:rPr>
          <w:b/>
          <w:bCs/>
        </w:rPr>
        <w:t>1</w:t>
      </w:r>
      <w:r w:rsidR="00801762">
        <w:rPr>
          <w:b/>
          <w:bCs/>
        </w:rPr>
        <w:t>1</w:t>
      </w:r>
      <w:r w:rsidRPr="00A84AE3">
        <w:rPr>
          <w:b/>
          <w:bCs/>
        </w:rPr>
        <w:t>,6 millones</w:t>
      </w:r>
      <w:r w:rsidRPr="00A84AE3">
        <w:t>, con avances importantes en municipios intermedios y rurales. Estos logros fueron posibles gracias a proyectos de conexión a redes troncales, gasoductos virtuales y sistemas de distribución local, los cuales también contribuyeron a mejorar los índices de equidad energética en el país.</w:t>
      </w:r>
    </w:p>
    <w:p w14:paraId="39E107F3" w14:textId="0F2C5F76" w:rsidR="00A84AE3" w:rsidRDefault="00A84AE3" w:rsidP="00A84AE3">
      <w:r>
        <w:rPr>
          <w:noProof/>
        </w:rPr>
        <w:lastRenderedPageBreak/>
        <w:drawing>
          <wp:inline distT="0" distB="0" distL="0" distR="0" wp14:anchorId="2B137AE2" wp14:editId="63C888E1">
            <wp:extent cx="5506188" cy="3734613"/>
            <wp:effectExtent l="0" t="0" r="0" b="0"/>
            <wp:docPr id="133814479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9701" cy="3743778"/>
                    </a:xfrm>
                    <a:prstGeom prst="rect">
                      <a:avLst/>
                    </a:prstGeom>
                    <a:noFill/>
                  </pic:spPr>
                </pic:pic>
              </a:graphicData>
            </a:graphic>
          </wp:inline>
        </w:drawing>
      </w:r>
    </w:p>
    <w:p w14:paraId="7D1252AC" w14:textId="1F48BD46" w:rsidR="00A84AE3" w:rsidRPr="00A84AE3" w:rsidRDefault="00A84AE3" w:rsidP="00A84AE3">
      <w:r w:rsidRPr="00A84AE3">
        <w:t xml:space="preserve">En el componente de precios, se observó una </w:t>
      </w:r>
      <w:r w:rsidRPr="00A84AE3">
        <w:rPr>
          <w:b/>
          <w:bCs/>
        </w:rPr>
        <w:t>estabilidad relativa</w:t>
      </w:r>
      <w:r w:rsidRPr="00A84AE3">
        <w:t xml:space="preserve"> en los valores promedio para usuarios finales, aunque con diferencias regionales según la estructura tarifaria y los costos de transporte. En el contexto internacional, los precios del gas natural descendieron</w:t>
      </w:r>
      <w:r w:rsidR="00801762">
        <w:t xml:space="preserve"> en 2023</w:t>
      </w:r>
      <w:r w:rsidRPr="00A84AE3">
        <w:t xml:space="preserve"> respecto a los máximos registrados en 2022, reduciendo así la presión sobre los costos de abastecimiento. Sin embargo, el escenario de reducción de reservas locales refuerza la necesidad de avanzar en infraestructura de respaldo, almacenamiento y proyectos de importación, en particular en la costa Caribe.</w:t>
      </w:r>
    </w:p>
    <w:p w14:paraId="735D6D0D" w14:textId="379FE81B" w:rsidR="00A84AE3" w:rsidRPr="002B2C63" w:rsidRDefault="00A84AE3">
      <w:r>
        <w:rPr>
          <w:noProof/>
        </w:rPr>
        <w:lastRenderedPageBreak/>
        <w:drawing>
          <wp:inline distT="0" distB="0" distL="0" distR="0" wp14:anchorId="2CE5334F" wp14:editId="27004956">
            <wp:extent cx="5782591" cy="3471316"/>
            <wp:effectExtent l="0" t="0" r="8890" b="0"/>
            <wp:docPr id="14877135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4483" cy="3478455"/>
                    </a:xfrm>
                    <a:prstGeom prst="rect">
                      <a:avLst/>
                    </a:prstGeom>
                    <a:noFill/>
                  </pic:spPr>
                </pic:pic>
              </a:graphicData>
            </a:graphic>
          </wp:inline>
        </w:drawing>
      </w:r>
    </w:p>
    <w:sectPr w:rsidR="00A84AE3" w:rsidRPr="002B2C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0"/>
    <w:rsid w:val="000076B0"/>
    <w:rsid w:val="00120768"/>
    <w:rsid w:val="00182714"/>
    <w:rsid w:val="002B2C63"/>
    <w:rsid w:val="00442414"/>
    <w:rsid w:val="00545B4A"/>
    <w:rsid w:val="005512C4"/>
    <w:rsid w:val="00801762"/>
    <w:rsid w:val="008C1C17"/>
    <w:rsid w:val="009A4D6D"/>
    <w:rsid w:val="00A84AE3"/>
    <w:rsid w:val="00F825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C3A5"/>
  <w15:chartTrackingRefBased/>
  <w15:docId w15:val="{C688CE68-28FE-4FCC-8C53-5E109C2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7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76B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76B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76B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7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7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7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7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6B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76B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76B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76B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76B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7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7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7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76B0"/>
    <w:rPr>
      <w:rFonts w:eastAsiaTheme="majorEastAsia" w:cstheme="majorBidi"/>
      <w:color w:val="272727" w:themeColor="text1" w:themeTint="D8"/>
    </w:rPr>
  </w:style>
  <w:style w:type="paragraph" w:styleId="Ttulo">
    <w:name w:val="Title"/>
    <w:basedOn w:val="Normal"/>
    <w:next w:val="Normal"/>
    <w:link w:val="TtuloCar"/>
    <w:uiPriority w:val="10"/>
    <w:qFormat/>
    <w:rsid w:val="0000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7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76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7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76B0"/>
    <w:pPr>
      <w:spacing w:before="160"/>
      <w:jc w:val="center"/>
    </w:pPr>
    <w:rPr>
      <w:i/>
      <w:iCs/>
      <w:color w:val="404040" w:themeColor="text1" w:themeTint="BF"/>
    </w:rPr>
  </w:style>
  <w:style w:type="character" w:customStyle="1" w:styleId="CitaCar">
    <w:name w:val="Cita Car"/>
    <w:basedOn w:val="Fuentedeprrafopredeter"/>
    <w:link w:val="Cita"/>
    <w:uiPriority w:val="29"/>
    <w:rsid w:val="000076B0"/>
    <w:rPr>
      <w:i/>
      <w:iCs/>
      <w:color w:val="404040" w:themeColor="text1" w:themeTint="BF"/>
    </w:rPr>
  </w:style>
  <w:style w:type="paragraph" w:styleId="Prrafodelista">
    <w:name w:val="List Paragraph"/>
    <w:basedOn w:val="Normal"/>
    <w:uiPriority w:val="34"/>
    <w:qFormat/>
    <w:rsid w:val="000076B0"/>
    <w:pPr>
      <w:ind w:left="720"/>
      <w:contextualSpacing/>
    </w:pPr>
  </w:style>
  <w:style w:type="character" w:styleId="nfasisintenso">
    <w:name w:val="Intense Emphasis"/>
    <w:basedOn w:val="Fuentedeprrafopredeter"/>
    <w:uiPriority w:val="21"/>
    <w:qFormat/>
    <w:rsid w:val="000076B0"/>
    <w:rPr>
      <w:i/>
      <w:iCs/>
      <w:color w:val="2F5496" w:themeColor="accent1" w:themeShade="BF"/>
    </w:rPr>
  </w:style>
  <w:style w:type="paragraph" w:styleId="Citadestacada">
    <w:name w:val="Intense Quote"/>
    <w:basedOn w:val="Normal"/>
    <w:next w:val="Normal"/>
    <w:link w:val="CitadestacadaCar"/>
    <w:uiPriority w:val="30"/>
    <w:qFormat/>
    <w:rsid w:val="00007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76B0"/>
    <w:rPr>
      <w:i/>
      <w:iCs/>
      <w:color w:val="2F5496" w:themeColor="accent1" w:themeShade="BF"/>
    </w:rPr>
  </w:style>
  <w:style w:type="character" w:styleId="Referenciaintensa">
    <w:name w:val="Intense Reference"/>
    <w:basedOn w:val="Fuentedeprrafopredeter"/>
    <w:uiPriority w:val="32"/>
    <w:qFormat/>
    <w:rsid w:val="000076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98937">
      <w:bodyDiv w:val="1"/>
      <w:marLeft w:val="0"/>
      <w:marRight w:val="0"/>
      <w:marTop w:val="0"/>
      <w:marBottom w:val="0"/>
      <w:divBdr>
        <w:top w:val="none" w:sz="0" w:space="0" w:color="auto"/>
        <w:left w:val="none" w:sz="0" w:space="0" w:color="auto"/>
        <w:bottom w:val="none" w:sz="0" w:space="0" w:color="auto"/>
        <w:right w:val="none" w:sz="0" w:space="0" w:color="auto"/>
      </w:divBdr>
    </w:div>
    <w:div w:id="799297701">
      <w:bodyDiv w:val="1"/>
      <w:marLeft w:val="0"/>
      <w:marRight w:val="0"/>
      <w:marTop w:val="0"/>
      <w:marBottom w:val="0"/>
      <w:divBdr>
        <w:top w:val="none" w:sz="0" w:space="0" w:color="auto"/>
        <w:left w:val="none" w:sz="0" w:space="0" w:color="auto"/>
        <w:bottom w:val="none" w:sz="0" w:space="0" w:color="auto"/>
        <w:right w:val="none" w:sz="0" w:space="0" w:color="auto"/>
      </w:divBdr>
    </w:div>
    <w:div w:id="832724235">
      <w:bodyDiv w:val="1"/>
      <w:marLeft w:val="0"/>
      <w:marRight w:val="0"/>
      <w:marTop w:val="0"/>
      <w:marBottom w:val="0"/>
      <w:divBdr>
        <w:top w:val="none" w:sz="0" w:space="0" w:color="auto"/>
        <w:left w:val="none" w:sz="0" w:space="0" w:color="auto"/>
        <w:bottom w:val="none" w:sz="0" w:space="0" w:color="auto"/>
        <w:right w:val="none" w:sz="0" w:space="0" w:color="auto"/>
      </w:divBdr>
    </w:div>
    <w:div w:id="1018845984">
      <w:bodyDiv w:val="1"/>
      <w:marLeft w:val="0"/>
      <w:marRight w:val="0"/>
      <w:marTop w:val="0"/>
      <w:marBottom w:val="0"/>
      <w:divBdr>
        <w:top w:val="none" w:sz="0" w:space="0" w:color="auto"/>
        <w:left w:val="none" w:sz="0" w:space="0" w:color="auto"/>
        <w:bottom w:val="none" w:sz="0" w:space="0" w:color="auto"/>
        <w:right w:val="none" w:sz="0" w:space="0" w:color="auto"/>
      </w:divBdr>
    </w:div>
    <w:div w:id="1244266575">
      <w:bodyDiv w:val="1"/>
      <w:marLeft w:val="0"/>
      <w:marRight w:val="0"/>
      <w:marTop w:val="0"/>
      <w:marBottom w:val="0"/>
      <w:divBdr>
        <w:top w:val="none" w:sz="0" w:space="0" w:color="auto"/>
        <w:left w:val="none" w:sz="0" w:space="0" w:color="auto"/>
        <w:bottom w:val="none" w:sz="0" w:space="0" w:color="auto"/>
        <w:right w:val="none" w:sz="0" w:space="0" w:color="auto"/>
      </w:divBdr>
    </w:div>
    <w:div w:id="1669138448">
      <w:bodyDiv w:val="1"/>
      <w:marLeft w:val="0"/>
      <w:marRight w:val="0"/>
      <w:marTop w:val="0"/>
      <w:marBottom w:val="0"/>
      <w:divBdr>
        <w:top w:val="none" w:sz="0" w:space="0" w:color="auto"/>
        <w:left w:val="none" w:sz="0" w:space="0" w:color="auto"/>
        <w:bottom w:val="none" w:sz="0" w:space="0" w:color="auto"/>
        <w:right w:val="none" w:sz="0" w:space="0" w:color="auto"/>
      </w:divBdr>
    </w:div>
    <w:div w:id="1751004678">
      <w:bodyDiv w:val="1"/>
      <w:marLeft w:val="0"/>
      <w:marRight w:val="0"/>
      <w:marTop w:val="0"/>
      <w:marBottom w:val="0"/>
      <w:divBdr>
        <w:top w:val="none" w:sz="0" w:space="0" w:color="auto"/>
        <w:left w:val="none" w:sz="0" w:space="0" w:color="auto"/>
        <w:bottom w:val="none" w:sz="0" w:space="0" w:color="auto"/>
        <w:right w:val="none" w:sz="0" w:space="0" w:color="auto"/>
      </w:divBdr>
    </w:div>
    <w:div w:id="19137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3.png"/><Relationship Id="rId5" Type="http://schemas.openxmlformats.org/officeDocument/2006/relationships/chart" Target="charts/chart2.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ndro%20Rodriguez\Dropbox\2025_UPME\Bolet&#237;n%20Estadistico\Dise&#241;o%20Bolet&#237;n%20Estad&#237;stico%20informaci&#243;n%20Hidrocarburos%202024%20V2_3Abril2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jandro%20Rodriguez\Dropbox\2025_UPME\Bolet&#237;n%20Estadistico\Dise&#241;o%20Bolet&#237;n%20Estad&#237;stico%20informaci&#243;n%20Hidrocarburos%202024%20V2_3Abril2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jandro%20Rodriguez\Dropbox\2025_UPME\Bolet&#237;n%20Estadistico\Dise&#241;o%20Bolet&#237;n%20Estad&#237;stico%20informaci&#243;n%20Hidrocarburos%202024%20V2_3Abril2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ejandro%20Rodriguez\Dropbox\2025_UPME\Bolet&#237;n%20Estadistico\Dise&#241;o%20Bolet&#237;n%20Estad&#237;stico%20informaci&#243;n%20Hidrocarburos%202024%20V2_3Abril2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ejandro%20Rodriguez\Dropbox\2025_UPME\Bolet&#237;n%20Estadistico\Dise&#241;o%20Bolet&#237;n%20Estad&#237;stico%20informaci&#243;n%20Hidrocarburos%202024%20V2_3Abril2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tx1">
                    <a:lumMod val="95000"/>
                    <a:lumOff val="5000"/>
                  </a:schemeClr>
                </a:solidFill>
                <a:effectLst/>
                <a:latin typeface="Verdana" panose="020B0604030504040204" pitchFamily="34" charset="0"/>
                <a:ea typeface="Verdana" panose="020B0604030504040204" pitchFamily="34" charset="0"/>
                <a:cs typeface="+mn-cs"/>
              </a:defRPr>
            </a:pPr>
            <a:r>
              <a:rPr lang="es-CO">
                <a:effectLst/>
                <a:latin typeface="Verdana" panose="020B0604030504040204" pitchFamily="34" charset="0"/>
                <a:ea typeface="Verdana" panose="020B0604030504040204" pitchFamily="34" charset="0"/>
              </a:rPr>
              <a:t>RESERVAS DE PETRÓLEO  </a:t>
            </a:r>
          </a:p>
          <a:p>
            <a:pPr>
              <a:defRPr>
                <a:effectLst/>
                <a:latin typeface="Verdana" panose="020B0604030504040204" pitchFamily="34" charset="0"/>
                <a:ea typeface="Verdana" panose="020B0604030504040204" pitchFamily="34" charset="0"/>
              </a:defRPr>
            </a:pPr>
            <a:r>
              <a:rPr lang="es-CO">
                <a:effectLst/>
                <a:latin typeface="Verdana" panose="020B0604030504040204" pitchFamily="34" charset="0"/>
                <a:ea typeface="Verdana" panose="020B0604030504040204" pitchFamily="34" charset="0"/>
              </a:rPr>
              <a:t>2020-2023</a:t>
            </a:r>
          </a:p>
        </c:rich>
      </c:tx>
      <c:layout>
        <c:manualLayout>
          <c:xMode val="edge"/>
          <c:yMode val="edge"/>
          <c:x val="0.3264619363196512"/>
          <c:y val="1.470390446552947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tx1">
                  <a:lumMod val="95000"/>
                  <a:lumOff val="5000"/>
                </a:schemeClr>
              </a:solidFill>
              <a:effectLst/>
              <a:latin typeface="Verdana" panose="020B0604030504040204" pitchFamily="34" charset="0"/>
              <a:ea typeface="Verdana" panose="020B0604030504040204" pitchFamily="34" charset="0"/>
              <a:cs typeface="+mn-cs"/>
            </a:defRPr>
          </a:pPr>
          <a:endParaRPr lang="es-CO"/>
        </a:p>
      </c:txPr>
    </c:title>
    <c:autoTitleDeleted val="0"/>
    <c:plotArea>
      <c:layout>
        <c:manualLayout>
          <c:layoutTarget val="inner"/>
          <c:xMode val="edge"/>
          <c:yMode val="edge"/>
          <c:x val="0.13384694083445323"/>
          <c:y val="0.17381655277572863"/>
          <c:w val="0.74545268440993129"/>
          <c:h val="0.68464408736126092"/>
        </c:manualLayout>
      </c:layout>
      <c:barChart>
        <c:barDir val="col"/>
        <c:grouping val="clustered"/>
        <c:varyColors val="0"/>
        <c:ser>
          <c:idx val="0"/>
          <c:order val="0"/>
          <c:tx>
            <c:strRef>
              <c:f>Reservas!$C$3</c:f>
              <c:strCache>
                <c:ptCount val="1"/>
                <c:pt idx="0">
                  <c:v>Reservas Probadas (R)
[MB]</c:v>
                </c:pt>
              </c:strCache>
            </c:strRef>
          </c:tx>
          <c:spPr>
            <a:solidFill>
              <a:srgbClr val="183E34"/>
            </a:solidFill>
            <a:ln>
              <a:noFill/>
            </a:ln>
            <a:effectLst>
              <a:outerShdw blurRad="57150" dist="19050" dir="5400000" algn="ctr" rotWithShape="0">
                <a:srgbClr val="000000">
                  <a:alpha val="63000"/>
                </a:srgbClr>
              </a:outerShdw>
            </a:effectLst>
          </c:spPr>
          <c:invertIfNegative val="0"/>
          <c:dPt>
            <c:idx val="0"/>
            <c:invertIfNegative val="0"/>
            <c:bubble3D val="0"/>
            <c:spPr>
              <a:solidFill>
                <a:srgbClr val="183E3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D6C-4763-AA05-FE8E57915D4D}"/>
              </c:ext>
            </c:extLst>
          </c:dPt>
          <c:cat>
            <c:numRef>
              <c:f>Reservas!$B$4:$B$7</c:f>
              <c:numCache>
                <c:formatCode>General</c:formatCode>
                <c:ptCount val="4"/>
                <c:pt idx="0">
                  <c:v>2020</c:v>
                </c:pt>
                <c:pt idx="1">
                  <c:v>2021</c:v>
                </c:pt>
                <c:pt idx="2">
                  <c:v>2022</c:v>
                </c:pt>
                <c:pt idx="3">
                  <c:v>2023</c:v>
                </c:pt>
              </c:numCache>
            </c:numRef>
          </c:cat>
          <c:val>
            <c:numRef>
              <c:f>Reservas!$C$4:$C$7</c:f>
              <c:numCache>
                <c:formatCode>#,##0</c:formatCode>
                <c:ptCount val="4"/>
                <c:pt idx="0">
                  <c:v>1816</c:v>
                </c:pt>
                <c:pt idx="1">
                  <c:v>2039</c:v>
                </c:pt>
                <c:pt idx="2">
                  <c:v>2073</c:v>
                </c:pt>
                <c:pt idx="3">
                  <c:v>2019</c:v>
                </c:pt>
              </c:numCache>
            </c:numRef>
          </c:val>
          <c:extLst>
            <c:ext xmlns:c16="http://schemas.microsoft.com/office/drawing/2014/chart" uri="{C3380CC4-5D6E-409C-BE32-E72D297353CC}">
              <c16:uniqueId val="{00000002-1D6C-4763-AA05-FE8E57915D4D}"/>
            </c:ext>
          </c:extLst>
        </c:ser>
        <c:dLbls>
          <c:showLegendKey val="0"/>
          <c:showVal val="0"/>
          <c:showCatName val="0"/>
          <c:showSerName val="0"/>
          <c:showPercent val="0"/>
          <c:showBubbleSize val="0"/>
        </c:dLbls>
        <c:gapWidth val="150"/>
        <c:axId val="1648213248"/>
        <c:axId val="1648212160"/>
      </c:barChart>
      <c:lineChart>
        <c:grouping val="standard"/>
        <c:varyColors val="0"/>
        <c:ser>
          <c:idx val="1"/>
          <c:order val="1"/>
          <c:tx>
            <c:strRef>
              <c:f>Reservas!$H$3</c:f>
              <c:strCache>
                <c:ptCount val="1"/>
                <c:pt idx="0">
                  <c:v>Relación R/P
(Años)</c:v>
                </c:pt>
              </c:strCache>
            </c:strRef>
          </c:tx>
          <c:spPr>
            <a:ln w="34925" cap="rnd">
              <a:solidFill>
                <a:srgbClr val="C7F425"/>
              </a:solidFill>
              <a:round/>
            </a:ln>
            <a:effectLst>
              <a:outerShdw blurRad="57150" dist="19050" dir="5400000" algn="ctr" rotWithShape="0">
                <a:srgbClr val="000000">
                  <a:alpha val="63000"/>
                </a:srgbClr>
              </a:outerShdw>
            </a:effectLst>
          </c:spPr>
          <c:marker>
            <c:symbol val="none"/>
          </c:marker>
          <c:cat>
            <c:numRef>
              <c:f>Reservas!$B$4:$B$7</c:f>
              <c:numCache>
                <c:formatCode>General</c:formatCode>
                <c:ptCount val="4"/>
                <c:pt idx="0">
                  <c:v>2020</c:v>
                </c:pt>
                <c:pt idx="1">
                  <c:v>2021</c:v>
                </c:pt>
                <c:pt idx="2">
                  <c:v>2022</c:v>
                </c:pt>
                <c:pt idx="3">
                  <c:v>2023</c:v>
                </c:pt>
              </c:numCache>
            </c:numRef>
          </c:cat>
          <c:val>
            <c:numRef>
              <c:f>Reservas!$H$4:$H$7</c:f>
              <c:numCache>
                <c:formatCode>#,##0</c:formatCode>
                <c:ptCount val="4"/>
                <c:pt idx="0">
                  <c:v>6.3</c:v>
                </c:pt>
                <c:pt idx="1">
                  <c:v>7.6</c:v>
                </c:pt>
                <c:pt idx="2">
                  <c:v>7.5</c:v>
                </c:pt>
                <c:pt idx="3">
                  <c:v>7.1</c:v>
                </c:pt>
              </c:numCache>
            </c:numRef>
          </c:val>
          <c:smooth val="0"/>
          <c:extLst>
            <c:ext xmlns:c16="http://schemas.microsoft.com/office/drawing/2014/chart" uri="{C3380CC4-5D6E-409C-BE32-E72D297353CC}">
              <c16:uniqueId val="{00000003-1D6C-4763-AA05-FE8E57915D4D}"/>
            </c:ext>
          </c:extLst>
        </c:ser>
        <c:dLbls>
          <c:showLegendKey val="0"/>
          <c:showVal val="0"/>
          <c:showCatName val="0"/>
          <c:showSerName val="0"/>
          <c:showPercent val="0"/>
          <c:showBubbleSize val="0"/>
        </c:dLbls>
        <c:marker val="1"/>
        <c:smooth val="0"/>
        <c:axId val="1648224128"/>
        <c:axId val="1648234464"/>
      </c:lineChart>
      <c:catAx>
        <c:axId val="16482132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5400000" spcFirstLastPara="1" vertOverflow="ellipsis" wrap="square" anchor="ctr" anchorCtr="1"/>
          <a:lstStyle/>
          <a:p>
            <a:pPr>
              <a:defRPr sz="900" b="0" i="0" u="none" strike="noStrike" kern="1200" baseline="0">
                <a:solidFill>
                  <a:schemeClr val="tx1">
                    <a:lumMod val="95000"/>
                    <a:lumOff val="5000"/>
                  </a:schemeClr>
                </a:solidFill>
                <a:latin typeface="+mn-lt"/>
                <a:ea typeface="+mn-ea"/>
                <a:cs typeface="+mn-cs"/>
              </a:defRPr>
            </a:pPr>
            <a:endParaRPr lang="es-CO"/>
          </a:p>
        </c:txPr>
        <c:crossAx val="1648212160"/>
        <c:crosses val="autoZero"/>
        <c:auto val="1"/>
        <c:lblAlgn val="ctr"/>
        <c:lblOffset val="100"/>
        <c:noMultiLvlLbl val="0"/>
      </c:catAx>
      <c:valAx>
        <c:axId val="1648212160"/>
        <c:scaling>
          <c:orientation val="minMax"/>
        </c:scaling>
        <c:delete val="0"/>
        <c:axPos val="l"/>
        <c:majorGridlines>
          <c:spPr>
            <a:ln w="9525" cap="flat" cmpd="sng" algn="ctr">
              <a:solidFill>
                <a:schemeClr val="lt1">
                  <a:lumMod val="95000"/>
                  <a:alpha val="10000"/>
                </a:schemeClr>
              </a:solidFill>
              <a:round/>
            </a:ln>
            <a:effectLst/>
          </c:spPr>
        </c:majorGridlines>
        <c:title>
          <c:tx>
            <c:strRef>
              <c:f>Reservas!$C$3</c:f>
              <c:strCache>
                <c:ptCount val="1"/>
                <c:pt idx="0">
                  <c:v>Reservas Probadas (R)
[MB]</c:v>
                </c:pt>
              </c:strCache>
            </c:strRef>
          </c:tx>
          <c:layout>
            <c:manualLayout>
              <c:xMode val="edge"/>
              <c:yMode val="edge"/>
              <c:x val="2.4174646901390415E-2"/>
              <c:y val="0.33717365098912705"/>
            </c:manualLayout>
          </c:layout>
          <c:overlay val="0"/>
          <c:spPr>
            <a:noFill/>
            <a:ln>
              <a:noFill/>
            </a:ln>
            <a:effectLst/>
          </c:spPr>
          <c:txPr>
            <a:bodyPr rot="-5400000" spcFirstLastPara="1" vertOverflow="ellipsis" vert="horz" wrap="square" anchor="ctr" anchorCtr="1"/>
            <a:lstStyle/>
            <a:p>
              <a:pPr>
                <a:defRPr sz="1050" b="1" i="0" u="none" strike="noStrike" kern="1200" cap="all" baseline="0">
                  <a:solidFill>
                    <a:schemeClr val="tx1">
                      <a:lumMod val="95000"/>
                      <a:lumOff val="5000"/>
                    </a:schemeClr>
                  </a:solidFill>
                  <a:effectLst/>
                  <a:latin typeface="Verdana" panose="020B0604030504040204" pitchFamily="34" charset="0"/>
                  <a:ea typeface="Verdana" panose="020B0604030504040204" pitchFamily="34" charset="0"/>
                  <a:cs typeface="+mn-cs"/>
                </a:defRPr>
              </a:pPr>
              <a:endParaRPr lang="es-CO"/>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Verdana" panose="020B0604030504040204" pitchFamily="34" charset="0"/>
                <a:ea typeface="Verdana" panose="020B0604030504040204" pitchFamily="34" charset="0"/>
                <a:cs typeface="+mn-cs"/>
              </a:defRPr>
            </a:pPr>
            <a:endParaRPr lang="es-CO"/>
          </a:p>
        </c:txPr>
        <c:crossAx val="1648213248"/>
        <c:crosses val="autoZero"/>
        <c:crossBetween val="between"/>
      </c:valAx>
      <c:valAx>
        <c:axId val="1648234464"/>
        <c:scaling>
          <c:orientation val="minMax"/>
          <c:max val="12"/>
        </c:scaling>
        <c:delete val="0"/>
        <c:axPos val="r"/>
        <c:title>
          <c:tx>
            <c:strRef>
              <c:f>Reservas!$H$3</c:f>
              <c:strCache>
                <c:ptCount val="1"/>
                <c:pt idx="0">
                  <c:v>Relación R/P
(Años)</c:v>
                </c:pt>
              </c:strCache>
            </c:strRef>
          </c:tx>
          <c:overlay val="0"/>
          <c:spPr>
            <a:noFill/>
            <a:ln>
              <a:noFill/>
            </a:ln>
            <a:effectLst/>
          </c:spPr>
          <c:txPr>
            <a:bodyPr rot="-5400000" spcFirstLastPara="1" vertOverflow="ellipsis" vert="horz" wrap="square" anchor="ctr" anchorCtr="1"/>
            <a:lstStyle/>
            <a:p>
              <a:pPr>
                <a:defRPr sz="1100" b="1" i="0" u="none" strike="noStrike" kern="1200" cap="all" baseline="0">
                  <a:solidFill>
                    <a:schemeClr val="tx1">
                      <a:lumMod val="95000"/>
                      <a:lumOff val="5000"/>
                    </a:schemeClr>
                  </a:solidFill>
                  <a:latin typeface="+mn-lt"/>
                  <a:ea typeface="+mn-ea"/>
                  <a:cs typeface="+mn-cs"/>
                </a:defRPr>
              </a:pPr>
              <a:endParaRPr lang="es-CO"/>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Verdana" panose="020B0604030504040204" pitchFamily="34" charset="0"/>
                <a:ea typeface="Verdana" panose="020B0604030504040204" pitchFamily="34" charset="0"/>
                <a:cs typeface="+mn-cs"/>
              </a:defRPr>
            </a:pPr>
            <a:endParaRPr lang="es-CO"/>
          </a:p>
        </c:txPr>
        <c:crossAx val="1648224128"/>
        <c:crosses val="max"/>
        <c:crossBetween val="between"/>
        <c:majorUnit val="2"/>
      </c:valAx>
      <c:catAx>
        <c:axId val="1648224128"/>
        <c:scaling>
          <c:orientation val="minMax"/>
        </c:scaling>
        <c:delete val="1"/>
        <c:axPos val="b"/>
        <c:numFmt formatCode="General" sourceLinked="1"/>
        <c:majorTickMark val="none"/>
        <c:minorTickMark val="none"/>
        <c:tickLblPos val="nextTo"/>
        <c:crossAx val="1648234464"/>
        <c:crosses val="autoZero"/>
        <c:auto val="1"/>
        <c:lblAlgn val="ctr"/>
        <c:lblOffset val="100"/>
        <c:noMultiLvlLbl val="0"/>
      </c:catAx>
      <c:spPr>
        <a:noFill/>
        <a:ln>
          <a:noFill/>
        </a:ln>
        <a:effectLst/>
      </c:spPr>
    </c:plotArea>
    <c:legend>
      <c:legendPos val="b"/>
      <c:layout>
        <c:manualLayout>
          <c:xMode val="edge"/>
          <c:yMode val="edge"/>
          <c:x val="6.3415952286734079E-2"/>
          <c:y val="0.91728995848752015"/>
          <c:w val="0.92448138073838415"/>
          <c:h val="6.800613704695041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mn-lt"/>
              <a:ea typeface="+mn-ea"/>
              <a:cs typeface="+mn-cs"/>
            </a:defRPr>
          </a:pPr>
          <a:endParaRPr lang="es-CO"/>
        </a:p>
      </c:txPr>
    </c:legend>
    <c:plotVisOnly val="1"/>
    <c:dispBlanksAs val="gap"/>
    <c:showDLblsOverMax val="0"/>
  </c:chart>
  <c:spPr>
    <a:noFill/>
    <a:ln>
      <a:noFill/>
    </a:ln>
    <a:effectLst/>
  </c:spPr>
  <c:txPr>
    <a:bodyPr/>
    <a:lstStyle/>
    <a:p>
      <a:pPr>
        <a:defRPr>
          <a:solidFill>
            <a:schemeClr val="tx1">
              <a:lumMod val="95000"/>
              <a:lumOff val="5000"/>
            </a:schemeClr>
          </a:solidFill>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latin typeface="Verdana" panose="020B0604030504040204" pitchFamily="34" charset="0"/>
                <a:ea typeface="Verdana" panose="020B0604030504040204" pitchFamily="34" charset="0"/>
              </a:rPr>
              <a:t>PROMEDIO DE LA PRODUCCIÓN FISCALIZADA ANUAL DE PETRÓLEO</a:t>
            </a:r>
          </a:p>
          <a:p>
            <a:pPr>
              <a:defRPr/>
            </a:pPr>
            <a:r>
              <a:rPr lang="en-US" b="1">
                <a:solidFill>
                  <a:sysClr val="windowText" lastClr="000000"/>
                </a:solidFill>
                <a:latin typeface="Verdana" panose="020B0604030504040204" pitchFamily="34" charset="0"/>
                <a:ea typeface="Verdana" panose="020B0604030504040204" pitchFamily="34" charset="0"/>
              </a:rPr>
              <a:t>2020 - 2023</a:t>
            </a:r>
          </a:p>
        </c:rich>
      </c:tx>
      <c:layout>
        <c:manualLayout>
          <c:xMode val="edge"/>
          <c:yMode val="edge"/>
          <c:x val="0.13139190287496413"/>
          <c:y val="3.10512840072684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238636105966973"/>
          <c:y val="0.25445574860191722"/>
          <c:w val="0.82958333194588274"/>
          <c:h val="0.66308769620223329"/>
        </c:manualLayout>
      </c:layout>
      <c:barChart>
        <c:barDir val="col"/>
        <c:grouping val="clustered"/>
        <c:varyColors val="0"/>
        <c:ser>
          <c:idx val="0"/>
          <c:order val="0"/>
          <c:tx>
            <c:strRef>
              <c:f>'Prod Crudo '!$A$3</c:f>
              <c:strCache>
                <c:ptCount val="1"/>
                <c:pt idx="0">
                  <c:v>Promedio de la Producción anual de Crudo
2015 - 2017</c:v>
                </c:pt>
              </c:strCache>
            </c:strRef>
          </c:tx>
          <c:spPr>
            <a:solidFill>
              <a:srgbClr val="B8F600"/>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'Prod Crudo '!$C$5:$F$5</c:f>
              <c:numCache>
                <c:formatCode>General</c:formatCode>
                <c:ptCount val="4"/>
                <c:pt idx="0">
                  <c:v>2020</c:v>
                </c:pt>
                <c:pt idx="1">
                  <c:v>2021</c:v>
                </c:pt>
                <c:pt idx="2">
                  <c:v>2022</c:v>
                </c:pt>
                <c:pt idx="3">
                  <c:v>2023</c:v>
                </c:pt>
              </c:numCache>
            </c:numRef>
          </c:cat>
          <c:val>
            <c:numRef>
              <c:f>'Prod Crudo '!$C$18:$F$18</c:f>
              <c:numCache>
                <c:formatCode>#,##0.00</c:formatCode>
                <c:ptCount val="4"/>
                <c:pt idx="0">
                  <c:v>23823.032382500005</c:v>
                </c:pt>
                <c:pt idx="1">
                  <c:v>22397.509002849998</c:v>
                </c:pt>
                <c:pt idx="2">
                  <c:v>22943.933291666672</c:v>
                </c:pt>
                <c:pt idx="3">
                  <c:v>23638.355031666666</c:v>
                </c:pt>
              </c:numCache>
            </c:numRef>
          </c:val>
          <c:extLst>
            <c:ext xmlns:c16="http://schemas.microsoft.com/office/drawing/2014/chart" uri="{C3380CC4-5D6E-409C-BE32-E72D297353CC}">
              <c16:uniqueId val="{00000000-9EEA-4C5F-92F1-AEBA2F3F39A6}"/>
            </c:ext>
          </c:extLst>
        </c:ser>
        <c:dLbls>
          <c:dLblPos val="inEnd"/>
          <c:showLegendKey val="0"/>
          <c:showVal val="1"/>
          <c:showCatName val="0"/>
          <c:showSerName val="0"/>
          <c:showPercent val="0"/>
          <c:showBubbleSize val="0"/>
        </c:dLbls>
        <c:gapWidth val="219"/>
        <c:overlap val="-27"/>
        <c:axId val="1648239904"/>
        <c:axId val="1648240448"/>
      </c:barChart>
      <c:catAx>
        <c:axId val="164823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CO"/>
          </a:p>
        </c:txPr>
        <c:crossAx val="1648240448"/>
        <c:crosses val="autoZero"/>
        <c:auto val="1"/>
        <c:lblAlgn val="ctr"/>
        <c:lblOffset val="100"/>
        <c:noMultiLvlLbl val="0"/>
      </c:catAx>
      <c:valAx>
        <c:axId val="164824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1050" b="1">
                    <a:solidFill>
                      <a:sysClr val="windowText" lastClr="000000"/>
                    </a:solidFill>
                    <a:latin typeface="Verdana" panose="020B0604030504040204" pitchFamily="34" charset="0"/>
                    <a:ea typeface="Verdana" panose="020B0604030504040204" pitchFamily="34" charset="0"/>
                  </a:rPr>
                  <a:t>Miles</a:t>
                </a:r>
                <a:r>
                  <a:rPr lang="es-CO" sz="1050" b="1" baseline="0">
                    <a:solidFill>
                      <a:sysClr val="windowText" lastClr="000000"/>
                    </a:solidFill>
                    <a:latin typeface="Verdana" panose="020B0604030504040204" pitchFamily="34" charset="0"/>
                    <a:ea typeface="Verdana" panose="020B0604030504040204" pitchFamily="34" charset="0"/>
                  </a:rPr>
                  <a:t> de Barriles (kB)</a:t>
                </a:r>
                <a:endParaRPr lang="es-CO" sz="1050" b="1">
                  <a:solidFill>
                    <a:sysClr val="windowText" lastClr="000000"/>
                  </a:solidFill>
                  <a:latin typeface="Verdana" panose="020B0604030504040204" pitchFamily="34" charset="0"/>
                  <a:ea typeface="Verdana" panose="020B0604030504040204" pitchFamily="34" charset="0"/>
                </a:endParaRPr>
              </a:p>
            </c:rich>
          </c:tx>
          <c:layout>
            <c:manualLayout>
              <c:xMode val="edge"/>
              <c:yMode val="edge"/>
              <c:x val="1.1240252366951021E-2"/>
              <c:y val="0.361985806410493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CO"/>
          </a:p>
        </c:txPr>
        <c:crossAx val="16482399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s-CO" sz="1200">
                <a:solidFill>
                  <a:sysClr val="windowText" lastClr="000000"/>
                </a:solidFill>
                <a:latin typeface="Verdana" panose="020B0604030504040204" pitchFamily="34" charset="0"/>
                <a:ea typeface="Verdana" panose="020B0604030504040204" pitchFamily="34" charset="0"/>
                <a:cs typeface="Arial" panose="020B0604020202020204" pitchFamily="34" charset="0"/>
              </a:rPr>
              <a:t>DISTRIBUCIÓN DE LA PARTICIPACIÓN POR DEPARTAMENTO EN LA PRODUCCIÓN  FISCALIZADA ANUAL DE PETRÓLEO</a:t>
            </a:r>
          </a:p>
          <a:p>
            <a:pPr>
              <a:defRPr sz="1600">
                <a:latin typeface="Arial" panose="020B0604020202020204" pitchFamily="34" charset="0"/>
                <a:cs typeface="Arial" panose="020B0604020202020204" pitchFamily="34" charset="0"/>
              </a:defRPr>
            </a:pPr>
            <a:r>
              <a:rPr lang="es-CO" sz="1200">
                <a:solidFill>
                  <a:sysClr val="windowText" lastClr="000000"/>
                </a:solidFill>
                <a:latin typeface="Verdana" panose="020B0604030504040204" pitchFamily="34" charset="0"/>
                <a:ea typeface="Verdana" panose="020B0604030504040204" pitchFamily="34" charset="0"/>
                <a:cs typeface="Arial" panose="020B0604020202020204" pitchFamily="34" charset="0"/>
              </a:rPr>
              <a:t>2023</a:t>
            </a:r>
          </a:p>
        </c:rich>
      </c:tx>
      <c:layout>
        <c:manualLayout>
          <c:xMode val="edge"/>
          <c:yMode val="edge"/>
          <c:x val="0.15016164891153311"/>
          <c:y val="3.161162013286836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0.15854703606580375"/>
          <c:y val="0.1898986922994626"/>
          <c:w val="0.62315015555790954"/>
          <c:h val="0.7656333030230813"/>
        </c:manualLayout>
      </c:layout>
      <c:doughnutChart>
        <c:varyColors val="1"/>
        <c:ser>
          <c:idx val="0"/>
          <c:order val="0"/>
          <c:tx>
            <c:strRef>
              <c:f>'Prod Depart. '!$F$4</c:f>
              <c:strCache>
                <c:ptCount val="1"/>
                <c:pt idx="0">
                  <c:v>2023</c:v>
                </c:pt>
              </c:strCache>
            </c:strRef>
          </c:tx>
          <c:dPt>
            <c:idx val="0"/>
            <c:bubble3D val="0"/>
            <c:spPr>
              <a:solidFill>
                <a:srgbClr val="B8F6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9E-4647-96A8-2536F47E4E4F}"/>
              </c:ext>
            </c:extLst>
          </c:dPt>
          <c:dPt>
            <c:idx val="1"/>
            <c:bubble3D val="0"/>
            <c:spPr>
              <a:solidFill>
                <a:srgbClr val="183E3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9E-4647-96A8-2536F47E4E4F}"/>
              </c:ext>
            </c:extLst>
          </c:dPt>
          <c:dPt>
            <c:idx val="2"/>
            <c:bubble3D val="0"/>
            <c:spPr>
              <a:solidFill>
                <a:srgbClr val="0A8C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9E-4647-96A8-2536F47E4E4F}"/>
              </c:ext>
            </c:extLst>
          </c:dPt>
          <c:dPt>
            <c:idx val="3"/>
            <c:bubble3D val="0"/>
            <c:spPr>
              <a:solidFill>
                <a:srgbClr val="05D80A"/>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9E-4647-96A8-2536F47E4E4F}"/>
              </c:ext>
            </c:extLst>
          </c:dPt>
          <c:dPt>
            <c:idx val="4"/>
            <c:bubble3D val="0"/>
            <c:spPr>
              <a:solidFill>
                <a:srgbClr val="EFCA18"/>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19E-4647-96A8-2536F47E4E4F}"/>
              </c:ext>
            </c:extLst>
          </c:dPt>
          <c:dPt>
            <c:idx val="5"/>
            <c:bubble3D val="0"/>
            <c:spPr>
              <a:solidFill>
                <a:srgbClr val="E4B33C"/>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19E-4647-96A8-2536F47E4E4F}"/>
              </c:ext>
            </c:extLst>
          </c:dPt>
          <c:dPt>
            <c:idx val="6"/>
            <c:bubble3D val="0"/>
            <c:spPr>
              <a:solidFill>
                <a:schemeClr val="bg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919E-4647-96A8-2536F47E4E4F}"/>
              </c:ext>
            </c:extLst>
          </c:dPt>
          <c:dPt>
            <c:idx val="7"/>
            <c:bubble3D val="0"/>
            <c:spPr>
              <a:solidFill>
                <a:schemeClr val="accent1">
                  <a:lumMod val="75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919E-4647-96A8-2536F47E4E4F}"/>
              </c:ext>
            </c:extLst>
          </c:dPt>
          <c:dPt>
            <c:idx val="8"/>
            <c:bubble3D val="0"/>
            <c:spPr>
              <a:solidFill>
                <a:srgbClr val="80008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919E-4647-96A8-2536F47E4E4F}"/>
              </c:ext>
            </c:extLst>
          </c:dPt>
          <c:dPt>
            <c:idx val="9"/>
            <c:bubble3D val="0"/>
            <c:spPr>
              <a:solidFill>
                <a:srgbClr val="FF33CC"/>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919E-4647-96A8-2536F47E4E4F}"/>
              </c:ext>
            </c:extLst>
          </c:dPt>
          <c:dLbls>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ysClr val="windowText" lastClr="000000"/>
                    </a:solidFill>
                    <a:latin typeface="Verdana" panose="020B0604030504040204" pitchFamily="34" charset="0"/>
                    <a:ea typeface="Verdana" panose="020B0604030504040204" pitchFamily="34" charset="0"/>
                    <a:cs typeface="Arial" panose="020B0604020202020204" pitchFamily="34" charset="0"/>
                  </a:defRPr>
                </a:pPr>
                <a:endParaRPr lang="es-CO"/>
              </a:p>
            </c:txPr>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'Prod Depart. '!$B$5:$B$14</c:f>
              <c:strCache>
                <c:ptCount val="10"/>
                <c:pt idx="0">
                  <c:v>META</c:v>
                </c:pt>
                <c:pt idx="1">
                  <c:v>CASANARE</c:v>
                </c:pt>
                <c:pt idx="2">
                  <c:v>ARAUCA</c:v>
                </c:pt>
                <c:pt idx="3">
                  <c:v>SANTANDER</c:v>
                </c:pt>
                <c:pt idx="4">
                  <c:v>BOYACA</c:v>
                </c:pt>
                <c:pt idx="5">
                  <c:v>PUTUMAYO</c:v>
                </c:pt>
                <c:pt idx="6">
                  <c:v>CESAR</c:v>
                </c:pt>
                <c:pt idx="7">
                  <c:v>HUILA</c:v>
                </c:pt>
                <c:pt idx="8">
                  <c:v>ANTIOQUIA</c:v>
                </c:pt>
                <c:pt idx="9">
                  <c:v>OTROS</c:v>
                </c:pt>
              </c:strCache>
            </c:strRef>
          </c:cat>
          <c:val>
            <c:numRef>
              <c:f>'Prod Depart. '!$F$5:$F$14</c:f>
              <c:numCache>
                <c:formatCode>#,##0.00</c:formatCode>
                <c:ptCount val="10"/>
                <c:pt idx="0">
                  <c:v>152363.57755999998</c:v>
                </c:pt>
                <c:pt idx="1">
                  <c:v>47001.879229999991</c:v>
                </c:pt>
                <c:pt idx="2">
                  <c:v>19271.848249999995</c:v>
                </c:pt>
                <c:pt idx="3">
                  <c:v>15973.689940000002</c:v>
                </c:pt>
                <c:pt idx="4">
                  <c:v>9500.617400000001</c:v>
                </c:pt>
                <c:pt idx="5">
                  <c:v>9119.254240000002</c:v>
                </c:pt>
                <c:pt idx="6">
                  <c:v>7660.3958199999997</c:v>
                </c:pt>
                <c:pt idx="7">
                  <c:v>7004.1705900000006</c:v>
                </c:pt>
                <c:pt idx="8">
                  <c:v>5368.6367200000004</c:v>
                </c:pt>
                <c:pt idx="9">
                  <c:v>10396.190630000001</c:v>
                </c:pt>
              </c:numCache>
            </c:numRef>
          </c:val>
          <c:extLst>
            <c:ext xmlns:c16="http://schemas.microsoft.com/office/drawing/2014/chart" uri="{C3380CC4-5D6E-409C-BE32-E72D297353CC}">
              <c16:uniqueId val="{00000014-919E-4647-96A8-2536F47E4E4F}"/>
            </c:ext>
          </c:extLst>
        </c:ser>
        <c:dLbls>
          <c:showLegendKey val="0"/>
          <c:showVal val="0"/>
          <c:showCatName val="0"/>
          <c:showSerName val="0"/>
          <c:showPercent val="1"/>
          <c:showBubbleSize val="0"/>
          <c:showLeaderLines val="0"/>
        </c:dLbls>
        <c:firstSliceAng val="157"/>
        <c:holeSize val="50"/>
      </c:doughnutChart>
      <c:spPr>
        <a:noFill/>
        <a:ln>
          <a:noFill/>
        </a:ln>
        <a:effectLst/>
      </c:spPr>
    </c:plotArea>
    <c:legend>
      <c:legendPos val="r"/>
      <c:layout>
        <c:manualLayout>
          <c:xMode val="edge"/>
          <c:yMode val="edge"/>
          <c:x val="0.79228026283948561"/>
          <c:y val="0.35049796363407021"/>
          <c:w val="0.19775923754211575"/>
          <c:h val="0.43860865273564126"/>
        </c:manualLayout>
      </c:layout>
      <c:overlay val="0"/>
      <c:spPr>
        <a:solidFill>
          <a:sysClr val="window" lastClr="FFFFFF"/>
        </a:solid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Verdana" panose="020B0604030504040204" pitchFamily="34" charset="0"/>
              <a:ea typeface="Verdana" panose="020B0604030504040204" pitchFamily="34" charset="0"/>
              <a:cs typeface="Arial" panose="020B0604020202020204" pitchFamily="34" charset="0"/>
            </a:defRPr>
          </a:pPr>
          <a:endParaRPr lang="es-CO"/>
        </a:p>
      </c:txPr>
    </c:legend>
    <c:plotVisOnly val="1"/>
    <c:dispBlanksAs val="gap"/>
    <c:showDLblsOverMax val="0"/>
  </c:chart>
  <c:spPr>
    <a:solidFill>
      <a:sysClr val="window" lastClr="FFFFFF"/>
    </a:solidFill>
    <a:ln w="9525" cap="flat" cmpd="sng" algn="ctr">
      <a:no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1" i="0">
                <a:solidFill>
                  <a:srgbClr val="000000"/>
                </a:solidFill>
                <a:latin typeface="+mn-lt"/>
              </a:defRPr>
            </a:pPr>
            <a:r>
              <a:rPr lang="es-ES" sz="1400" b="1" i="0">
                <a:solidFill>
                  <a:sysClr val="windowText" lastClr="000000"/>
                </a:solidFill>
                <a:latin typeface="Verdana" panose="020B0604030504040204" pitchFamily="34" charset="0"/>
                <a:ea typeface="Verdana" panose="020B0604030504040204" pitchFamily="34" charset="0"/>
              </a:rPr>
              <a:t>PARTICIPACIÓN MUNDIAL DE LA PRODUCCIÓN DE PETRÓLEO POR REGIÓN
2023</a:t>
            </a:r>
          </a:p>
        </c:rich>
      </c:tx>
      <c:overlay val="0"/>
    </c:title>
    <c:autoTitleDeleted val="0"/>
    <c:plotArea>
      <c:layout/>
      <c:pieChart>
        <c:varyColors val="1"/>
        <c:ser>
          <c:idx val="0"/>
          <c:order val="0"/>
          <c:spPr>
            <a:ln>
              <a:solidFill>
                <a:schemeClr val="bg1"/>
              </a:solidFill>
            </a:ln>
          </c:spPr>
          <c:dPt>
            <c:idx val="0"/>
            <c:bubble3D val="0"/>
            <c:spPr>
              <a:solidFill>
                <a:srgbClr val="B8F600"/>
              </a:solidFill>
              <a:ln>
                <a:solidFill>
                  <a:schemeClr val="bg1"/>
                </a:solidFill>
              </a:ln>
            </c:spPr>
            <c:extLst>
              <c:ext xmlns:c16="http://schemas.microsoft.com/office/drawing/2014/chart" uri="{C3380CC4-5D6E-409C-BE32-E72D297353CC}">
                <c16:uniqueId val="{00000001-9F85-47F0-A879-0CF095490C8D}"/>
              </c:ext>
            </c:extLst>
          </c:dPt>
          <c:dPt>
            <c:idx val="1"/>
            <c:bubble3D val="0"/>
            <c:spPr>
              <a:solidFill>
                <a:srgbClr val="E4B33C"/>
              </a:solidFill>
              <a:ln>
                <a:solidFill>
                  <a:schemeClr val="bg1"/>
                </a:solidFill>
              </a:ln>
            </c:spPr>
            <c:extLst>
              <c:ext xmlns:c16="http://schemas.microsoft.com/office/drawing/2014/chart" uri="{C3380CC4-5D6E-409C-BE32-E72D297353CC}">
                <c16:uniqueId val="{00000003-9F85-47F0-A879-0CF095490C8D}"/>
              </c:ext>
            </c:extLst>
          </c:dPt>
          <c:dPt>
            <c:idx val="2"/>
            <c:bubble3D val="0"/>
            <c:spPr>
              <a:solidFill>
                <a:srgbClr val="EFCA18"/>
              </a:solidFill>
              <a:ln>
                <a:solidFill>
                  <a:schemeClr val="bg1"/>
                </a:solidFill>
              </a:ln>
            </c:spPr>
            <c:extLst>
              <c:ext xmlns:c16="http://schemas.microsoft.com/office/drawing/2014/chart" uri="{C3380CC4-5D6E-409C-BE32-E72D297353CC}">
                <c16:uniqueId val="{00000005-9F85-47F0-A879-0CF095490C8D}"/>
              </c:ext>
            </c:extLst>
          </c:dPt>
          <c:dPt>
            <c:idx val="3"/>
            <c:bubble3D val="0"/>
            <c:spPr>
              <a:solidFill>
                <a:srgbClr val="05D80A"/>
              </a:solidFill>
              <a:ln>
                <a:solidFill>
                  <a:schemeClr val="bg1"/>
                </a:solidFill>
              </a:ln>
            </c:spPr>
            <c:extLst>
              <c:ext xmlns:c16="http://schemas.microsoft.com/office/drawing/2014/chart" uri="{C3380CC4-5D6E-409C-BE32-E72D297353CC}">
                <c16:uniqueId val="{00000007-9F85-47F0-A879-0CF095490C8D}"/>
              </c:ext>
            </c:extLst>
          </c:dPt>
          <c:dPt>
            <c:idx val="4"/>
            <c:bubble3D val="0"/>
            <c:spPr>
              <a:solidFill>
                <a:srgbClr val="0A8C00"/>
              </a:solidFill>
              <a:ln>
                <a:solidFill>
                  <a:schemeClr val="bg1"/>
                </a:solidFill>
              </a:ln>
            </c:spPr>
            <c:extLst>
              <c:ext xmlns:c16="http://schemas.microsoft.com/office/drawing/2014/chart" uri="{C3380CC4-5D6E-409C-BE32-E72D297353CC}">
                <c16:uniqueId val="{00000009-9F85-47F0-A879-0CF095490C8D}"/>
              </c:ext>
            </c:extLst>
          </c:dPt>
          <c:dPt>
            <c:idx val="5"/>
            <c:bubble3D val="0"/>
            <c:spPr>
              <a:solidFill>
                <a:srgbClr val="183E34"/>
              </a:solidFill>
              <a:ln>
                <a:solidFill>
                  <a:schemeClr val="bg1"/>
                </a:solidFill>
              </a:ln>
            </c:spPr>
            <c:extLst>
              <c:ext xmlns:c16="http://schemas.microsoft.com/office/drawing/2014/chart" uri="{C3380CC4-5D6E-409C-BE32-E72D297353CC}">
                <c16:uniqueId val="{0000000B-9F85-47F0-A879-0CF095490C8D}"/>
              </c:ext>
            </c:extLst>
          </c:dPt>
          <c:dLbls>
            <c:dLbl>
              <c:idx val="0"/>
              <c:layout>
                <c:manualLayout>
                  <c:x val="3.5958748782464515E-3"/>
                  <c:y val="-1.111293308375745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85-47F0-A879-0CF095490C8D}"/>
                </c:ext>
              </c:extLst>
            </c:dLbl>
            <c:dLbl>
              <c:idx val="1"/>
              <c:layout>
                <c:manualLayout>
                  <c:x val="1.348174254422094E-3"/>
                  <c:y val="-1.287790892543147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F85-47F0-A879-0CF095490C8D}"/>
                </c:ext>
              </c:extLst>
            </c:dLbl>
            <c:dLbl>
              <c:idx val="2"/>
              <c:layout>
                <c:manualLayout>
                  <c:x val="4.6230361431449964E-2"/>
                  <c:y val="-3.624151106848382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F85-47F0-A879-0CF095490C8D}"/>
                </c:ext>
              </c:extLst>
            </c:dLbl>
            <c:dLbl>
              <c:idx val="3"/>
              <c:layout>
                <c:manualLayout>
                  <c:x val="-7.1329362866468888E-3"/>
                  <c:y val="2.610646164317868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F85-47F0-A879-0CF095490C8D}"/>
                </c:ext>
              </c:extLst>
            </c:dLbl>
            <c:dLbl>
              <c:idx val="4"/>
              <c:layout>
                <c:manualLayout>
                  <c:x val="1.3827485445338989E-3"/>
                  <c:y val="2.3573575896333192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F85-47F0-A879-0CF095490C8D}"/>
                </c:ext>
              </c:extLst>
            </c:dLbl>
            <c:dLbl>
              <c:idx val="5"/>
              <c:layout>
                <c:manualLayout>
                  <c:x val="2.8036329028276599E-2"/>
                  <c:y val="5.6907424882302288E-4"/>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F85-47F0-A879-0CF095490C8D}"/>
                </c:ext>
              </c:extLst>
            </c:dLbl>
            <c:spPr>
              <a:noFill/>
              <a:ln>
                <a:noFill/>
              </a:ln>
              <a:effectLst/>
            </c:spPr>
            <c:txPr>
              <a:bodyPr wrap="square" lIns="38100" tIns="19050" rIns="38100" bIns="19050" anchor="ctr">
                <a:spAutoFit/>
              </a:bodyPr>
              <a:lstStyle/>
              <a:p>
                <a:pPr>
                  <a:defRPr b="1">
                    <a:latin typeface="Verdana" panose="020B0604030504040204" pitchFamily="34" charset="0"/>
                    <a:ea typeface="Verdana" panose="020B0604030504040204" pitchFamily="34" charset="0"/>
                  </a:defRPr>
                </a:pPr>
                <a:endParaRPr lang="es-CO"/>
              </a:p>
            </c:tx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('Producción MundialCrudo'!$B$8,'Producción MundialCrudo'!$B$17,'Producción MundialCrudo'!$B$29,'Producción MundialCrudo'!$B$40,'Producción MundialCrudo'!$B$54,'Producción MundialCrudo'!$B$64)</c:f>
              <c:strCache>
                <c:ptCount val="6"/>
                <c:pt idx="0">
                  <c:v>Total North America</c:v>
                </c:pt>
                <c:pt idx="1">
                  <c:v>Total S. &amp; Cent. America</c:v>
                </c:pt>
                <c:pt idx="2">
                  <c:v>Total Europe &amp; Eurasia</c:v>
                </c:pt>
                <c:pt idx="3">
                  <c:v>Total Middle East</c:v>
                </c:pt>
                <c:pt idx="4">
                  <c:v>Total Africa</c:v>
                </c:pt>
                <c:pt idx="5">
                  <c:v>Total Asia Pacific</c:v>
                </c:pt>
              </c:strCache>
            </c:strRef>
          </c:cat>
          <c:val>
            <c:numRef>
              <c:f>('Producción MundialCrudo'!$F$8,'Producción MundialCrudo'!$F$17,'Producción MundialCrudo'!$F$29,'Producción MundialCrudo'!$F$40,'Producción MundialCrudo'!$F$54,'Producción MundialCrudo'!$F$64)</c:f>
              <c:numCache>
                <c:formatCode>#,##0</c:formatCode>
                <c:ptCount val="6"/>
                <c:pt idx="0">
                  <c:v>27050.427350148639</c:v>
                </c:pt>
                <c:pt idx="1">
                  <c:v>7367.823546907769</c:v>
                </c:pt>
                <c:pt idx="2">
                  <c:v>17093.197386075441</c:v>
                </c:pt>
                <c:pt idx="3">
                  <c:v>30362.43770265593</c:v>
                </c:pt>
                <c:pt idx="4">
                  <c:v>7227.6229743689428</c:v>
                </c:pt>
                <c:pt idx="5">
                  <c:v>7274.5557425734605</c:v>
                </c:pt>
              </c:numCache>
            </c:numRef>
          </c:val>
          <c:extLst>
            <c:ext xmlns:c16="http://schemas.microsoft.com/office/drawing/2014/chart" uri="{C3380CC4-5D6E-409C-BE32-E72D297353CC}">
              <c16:uniqueId val="{0000000C-9F85-47F0-A879-0CF095490C8D}"/>
            </c:ext>
          </c:extLst>
        </c:ser>
        <c:dLbls>
          <c:dLblPos val="bestFit"/>
          <c:showLegendKey val="0"/>
          <c:showVal val="1"/>
          <c:showCatName val="0"/>
          <c:showSerName val="0"/>
          <c:showPercent val="0"/>
          <c:showBubbleSize val="0"/>
          <c:showLeaderLines val="1"/>
        </c:dLbls>
        <c:firstSliceAng val="0"/>
      </c:pieChart>
    </c:plotArea>
    <c:legend>
      <c:legendPos val="r"/>
      <c:overlay val="0"/>
      <c:txPr>
        <a:bodyPr/>
        <a:lstStyle/>
        <a:p>
          <a:pPr lvl="0" rtl="0">
            <a:defRPr sz="1000" b="0" i="0">
              <a:solidFill>
                <a:sysClr val="windowText" lastClr="000000"/>
              </a:solidFill>
              <a:latin typeface="Verdana" panose="020B0604030504040204" pitchFamily="34" charset="0"/>
              <a:ea typeface="Verdana" panose="020B0604030504040204" pitchFamily="34" charset="0"/>
            </a:defRPr>
          </a:pPr>
          <a:endParaRPr lang="es-CO"/>
        </a:p>
      </c:txPr>
    </c:legend>
    <c:plotVisOnly val="1"/>
    <c:dispBlanksAs val="zero"/>
    <c:showDLblsOverMax val="1"/>
  </c:chart>
  <c:spPr>
    <a:solidFill>
      <a:schemeClr val="lt1"/>
    </a:solid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1">
                <a:solidFill>
                  <a:sysClr val="windowText" lastClr="000000"/>
                </a:solidFill>
                <a:latin typeface="Verdana" panose="020B0604030504040204" pitchFamily="34" charset="0"/>
                <a:ea typeface="Verdana" panose="020B0604030504040204" pitchFamily="34" charset="0"/>
              </a:rPr>
              <a:t>PRECIO SPOT DEL PETRÓLEO</a:t>
            </a:r>
          </a:p>
        </c:rich>
      </c:tx>
      <c:overlay val="0"/>
      <c:spPr>
        <a:noFill/>
        <a:ln>
          <a:noFill/>
        </a:ln>
        <a:effectLst/>
      </c:spPr>
    </c:title>
    <c:autoTitleDeleted val="0"/>
    <c:plotArea>
      <c:layout/>
      <c:lineChart>
        <c:grouping val="standard"/>
        <c:varyColors val="1"/>
        <c:ser>
          <c:idx val="0"/>
          <c:order val="0"/>
          <c:tx>
            <c:v>Brent $/bbl †</c:v>
          </c:tx>
          <c:spPr>
            <a:ln w="28575" cap="rnd">
              <a:solidFill>
                <a:srgbClr val="B8F60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'Precios de crudo'!$B$6:$B$16</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'Precios de crudo'!$D$6:$D$16</c:f>
              <c:numCache>
                <c:formatCode>#,##0.00</c:formatCode>
                <c:ptCount val="11"/>
                <c:pt idx="0">
                  <c:v>108.65851778656101</c:v>
                </c:pt>
                <c:pt idx="1">
                  <c:v>98.946007905138302</c:v>
                </c:pt>
                <c:pt idx="2">
                  <c:v>52.3867588932806</c:v>
                </c:pt>
                <c:pt idx="3">
                  <c:v>43.734169960474297</c:v>
                </c:pt>
                <c:pt idx="4">
                  <c:v>54.192440476190498</c:v>
                </c:pt>
                <c:pt idx="5">
                  <c:v>71.310059760956193</c:v>
                </c:pt>
                <c:pt idx="6">
                  <c:v>64.210573122529595</c:v>
                </c:pt>
                <c:pt idx="7">
                  <c:v>41.838346456692904</c:v>
                </c:pt>
                <c:pt idx="8">
                  <c:v>70.9118972332016</c:v>
                </c:pt>
                <c:pt idx="9">
                  <c:v>101.32</c:v>
                </c:pt>
                <c:pt idx="10">
                  <c:v>82.642290836653416</c:v>
                </c:pt>
              </c:numCache>
            </c:numRef>
          </c:val>
          <c:smooth val="0"/>
          <c:extLst>
            <c:ext xmlns:c16="http://schemas.microsoft.com/office/drawing/2014/chart" uri="{C3380CC4-5D6E-409C-BE32-E72D297353CC}">
              <c16:uniqueId val="{00000000-54FE-4CB6-BCC9-58A82AC71EAC}"/>
            </c:ext>
          </c:extLst>
        </c:ser>
        <c:ser>
          <c:idx val="1"/>
          <c:order val="1"/>
          <c:tx>
            <c:v>West Texas Intermdiate $/bbl  ‡</c:v>
          </c:tx>
          <c:spPr>
            <a:ln w="28575" cap="rnd">
              <a:solidFill>
                <a:srgbClr val="183E34"/>
              </a:solidFill>
              <a:round/>
            </a:ln>
            <a:effectLst/>
          </c:spPr>
          <c:marker>
            <c:symbol val="none"/>
          </c:marker>
          <c:dLbls>
            <c:dLbl>
              <c:idx val="2"/>
              <c:layout>
                <c:manualLayout>
                  <c:x val="0"/>
                  <c:y val="1.9690576652601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4FE-4CB6-BCC9-58A82AC71EAC}"/>
                </c:ext>
              </c:extLst>
            </c:dLbl>
            <c:dLbl>
              <c:idx val="3"/>
              <c:layout>
                <c:manualLayout>
                  <c:x val="0"/>
                  <c:y val="3.93811533052039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4FE-4CB6-BCC9-58A82AC71EAC}"/>
                </c:ext>
              </c:extLst>
            </c:dLbl>
            <c:dLbl>
              <c:idx val="4"/>
              <c:layout>
                <c:manualLayout>
                  <c:x val="1.9990004997501249E-3"/>
                  <c:y val="4.50070323488045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4FE-4CB6-BCC9-58A82AC71EAC}"/>
                </c:ext>
              </c:extLst>
            </c:dLbl>
            <c:dLbl>
              <c:idx val="5"/>
              <c:layout>
                <c:manualLayout>
                  <c:x val="-7.3295838271059631E-17"/>
                  <c:y val="3.09423347398030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4FE-4CB6-BCC9-58A82AC71EAC}"/>
                </c:ext>
              </c:extLst>
            </c:dLbl>
            <c:dLbl>
              <c:idx val="7"/>
              <c:layout>
                <c:manualLayout>
                  <c:x val="-2.3988005997001498E-2"/>
                  <c:y val="2.25035161744022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4FE-4CB6-BCC9-58A82AC71EAC}"/>
                </c:ext>
              </c:extLst>
            </c:dLbl>
            <c:dLbl>
              <c:idx val="8"/>
              <c:layout>
                <c:manualLayout>
                  <c:x val="-1.4659167654211926E-16"/>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4FE-4CB6-BCC9-58A82AC71EAC}"/>
                </c:ext>
              </c:extLst>
            </c:dLbl>
            <c:dLbl>
              <c:idx val="10"/>
              <c:layout>
                <c:manualLayout>
                  <c:x val="-1.4659167654211926E-16"/>
                  <c:y val="1.9690576652601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4FE-4CB6-BCC9-58A82AC71EAC}"/>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'Precios de crudo'!$B$6:$B$16</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'Precios de crudo'!$F$6:$F$16</c:f>
              <c:numCache>
                <c:formatCode>#,##0.00</c:formatCode>
                <c:ptCount val="11"/>
                <c:pt idx="0">
                  <c:v>97.992270916334604</c:v>
                </c:pt>
                <c:pt idx="1">
                  <c:v>93.2826400000001</c:v>
                </c:pt>
                <c:pt idx="2">
                  <c:v>48.707410358565703</c:v>
                </c:pt>
                <c:pt idx="3">
                  <c:v>43.342709163346598</c:v>
                </c:pt>
                <c:pt idx="4">
                  <c:v>50.792650602409601</c:v>
                </c:pt>
                <c:pt idx="5">
                  <c:v>65.204670682730907</c:v>
                </c:pt>
                <c:pt idx="6">
                  <c:v>57.030279999999998</c:v>
                </c:pt>
                <c:pt idx="7">
                  <c:v>39.245119047619099</c:v>
                </c:pt>
                <c:pt idx="8">
                  <c:v>68.095879999999994</c:v>
                </c:pt>
                <c:pt idx="9">
                  <c:v>94.58</c:v>
                </c:pt>
                <c:pt idx="10">
                  <c:v>78.880241935483824</c:v>
                </c:pt>
              </c:numCache>
            </c:numRef>
          </c:val>
          <c:smooth val="0"/>
          <c:extLst>
            <c:ext xmlns:c16="http://schemas.microsoft.com/office/drawing/2014/chart" uri="{C3380CC4-5D6E-409C-BE32-E72D297353CC}">
              <c16:uniqueId val="{00000008-54FE-4CB6-BCC9-58A82AC71EAC}"/>
            </c:ext>
          </c:extLst>
        </c:ser>
        <c:dLbls>
          <c:showLegendKey val="0"/>
          <c:showVal val="0"/>
          <c:showCatName val="0"/>
          <c:showSerName val="0"/>
          <c:showPercent val="0"/>
          <c:showBubbleSize val="0"/>
        </c:dLbls>
        <c:smooth val="0"/>
        <c:axId val="178222224"/>
        <c:axId val="178228752"/>
      </c:lineChart>
      <c:catAx>
        <c:axId val="17822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s-CO"/>
          </a:p>
        </c:txPr>
        <c:crossAx val="178228752"/>
        <c:crosses val="autoZero"/>
        <c:auto val="1"/>
        <c:lblAlgn val="ctr"/>
        <c:lblOffset val="100"/>
        <c:noMultiLvlLbl val="1"/>
      </c:catAx>
      <c:valAx>
        <c:axId val="17822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s-ES" sz="1600" b="1" i="0" u="none" strike="noStrike" kern="1200" baseline="0">
                    <a:solidFill>
                      <a:sysClr val="windowText" lastClr="000000"/>
                    </a:solidFill>
                    <a:latin typeface="Verdana" panose="020B0604030504040204" pitchFamily="34" charset="0"/>
                    <a:ea typeface="Verdana" panose="020B0604030504040204" pitchFamily="34" charset="0"/>
                    <a:cs typeface="+mn-cs"/>
                  </a:defRPr>
                </a:pPr>
                <a:r>
                  <a:rPr lang="es-ES" sz="1600" b="1" i="0" u="none" strike="noStrike" kern="1200" baseline="0">
                    <a:solidFill>
                      <a:sysClr val="windowText" lastClr="000000"/>
                    </a:solidFill>
                    <a:latin typeface="Verdana" panose="020B0604030504040204" pitchFamily="34" charset="0"/>
                    <a:ea typeface="Verdana" panose="020B0604030504040204" pitchFamily="34" charset="0"/>
                    <a:cs typeface="+mn-cs"/>
                  </a:rPr>
                  <a:t>US Dollars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s-CO"/>
          </a:p>
        </c:txPr>
        <c:crossAx val="17822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Verdana" panose="020B0604030504040204" pitchFamily="34" charset="0"/>
              <a:ea typeface="Verdana" panose="020B0604030504040204" pitchFamily="34" charset="0"/>
              <a:cs typeface="+mn-cs"/>
            </a:defRPr>
          </a:pPr>
          <a:endParaRPr lang="es-CO"/>
        </a:p>
      </c:txPr>
    </c:legend>
    <c:plotVisOnly val="1"/>
    <c:dispBlanksAs val="zero"/>
    <c:showDLblsOverMax val="1"/>
  </c:chart>
  <c:spPr>
    <a:solidFill>
      <a:schemeClr val="bg1"/>
    </a:solidFill>
    <a:ln w="9525" cap="flat" cmpd="sng" algn="ctr">
      <a:noFill/>
      <a:round/>
    </a:ln>
    <a:effectLst/>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Rodriguez Parra</dc:creator>
  <cp:keywords/>
  <dc:description/>
  <cp:lastModifiedBy>Luis Alejandro Rodriguez Parra</cp:lastModifiedBy>
  <cp:revision>2</cp:revision>
  <dcterms:created xsi:type="dcterms:W3CDTF">2025-04-03T22:36:00Z</dcterms:created>
  <dcterms:modified xsi:type="dcterms:W3CDTF">2025-04-07T20:45:00Z</dcterms:modified>
</cp:coreProperties>
</file>