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SOLICITA REGULACIÓN DE HONORARIOS. INTIMACIÓN DE PAGO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Señores Jueces: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 xml:space="preserve">David Bertolasi, abogado, T° ___ F° ___ C.A.L.P., domicilio electrónico [completar], en mi carácter de letrado patrocinante de la parte actora en los autos caratulados </w:t>
      </w:r>
      <w:r>
        <w:rPr>
          <w:rFonts w:ascii="Times New Roman" w:hAnsi="Times New Roman"/>
          <w:b/>
          <w:i w:val="0"/>
          <w:sz w:val="24"/>
        </w:rPr>
        <w:t>"PERALTA OSCAR ALFREDO C/ FISCALIA DE ESTADO DE LA PROVINCIA DE BUENOS AIRES Y OTRO/A S/ AMPARO"</w:t>
      </w:r>
      <w:r>
        <w:rPr>
          <w:rFonts w:ascii="Times New Roman" w:hAnsi="Times New Roman"/>
          <w:b w:val="0"/>
          <w:i w:val="0"/>
          <w:sz w:val="24"/>
        </w:rPr>
        <w:t xml:space="preserve"> (Expte. N° 34677), en trámite por ante el Tribunal del Trabajo N° 5 de La Plata, a V.S. respetuosamente digo: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I. OBJETO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Que vengo a solicitar se regulen los honorarios profesionales del suscripto por la labor desarrollada en autos en la instancia, a cargo de la parte condenada en costas, con más los aportes de ley, y se intime su pago en los términos del art. 54 de la Ley 14.967.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II. ANTECEDENTES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Con fecha 08/04/2025 (notificada el 10/04/2025) V.S. dictó sentencia definitiva haciendo lugar a la acción de amparo promovida por mi patrocinado/a, con imposición de costas a la parte demandada (Fiscalía de Estado de la Provincia de Buenos Aires y codemandada) en su calidad de vencida (art. 19 de la Ley 13.928 y art. 68 del C.P.C.C.).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La sentencia se encuentra firme y consentida, sin que a la fecha se hayan regulado los honorarios del suscripto, no obstante el tiempo transcurrido y la naturaleza alimentaria del crédito (art. 1 de la Ley 14.967).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III. LABOR PROFESIONAL CUMPLIDA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La tarea desarrollada comprendió la totalidad de las etapas del proceso: estudio del caso y de la documentación, redacción y presentación de la demanda de amparo con ofrecimiento de prueba, seguimiento de las medidas ordenadas, contestación de los traslados conferidos y demás actos de impulso hasta el dictado de la sentencia definitiva, con resultado íntegramente favorable a la parte que represento.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IV. DERECHO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Fundo el pedido en los arts. 1, 9, 15, 16, 22 y concordantes de la Ley 14.967, en el art. 20 bis de la Ley 13.928 (t.o. Ley 15.016) y en el art. 12 inc. a) de la Ley 6.716 (aportes a cargo del obligado al pago). Solicito que la regulación se practique conforme las pautas del art. 16 de la Ley 14.967 (mérito, complejidad, resultado obtenido y trascendencia de la cuestión), sin que pueda ser inferior al mínimo legal previsto para el proceso de amparo, y que se exprese en unidades Jus, cuyo valor será el vigente al momento del efectivo pago.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Asimismo, y dado el carácter alimentario de los honorarios, solicito que en el mismo acto se intime a la condenada en costas a abonarlos dentro del plazo de diez (10) días de notificada, bajo apercibimiento de ejecución y de devengar los intereses moratorios previstos en el art. 54 de la Ley 14.967.</w:t>
      </w:r>
    </w:p>
    <w:p>
      <w:pPr>
        <w:jc w:val="both"/>
      </w:pPr>
      <w:r>
        <w:rPr>
          <w:rFonts w:ascii="Times New Roman" w:hAnsi="Times New Roman"/>
          <w:b/>
          <w:i w:val="0"/>
          <w:sz w:val="24"/>
        </w:rPr>
        <w:t>V. PETITORIO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Por lo expuesto, a V.S. solicito:</w:t>
      </w:r>
    </w:p>
    <w:p>
      <w:pPr>
        <w:jc w:val="both"/>
      </w:pPr>
      <w:r>
        <w:t xml:space="preserve">1. </w:t>
      </w:r>
      <w:r>
        <w:rPr>
          <w:rFonts w:ascii="Times New Roman" w:hAnsi="Times New Roman"/>
          <w:b w:val="0"/>
          <w:i w:val="0"/>
          <w:sz w:val="24"/>
        </w:rPr>
        <w:t>Se regulen los honorarios profesionales del suscripto por su actuación en la instancia, a cargo de la condenada en costas, con más el aporte del art. 12 inc. a) de la Ley 6.716.</w:t>
      </w:r>
    </w:p>
    <w:p>
      <w:pPr>
        <w:jc w:val="both"/>
      </w:pPr>
      <w:r>
        <w:t xml:space="preserve">2. </w:t>
      </w:r>
      <w:r>
        <w:rPr>
          <w:rFonts w:ascii="Times New Roman" w:hAnsi="Times New Roman"/>
          <w:b w:val="0"/>
          <w:i w:val="0"/>
          <w:sz w:val="24"/>
        </w:rPr>
        <w:t>Se intime a la obligada al pago dentro de los diez (10) días de notificada, bajo apercibimiento de ejecución y con más los intereses del art. 54 de la Ley 14.967.</w:t>
      </w:r>
    </w:p>
    <w:p>
      <w:pPr>
        <w:jc w:val="both"/>
      </w:pPr>
      <w:r>
        <w:t xml:space="preserve">3. </w:t>
      </w:r>
      <w:r>
        <w:rPr>
          <w:rFonts w:ascii="Times New Roman" w:hAnsi="Times New Roman"/>
          <w:b w:val="0"/>
          <w:i w:val="0"/>
          <w:sz w:val="24"/>
        </w:rPr>
        <w:t>Se ordene la notificación de la regulación a las condenadas en costas en sus domicilios electrónicos constituidos, con transcripción del art. 54 de la Ley 14.967.</w:t>
      </w:r>
    </w:p>
    <w:p>
      <w:pPr>
        <w:jc w:val="both"/>
      </w:pPr>
      <w:r>
        <w:t xml:space="preserve">4. </w:t>
      </w:r>
      <w:r>
        <w:rPr>
          <w:rFonts w:ascii="Times New Roman" w:hAnsi="Times New Roman"/>
          <w:b w:val="0"/>
          <w:i w:val="0"/>
          <w:sz w:val="24"/>
        </w:rPr>
        <w:t>Se ordene la apertura de cuenta judicial a la orden de V.S. y como perteneciente a estos autos para el depósito de los honorarios, de no encontrarse ya abierta.</w:t>
      </w:r>
    </w:p>
    <w:p>
      <w:pPr>
        <w:jc w:val="both"/>
      </w:pPr>
      <w:r>
        <w:rPr>
          <w:rFonts w:ascii="Times New Roman" w:hAnsi="Times New Roman"/>
          <w:b w:val="0"/>
          <w:i w:val="0"/>
          <w:sz w:val="24"/>
        </w:rPr>
        <w:t>Proveer de conformidad, que</w:t>
      </w:r>
    </w:p>
    <w:p>
      <w:pPr>
        <w:jc w:val="right"/>
      </w:pPr>
      <w:r>
        <w:rPr>
          <w:rFonts w:ascii="Times New Roman" w:hAnsi="Times New Roman"/>
          <w:b/>
          <w:i w:val="0"/>
          <w:sz w:val="24"/>
        </w:rPr>
        <w:t>SERÁ JUSTICIA.</w:t>
      </w:r>
    </w:p>
    <w:p>
      <w:pPr>
        <w:jc w:val="both"/>
      </w:pPr>
      <w:r>
        <w:rPr>
          <w:rFonts w:ascii="Times New Roman" w:hAnsi="Times New Roman"/>
          <w:b w:val="0"/>
          <w:i/>
          <w:sz w:val="20"/>
        </w:rPr>
        <w:t>Nota interna (no forma parte del escrito): verificar en MEV antes de presentar (a) que la sentencia esté firme y con costas a la demandada; (b) que no exista regulación previa; (c) tomo/folio y domicilio electrónico; (d) fecha exacta de notificación de la sentencia.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