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39F6" w14:textId="192C70F9" w:rsidR="006B6196" w:rsidRDefault="005934F9">
      <w:pPr>
        <w:pStyle w:val="Heading1"/>
      </w:pPr>
      <w:r>
        <w:t>Results</w:t>
      </w:r>
    </w:p>
    <w:p w14:paraId="4B8ACAD3" w14:textId="77777777" w:rsidR="008B077D" w:rsidRDefault="008B077D" w:rsidP="008B077D">
      <w:pPr>
        <w:pStyle w:val="Heading3"/>
      </w:pPr>
      <w:r>
        <w:t>Static Functional Network Connectivity</w:t>
      </w:r>
    </w:p>
    <w:p w14:paraId="5547A9C3" w14:textId="60D88D03" w:rsidR="00F133E5" w:rsidRPr="00B40414" w:rsidRDefault="00BF1BC4" w:rsidP="00F133E5">
      <w:r>
        <w:t xml:space="preserve">As a </w:t>
      </w:r>
      <w:r w:rsidR="00E96AF7">
        <w:t xml:space="preserve">pre-analysis </w:t>
      </w:r>
      <w:r>
        <w:t>sanity test, we compare</w:t>
      </w:r>
      <w:r w:rsidR="00B4637F">
        <w:t>d</w:t>
      </w:r>
      <w:r>
        <w:t xml:space="preserve"> static functional network connectivity (</w:t>
      </w:r>
      <w:proofErr w:type="spellStart"/>
      <w:r>
        <w:t>sFNC</w:t>
      </w:r>
      <w:proofErr w:type="spellEnd"/>
      <w:r>
        <w:t>) in the same fashion as</w:t>
      </w:r>
      <w:r w:rsidR="00D50095">
        <w:t xml:space="preserve"> </w:t>
      </w:r>
      <w:sdt>
        <w:sdtPr>
          <w:rPr>
            <w:color w:val="000000"/>
          </w:rPr>
          <w:tag w:val="MENDELEY_CITATION_v3_eyJjaXRhdGlvbklEIjoiTUVOREVMRVlfQ0lUQVRJT05fY2M5ZmMwNTItOTRkZS00NDJkLWI1NjYtNGQ4ZGM5ODA2ZjM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452333209"/>
          <w:placeholder>
            <w:docPart w:val="DefaultPlaceholder_-1854013440"/>
          </w:placeholder>
        </w:sdtPr>
        <w:sdtContent>
          <w:r w:rsidR="006C0BD4" w:rsidRPr="006C0BD4">
            <w:rPr>
              <w:color w:val="000000"/>
            </w:rPr>
            <w:t>(Du et al. 2020)</w:t>
          </w:r>
        </w:sdtContent>
      </w:sdt>
      <w:r>
        <w:t xml:space="preserve"> </w:t>
      </w:r>
      <w:r w:rsidR="00E96AF7">
        <w:t>to</w:t>
      </w:r>
      <w:r w:rsidR="00D50095">
        <w:t xml:space="preserve"> confirm that </w:t>
      </w:r>
      <w:r w:rsidR="00E96AF7">
        <w:t>the data</w:t>
      </w:r>
      <w:r w:rsidR="00E96AF7" w:rsidRPr="00E96AF7">
        <w:t xml:space="preserve"> </w:t>
      </w:r>
      <w:r w:rsidR="00E96AF7">
        <w:t xml:space="preserve">were not compromised.  Figure (a) displays the mean </w:t>
      </w:r>
      <w:proofErr w:type="spellStart"/>
      <w:r w:rsidR="00E96AF7">
        <w:t>sFNC</w:t>
      </w:r>
      <w:proofErr w:type="spellEnd"/>
      <w:r w:rsidR="00E96AF7">
        <w:t xml:space="preserve"> of the FBIRN dataset, (b) the </w:t>
      </w:r>
      <w:r w:rsidR="00E96AF7">
        <w:rPr>
          <w:i/>
          <w:iCs/>
        </w:rPr>
        <w:t>t</w:t>
      </w:r>
      <w:r w:rsidR="00E96AF7">
        <w:t xml:space="preserve">-statistic returned by two-sample </w:t>
      </w:r>
      <w:r w:rsidR="00E96AF7">
        <w:rPr>
          <w:i/>
          <w:iCs/>
        </w:rPr>
        <w:t>t</w:t>
      </w:r>
      <w:r w:rsidR="00E96AF7">
        <w:t xml:space="preserve">-test comparisons between </w:t>
      </w:r>
      <w:r w:rsidR="006C0BD4">
        <w:t>controls and patients</w:t>
      </w:r>
      <w:r w:rsidR="00E96AF7">
        <w:t xml:space="preserve">, and (c) the connections from (b) which survive Bonferroni multiple comparison correction.  </w:t>
      </w:r>
      <w:r w:rsidR="008C358C">
        <w:t>No c</w:t>
      </w:r>
      <w:r w:rsidR="006C0BD4">
        <w:t xml:space="preserve">orresponding matrices </w:t>
      </w:r>
      <w:r w:rsidR="008C358C">
        <w:t>are displayed in</w:t>
      </w:r>
      <w:r w:rsidR="006C0BD4">
        <w:t xml:space="preserve"> </w:t>
      </w:r>
      <w:sdt>
        <w:sdtPr>
          <w:rPr>
            <w:color w:val="000000"/>
          </w:rPr>
          <w:tag w:val="MENDELEY_CITATION_v3_eyJjaXRhdGlvbklEIjoiTUVOREVMRVlfQ0lUQVRJT05fODg4MjdlYjYtYjMwNy00MjEwLTg2OGMtMDM5MjI4ZWQwOTBl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2031524257"/>
          <w:placeholder>
            <w:docPart w:val="5FAECBD25F07BB4AB7EE1F6E8B4E7F11"/>
          </w:placeholder>
        </w:sdtPr>
        <w:sdtContent>
          <w:r w:rsidR="006C0BD4" w:rsidRPr="006C0BD4">
            <w:rPr>
              <w:color w:val="000000"/>
            </w:rPr>
            <w:t>(Du et al. 2020)</w:t>
          </w:r>
        </w:sdtContent>
      </w:sdt>
      <w:r w:rsidR="006C0BD4">
        <w:t xml:space="preserve"> </w:t>
      </w:r>
      <w:r w:rsidR="008C358C">
        <w:t xml:space="preserve">for comparison; however, the extant </w:t>
      </w:r>
      <w:proofErr w:type="spellStart"/>
      <w:r w:rsidR="008C358C">
        <w:t>sFNC</w:t>
      </w:r>
      <w:proofErr w:type="spellEnd"/>
      <w:r w:rsidR="008C358C">
        <w:t xml:space="preserve"> matrices display the diagonal block pattern expected of such matrices, which suggests that the data have been correctly reconstructed.</w:t>
      </w:r>
    </w:p>
    <w:p w14:paraId="39488EE8" w14:textId="77777777" w:rsidR="00F133E5" w:rsidRDefault="00F133E5" w:rsidP="00F133E5"/>
    <w:p w14:paraId="2F9F37CB" w14:textId="77777777" w:rsidR="00F133E5" w:rsidRDefault="00F133E5" w:rsidP="00F133E5">
      <w:pPr>
        <w:pStyle w:val="Heading3"/>
      </w:pPr>
      <w:r>
        <w:t>Dynamic Functional Network Connectivity</w:t>
      </w:r>
    </w:p>
    <w:p w14:paraId="55C5BA81" w14:textId="764CC9C0" w:rsidR="00DD17A4" w:rsidRDefault="00F133E5" w:rsidP="00DD17A4">
      <w:r>
        <w:t>Data were provided to the author as sliding-window correlation matrices</w:t>
      </w:r>
      <w:r w:rsidR="00C54FC7">
        <w:t xml:space="preserve"> with 137 time points.  The</w:t>
      </w:r>
      <w:r>
        <w:t xml:space="preserve"> tapered sliding window</w:t>
      </w:r>
      <w:r w:rsidR="00C54FC7">
        <w:t xml:space="preserve"> generated by convolving a rectangular </w:t>
      </w:r>
      <w:r>
        <w:t>window</w:t>
      </w:r>
      <w:r w:rsidR="002A4F94">
        <w:t xml:space="preserve"> of</w:t>
      </w:r>
      <w:r>
        <w:t xml:space="preserve"> </w:t>
      </w:r>
      <w:r w:rsidR="00C54FC7">
        <w:t>40 seconds with a normal distribution of zero mean</w:t>
      </w:r>
      <w:r w:rsidR="001633CC">
        <w:t xml:space="preserve"> </w:t>
      </w:r>
      <m:oMath>
        <m:r>
          <w:rPr>
            <w:rFonts w:ascii="Cambria Math" w:hAnsi="Cambria Math"/>
          </w:rPr>
          <m:t>μ=0</m:t>
        </m:r>
      </m:oMath>
      <w:r w:rsidR="00C54FC7">
        <w:t xml:space="preserve"> and a standard deviation of </w:t>
      </w:r>
      <m:oMath>
        <m:r>
          <w:rPr>
            <w:rFonts w:ascii="Cambria Math" w:hAnsi="Cambria Math"/>
          </w:rPr>
          <m:t>σ=3</m:t>
        </m:r>
      </m:oMath>
      <w:r w:rsidR="00C54FC7">
        <w:t xml:space="preserve"> </w:t>
      </w:r>
      <w:sdt>
        <w:sdtPr>
          <w:rPr>
            <w:color w:val="000000"/>
          </w:rPr>
          <w:tag w:val="MENDELEY_CITATION_v3_eyJjaXRhdGlvbklEIjoiTUVOREVMRVlfQ0lUQVRJT05fOGY4OGQyZjAtNjllMi00MDU2LWIyMDctOGI0NmJjYzQ2ZmE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2123721530"/>
          <w:placeholder>
            <w:docPart w:val="574369D7AC241645890371924DFD1BA0"/>
          </w:placeholder>
        </w:sdtPr>
        <w:sdtContent>
          <w:r w:rsidR="00C54FC7" w:rsidRPr="00BF6A4F">
            <w:rPr>
              <w:color w:val="000000"/>
            </w:rPr>
            <w:t>(Du et al. 2020)</w:t>
          </w:r>
        </w:sdtContent>
      </w:sdt>
      <w:r w:rsidR="00C54FC7">
        <w:t>.</w:t>
      </w:r>
      <w:r w:rsidR="001633CC">
        <w:t xml:space="preserve">  Vectorization of </w:t>
      </w:r>
      <w:r w:rsidR="000726F9">
        <w:t>each</w:t>
      </w:r>
      <w:r w:rsidR="001633CC">
        <w:t xml:space="preserve"> </w:t>
      </w:r>
      <m:oMath>
        <m:r>
          <w:rPr>
            <w:rFonts w:ascii="Cambria Math" w:hAnsi="Cambria Math"/>
          </w:rPr>
          <m:t>53×53</m:t>
        </m:r>
      </m:oMath>
      <w:r w:rsidR="001633CC">
        <w:rPr>
          <w:rFonts w:eastAsiaTheme="minorEastAsia"/>
        </w:rPr>
        <w:t xml:space="preserve"> dFNC</w:t>
      </w:r>
      <m:oMath>
        <m:d>
          <m:dPr>
            <m:ctrlPr>
              <w:rPr>
                <w:rFonts w:ascii="Cambria Math" w:hAnsi="Cambria Math"/>
                <w:i/>
              </w:rPr>
            </m:ctrlPr>
          </m:dPr>
          <m:e>
            <m:r>
              <w:rPr>
                <w:rFonts w:ascii="Cambria Math" w:hAnsi="Cambria Math"/>
              </w:rPr>
              <m:t>t</m:t>
            </m:r>
          </m:e>
        </m:d>
      </m:oMath>
      <w:r w:rsidR="001633CC">
        <w:rPr>
          <w:rFonts w:eastAsiaTheme="minorEastAsia"/>
        </w:rPr>
        <w:t xml:space="preserve"> </w:t>
      </w:r>
      <w:r w:rsidR="000726F9">
        <w:rPr>
          <w:rFonts w:eastAsiaTheme="minorEastAsia"/>
        </w:rPr>
        <w:t>matrix</w:t>
      </w:r>
      <w:r w:rsidR="001633CC">
        <w:rPr>
          <w:rFonts w:eastAsiaTheme="minorEastAsia"/>
        </w:rPr>
        <w:t xml:space="preserve"> produce</w:t>
      </w:r>
      <w:r w:rsidR="00B4637F">
        <w:rPr>
          <w:rFonts w:eastAsiaTheme="minorEastAsia"/>
        </w:rPr>
        <w:t>d</w:t>
      </w:r>
      <w:r w:rsidR="000726F9">
        <w:rPr>
          <w:rFonts w:eastAsiaTheme="minorEastAsia"/>
        </w:rPr>
        <w:t xml:space="preserve"> a </w:t>
      </w:r>
      <m:oMath>
        <m:r>
          <w:rPr>
            <w:rFonts w:ascii="Cambria Math" w:hAnsi="Cambria Math"/>
          </w:rPr>
          <m:t>1378×1</m:t>
        </m:r>
      </m:oMath>
      <w:r w:rsidR="000726F9">
        <w:rPr>
          <w:rFonts w:eastAsiaTheme="minorEastAsia"/>
        </w:rPr>
        <w:t xml:space="preserve"> data array of correlation values for time point </w:t>
      </w:r>
      <m:oMath>
        <m:r>
          <w:rPr>
            <w:rFonts w:ascii="Cambria Math" w:hAnsi="Cambria Math"/>
          </w:rPr>
          <m:t>t</m:t>
        </m:r>
      </m:oMath>
      <w:r w:rsidR="000726F9">
        <w:rPr>
          <w:rFonts w:eastAsiaTheme="minorEastAsia"/>
        </w:rPr>
        <w:t xml:space="preserve">, thus producing a </w:t>
      </w:r>
      <m:oMath>
        <m:r>
          <w:rPr>
            <w:rFonts w:ascii="Cambria Math" w:hAnsi="Cambria Math"/>
          </w:rPr>
          <m:t>1378×1</m:t>
        </m:r>
        <m:r>
          <w:rPr>
            <w:rFonts w:ascii="Cambria Math" w:eastAsiaTheme="minorEastAsia" w:hAnsi="Cambria Math"/>
          </w:rPr>
          <m:t>37</m:t>
        </m:r>
      </m:oMath>
      <w:r w:rsidR="000726F9">
        <w:rPr>
          <w:rFonts w:eastAsiaTheme="minorEastAsia"/>
        </w:rPr>
        <w:t xml:space="preserve"> array of dFNC values for each subject.</w:t>
      </w:r>
      <w:r w:rsidR="000726F9" w:rsidRPr="000726F9">
        <w:t xml:space="preserve"> </w:t>
      </w:r>
      <w:r w:rsidR="000726F9">
        <w:t xml:space="preserve">Applying the </w:t>
      </w:r>
      <w:proofErr w:type="spellStart"/>
      <w:r w:rsidR="000726F9">
        <w:t>Marčenko</w:t>
      </w:r>
      <w:proofErr w:type="spellEnd"/>
      <w:r w:rsidR="000726F9">
        <w:t>-Pasteur theorem to this array, after concatenation over all subjects, reliably detect</w:t>
      </w:r>
      <w:r w:rsidR="00B4637F">
        <w:t>ed</w:t>
      </w:r>
      <w:r w:rsidR="000726F9">
        <w:t xml:space="preserve"> 171 temporal independent components (</w:t>
      </w:r>
      <w:proofErr w:type="spellStart"/>
      <w:r w:rsidR="000726F9">
        <w:t>tICs</w:t>
      </w:r>
      <w:proofErr w:type="spellEnd"/>
      <w:r w:rsidR="000726F9">
        <w:t>)</w:t>
      </w:r>
      <w:r w:rsidR="00897EEE">
        <w:t xml:space="preserve">, which captures just over 80% of variance in the </w:t>
      </w:r>
      <w:proofErr w:type="spellStart"/>
      <w:r w:rsidR="00897EEE">
        <w:t>dFNC</w:t>
      </w:r>
      <w:proofErr w:type="spellEnd"/>
      <w:r w:rsidR="00897EEE">
        <w:t xml:space="preserve"> matrix</w:t>
      </w:r>
      <w:r w:rsidR="000726F9">
        <w:t>.</w:t>
      </w:r>
      <w:r w:rsidR="004A3790">
        <w:t xml:space="preserve">  </w:t>
      </w:r>
      <w:r w:rsidR="00897EEE">
        <w:t xml:space="preserve">Selecting a </w:t>
      </w:r>
      <w:proofErr w:type="spellStart"/>
      <w:r w:rsidR="00897EEE">
        <w:t>tIC</w:t>
      </w:r>
      <w:proofErr w:type="spellEnd"/>
      <w:r w:rsidR="00897EEE">
        <w:t xml:space="preserve"> number within the proposed window of 16 to 22 </w:t>
      </w:r>
      <w:proofErr w:type="spellStart"/>
      <w:r w:rsidR="00897EEE">
        <w:t>tICs</w:t>
      </w:r>
      <w:proofErr w:type="spellEnd"/>
      <w:r w:rsidR="004A3790">
        <w:t xml:space="preserve">, on the other hand, </w:t>
      </w:r>
      <w:r w:rsidR="00897EEE">
        <w:t xml:space="preserve">captures less than </w:t>
      </w:r>
      <w:r w:rsidR="00C73406">
        <w:t xml:space="preserve">44% of data variance.  Within this window, silhouette and </w:t>
      </w:r>
      <w:proofErr w:type="spellStart"/>
      <w:r w:rsidR="00C73406">
        <w:t>Calinski-Harabasz</w:t>
      </w:r>
      <w:proofErr w:type="spellEnd"/>
      <w:r w:rsidR="00C73406">
        <w:t xml:space="preserve"> scores are universally poor, with the least bad occurring at 17 </w:t>
      </w:r>
      <w:proofErr w:type="spellStart"/>
      <w:r w:rsidR="00C73406">
        <w:t>tICs</w:t>
      </w:r>
      <w:proofErr w:type="spellEnd"/>
      <w:r w:rsidR="00C73406">
        <w:t xml:space="preserve">.  By contrast, Davies-Bouldin scores propose the use of 22 </w:t>
      </w:r>
      <w:proofErr w:type="spellStart"/>
      <w:r w:rsidR="00C73406">
        <w:t>tICs</w:t>
      </w:r>
      <w:proofErr w:type="spellEnd"/>
      <w:r w:rsidR="00C73406">
        <w:t xml:space="preserve">.  </w:t>
      </w:r>
      <w:r w:rsidR="00826437">
        <w:t>These contradictory results may reflect the very low numbers (16-22) contained within this window.  T</w:t>
      </w:r>
      <w:r w:rsidR="00C73406">
        <w:t xml:space="preserve">he chart of the cumulative sum of variance captured </w:t>
      </w:r>
      <w:r w:rsidR="00826437">
        <w:t xml:space="preserve">only begins to form an appreciable “elbow” in the vicinity of 100 </w:t>
      </w:r>
      <w:proofErr w:type="spellStart"/>
      <w:r w:rsidR="00826437">
        <w:t>tICs</w:t>
      </w:r>
      <w:proofErr w:type="spellEnd"/>
      <w:r w:rsidR="0069080D">
        <w:t xml:space="preserve"> (~70% of variance)</w:t>
      </w:r>
      <w:r w:rsidR="00826437">
        <w:t>, suggesting that the</w:t>
      </w:r>
      <w:r w:rsidR="0069080D">
        <w:t xml:space="preserve"> true dimensionality of </w:t>
      </w:r>
      <w:proofErr w:type="spellStart"/>
      <w:r w:rsidR="0069080D">
        <w:t>dFNC</w:t>
      </w:r>
      <w:proofErr w:type="spellEnd"/>
      <w:r w:rsidR="0069080D">
        <w:t xml:space="preserve"> may be substantially higher </w:t>
      </w:r>
      <w:r w:rsidR="0069080D">
        <w:lastRenderedPageBreak/>
        <w:t>than previously reported.  It is also possible that the conflicting results of the silhouette</w:t>
      </w:r>
      <w:r w:rsidR="00B965A3">
        <w:t>,</w:t>
      </w:r>
      <w:r w:rsidR="0069080D">
        <w:t xml:space="preserve"> C</w:t>
      </w:r>
      <w:proofErr w:type="spellStart"/>
      <w:r w:rsidR="0069080D">
        <w:t>alinski-Harabasz</w:t>
      </w:r>
      <w:proofErr w:type="spellEnd"/>
      <w:r w:rsidR="0069080D">
        <w:t xml:space="preserve">, and Davies-Bouldin scores are </w:t>
      </w:r>
      <w:proofErr w:type="gramStart"/>
      <w:r w:rsidR="0069080D">
        <w:t>due to the fact that</w:t>
      </w:r>
      <w:proofErr w:type="gramEnd"/>
      <w:r w:rsidR="0069080D">
        <w:t xml:space="preserve"> these metrics were designed for clustering rather than blind source separation</w:t>
      </w:r>
      <w:r w:rsidR="0069080D" w:rsidRPr="0069080D">
        <w:t xml:space="preserve"> </w:t>
      </w:r>
      <w:r w:rsidR="0069080D">
        <w:t>algorithms</w:t>
      </w:r>
      <w:r w:rsidR="00B965A3">
        <w:t>.  As such,</w:t>
      </w:r>
      <w:r w:rsidR="0069080D">
        <w:t xml:space="preserve"> it is very likely that they do not accurately capture the ideal number of </w:t>
      </w:r>
      <w:proofErr w:type="spellStart"/>
      <w:r w:rsidR="0069080D">
        <w:t>tICs</w:t>
      </w:r>
      <w:proofErr w:type="spellEnd"/>
      <w:r w:rsidR="0069080D">
        <w:t xml:space="preserve"> necessary to represent </w:t>
      </w:r>
      <w:proofErr w:type="spellStart"/>
      <w:r w:rsidR="0069080D">
        <w:t>dFNC</w:t>
      </w:r>
      <w:proofErr w:type="spellEnd"/>
      <w:r w:rsidR="00FF6318">
        <w:t xml:space="preserve"> dynamics.</w:t>
      </w:r>
    </w:p>
    <w:p w14:paraId="718A886D" w14:textId="77777777" w:rsidR="00DD17A4" w:rsidRPr="00822425" w:rsidRDefault="00DD17A4" w:rsidP="00DD17A4"/>
    <w:p w14:paraId="1D90BFBB" w14:textId="77777777" w:rsidR="00DD17A4" w:rsidRDefault="00DD17A4" w:rsidP="00DD17A4">
      <w:pPr>
        <w:pStyle w:val="Heading3"/>
      </w:pPr>
      <w:r>
        <w:t>Joint Entropy</w:t>
      </w:r>
    </w:p>
    <w:p w14:paraId="56F5155B" w14:textId="77777777" w:rsidR="00971A75" w:rsidRDefault="00C72DF5" w:rsidP="00B4637F">
      <w:r>
        <w:t xml:space="preserve">As each </w:t>
      </w:r>
      <w:proofErr w:type="spellStart"/>
      <w:r>
        <w:t>tIC</w:t>
      </w:r>
      <w:proofErr w:type="spellEnd"/>
      <w:r w:rsidR="004A073D">
        <w:t xml:space="preserve"> is statistically independent from any other, each IC’s entropy and entropy rate can be estimated independently of the others.  Estimation is necessary </w:t>
      </w:r>
      <w:r w:rsidR="00B4637F">
        <w:t>because</w:t>
      </w:r>
      <w:r w:rsidR="004A073D">
        <w:t xml:space="preserve"> we do not have access to the data’s complete probability distribution, which the formal definition of entropy requires.  As such, we employ</w:t>
      </w:r>
      <w:r w:rsidR="00B4637F">
        <w:t>ed</w:t>
      </w:r>
      <w:r w:rsidR="004A073D">
        <w:t xml:space="preserve"> a variation on the </w:t>
      </w:r>
      <w:proofErr w:type="spellStart"/>
      <w:r w:rsidR="004A073D">
        <w:t>Kozachenko-Leonenko</w:t>
      </w:r>
      <w:proofErr w:type="spellEnd"/>
      <w:r w:rsidR="004A073D">
        <w:t xml:space="preserve"> estimator </w:t>
      </w:r>
      <w:sdt>
        <w:sdtPr>
          <w:rPr>
            <w:color w:val="000000"/>
          </w:rPr>
          <w:tag w:val="MENDELEY_CITATION_v3_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"/>
          <w:id w:val="2065670543"/>
          <w:placeholder>
            <w:docPart w:val="3453F5633155B449AAF8A1F143F3D7B8"/>
          </w:placeholder>
        </w:sdtPr>
        <w:sdtContent>
          <w:r w:rsidR="004A073D" w:rsidRPr="00BF6A4F">
            <w:rPr>
              <w:color w:val="000000"/>
            </w:rPr>
            <w:t>(</w:t>
          </w:r>
          <w:proofErr w:type="spellStart"/>
          <w:r w:rsidR="004A073D" w:rsidRPr="00BF6A4F">
            <w:rPr>
              <w:color w:val="000000"/>
            </w:rPr>
            <w:t>Kozachenko</w:t>
          </w:r>
          <w:proofErr w:type="spellEnd"/>
          <w:r w:rsidR="004A073D" w:rsidRPr="00BF6A4F">
            <w:rPr>
              <w:color w:val="000000"/>
            </w:rPr>
            <w:t xml:space="preserve"> and </w:t>
          </w:r>
          <w:proofErr w:type="spellStart"/>
          <w:r w:rsidR="004A073D" w:rsidRPr="00BF6A4F">
            <w:rPr>
              <w:color w:val="000000"/>
            </w:rPr>
            <w:t>Leonenko</w:t>
          </w:r>
          <w:proofErr w:type="spellEnd"/>
          <w:r w:rsidR="004A073D" w:rsidRPr="00BF6A4F">
            <w:rPr>
              <w:color w:val="000000"/>
            </w:rPr>
            <w:t xml:space="preserve"> 1987; Delattre and Fournier 2017)</w:t>
          </w:r>
        </w:sdtContent>
      </w:sdt>
      <w:r w:rsidR="004A073D">
        <w:t xml:space="preserve"> based on </w:t>
      </w:r>
      <w:r w:rsidR="004A073D">
        <w:rPr>
          <w:i/>
          <w:iCs/>
        </w:rPr>
        <w:t>k</w:t>
      </w:r>
      <w:r w:rsidR="004A073D">
        <w:t xml:space="preserve">-nearest-neighbor distances between sample points </w:t>
      </w:r>
      <w:sdt>
        <w:sdtPr>
          <w:rPr>
            <w:color w:val="000000"/>
          </w:rPr>
          <w:tag w:val="MENDELEY_CITATION_v3_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"/>
          <w:id w:val="-274098254"/>
          <w:placeholder>
            <w:docPart w:val="9713CEA4C47A7C469195C5AB26A0A071"/>
          </w:placeholder>
        </w:sdtPr>
        <w:sdtContent>
          <w:r w:rsidR="004A073D" w:rsidRPr="00BF6A4F">
            <w:rPr>
              <w:color w:val="000000"/>
            </w:rPr>
            <w:t xml:space="preserve">(Singh et al. 2003; </w:t>
          </w:r>
          <w:proofErr w:type="spellStart"/>
          <w:r w:rsidR="004A073D" w:rsidRPr="00BF6A4F">
            <w:rPr>
              <w:color w:val="000000"/>
            </w:rPr>
            <w:t>Goria</w:t>
          </w:r>
          <w:proofErr w:type="spellEnd"/>
          <w:r w:rsidR="004A073D" w:rsidRPr="00BF6A4F">
            <w:rPr>
              <w:color w:val="000000"/>
            </w:rPr>
            <w:t xml:space="preserve"> et al. 2005)</w:t>
          </w:r>
        </w:sdtContent>
      </w:sdt>
      <w:r w:rsidR="004A073D">
        <w:t>.</w:t>
      </w:r>
      <w:r w:rsidR="004A073D" w:rsidRPr="004A073D">
        <w:t xml:space="preserve"> </w:t>
      </w:r>
      <w:r w:rsidR="004A073D">
        <w:t xml:space="preserve"> Running this estimation algorithm on each subject’s </w:t>
      </w:r>
      <w:proofErr w:type="spellStart"/>
      <w:r w:rsidR="004A073D">
        <w:t>tIC</w:t>
      </w:r>
      <w:proofErr w:type="spellEnd"/>
      <w:r w:rsidR="004A073D">
        <w:t xml:space="preserve"> time courses produce</w:t>
      </w:r>
      <w:r w:rsidR="00B4637F">
        <w:t>d</w:t>
      </w:r>
      <w:r w:rsidR="004A073D">
        <w:t xml:space="preserve"> a </w:t>
      </w:r>
      <m:oMath>
        <m:r>
          <w:rPr>
            <w:rFonts w:ascii="Cambria Math" w:hAnsi="Cambria Math"/>
          </w:rPr>
          <m:t>D</m:t>
        </m:r>
        <m:r>
          <m:rPr>
            <m:sty m:val="p"/>
          </m:rPr>
          <w:rPr>
            <w:rFonts w:ascii="Cambria Math" w:hAnsi="Cambria Math"/>
          </w:rPr>
          <m:t>×</m:t>
        </m:r>
        <m:r>
          <w:rPr>
            <w:rFonts w:ascii="Cambria Math" w:hAnsi="Cambria Math"/>
          </w:rPr>
          <m:t>S</m:t>
        </m:r>
      </m:oMath>
      <w:r w:rsidR="004A073D" w:rsidRPr="00A1546B">
        <w:t xml:space="preserve"> array of values, where </w:t>
      </w:r>
      <m:oMath>
        <m:r>
          <w:rPr>
            <w:rFonts w:ascii="Cambria Math" w:hAnsi="Cambria Math"/>
          </w:rPr>
          <m:t>D</m:t>
        </m:r>
      </m:oMath>
      <w:r w:rsidR="004A073D" w:rsidRPr="00A1546B">
        <w:t xml:space="preserve"> is the number of </w:t>
      </w:r>
      <w:r w:rsidR="004A073D">
        <w:t>ICs (171)</w:t>
      </w:r>
      <w:r w:rsidR="004A073D" w:rsidRPr="00A1546B">
        <w:t xml:space="preserve"> and </w:t>
      </w:r>
      <m:oMath>
        <m:r>
          <w:rPr>
            <w:rFonts w:ascii="Cambria Math" w:hAnsi="Cambria Math"/>
          </w:rPr>
          <m:t>S</m:t>
        </m:r>
      </m:oMath>
      <w:r w:rsidR="004A073D" w:rsidRPr="00A1546B">
        <w:t xml:space="preserve"> the number of subjects</w:t>
      </w:r>
      <w:r w:rsidR="004A073D">
        <w:t xml:space="preserve"> (311)</w:t>
      </w:r>
      <w:r w:rsidR="004A073D" w:rsidRPr="00A1546B">
        <w:t xml:space="preserve">.  </w:t>
      </w:r>
      <w:r w:rsidR="004A073D">
        <w:t>To c</w:t>
      </w:r>
      <w:r w:rsidR="004A073D" w:rsidRPr="00A1546B">
        <w:t>omput</w:t>
      </w:r>
      <w:r w:rsidR="004A073D">
        <w:t>e</w:t>
      </w:r>
      <w:r w:rsidR="004A073D" w:rsidRPr="00A1546B">
        <w:t xml:space="preserve"> subject-level joint entropy</w:t>
      </w:r>
      <w:r w:rsidR="00B4637F">
        <w:t xml:space="preserve"> production rate</w:t>
      </w:r>
      <w:r w:rsidR="004A073D">
        <w:t xml:space="preserve">, we took the sum of this matrix along its first dimension to produce a </w:t>
      </w:r>
      <m:oMath>
        <m:r>
          <w:rPr>
            <w:rFonts w:ascii="Cambria Math" w:hAnsi="Cambria Math"/>
          </w:rPr>
          <m:t>1</m:t>
        </m:r>
        <m:r>
          <m:rPr>
            <m:sty m:val="p"/>
          </m:rPr>
          <w:rPr>
            <w:rFonts w:ascii="Cambria Math" w:hAnsi="Cambria Math"/>
          </w:rPr>
          <m:t>×</m:t>
        </m:r>
        <m:r>
          <w:rPr>
            <w:rFonts w:ascii="Cambria Math" w:hAnsi="Cambria Math"/>
          </w:rPr>
          <m:t>S</m:t>
        </m:r>
      </m:oMath>
      <w:r w:rsidR="004A073D" w:rsidRPr="00A1546B">
        <w:t xml:space="preserve"> array</w:t>
      </w:r>
      <w:r w:rsidR="004A073D">
        <w:t xml:space="preserve"> of joint entropy</w:t>
      </w:r>
      <w:r w:rsidR="00B4637F">
        <w:t xml:space="preserve"> rate </w:t>
      </w:r>
      <w:r w:rsidR="004A073D">
        <w:t>values.</w:t>
      </w:r>
    </w:p>
    <w:p w14:paraId="585E4232" w14:textId="6A806098" w:rsidR="001D3C66" w:rsidRDefault="000C705D" w:rsidP="00740078">
      <w:pPr>
        <w:rPr>
          <w:sz w:val="18"/>
          <w:szCs w:val="18"/>
        </w:rPr>
      </w:pPr>
      <w:r>
        <w:t xml:space="preserve">A Kolmogorov-Smirnov two-sample test </w:t>
      </w:r>
      <w:r w:rsidR="00971A75">
        <w:t>of the</w:t>
      </w:r>
      <w:r w:rsidR="00740078">
        <w:t xml:space="preserve"> 171</w:t>
      </w:r>
      <w:r w:rsidR="00971A75">
        <w:t xml:space="preserve"> </w:t>
      </w:r>
      <w:proofErr w:type="spellStart"/>
      <w:r w:rsidR="00971A75">
        <w:t>tICs</w:t>
      </w:r>
      <w:proofErr w:type="spellEnd"/>
      <w:r w:rsidR="00971A75">
        <w:t xml:space="preserve"> identified by the </w:t>
      </w:r>
      <w:proofErr w:type="spellStart"/>
      <w:r w:rsidR="00971A75">
        <w:t>Marcěnko</w:t>
      </w:r>
      <w:proofErr w:type="spellEnd"/>
      <w:r w:rsidR="00971A75">
        <w:t xml:space="preserve">-Pasteur method </w:t>
      </w:r>
      <w:r>
        <w:t>show</w:t>
      </w:r>
      <w:r w:rsidR="00B4637F">
        <w:t>ed</w:t>
      </w:r>
      <w:r>
        <w:t xml:space="preserve"> that patient and subject joint entropy </w:t>
      </w:r>
      <w:r w:rsidR="00B4637F">
        <w:t xml:space="preserve">rate </w:t>
      </w:r>
      <w:r>
        <w:t xml:space="preserve">values differ (Figure </w:t>
      </w:r>
      <w:r w:rsidR="002F2531" w:rsidRPr="002F2531">
        <w:rPr>
          <w:color w:val="FF0000"/>
        </w:rPr>
        <w:t>[]</w:t>
      </w:r>
      <w:r>
        <w:t xml:space="preserve">), with patients displaying a small but statistically significant elevation compared to controls </w:t>
      </w:r>
      <m:oMath>
        <m:d>
          <m:dPr>
            <m:endChr m:val=""/>
            <m:ctrlPr>
              <w:rPr>
                <w:rFonts w:ascii="Cambria Math" w:hAnsi="Cambria Math"/>
                <w:i/>
              </w:rPr>
            </m:ctrlPr>
          </m:dPr>
          <m:e>
            <m:r>
              <w:rPr>
                <w:rFonts w:ascii="Cambria Math" w:hAnsi="Cambria Math"/>
              </w:rPr>
              <m:t>p=7.92×</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ED3203">
        <w:rPr>
          <w:rFonts w:eastAsiaTheme="minorEastAsia"/>
        </w:rPr>
        <w:t xml:space="preserve">, </w:t>
      </w:r>
      <w:r w:rsidRPr="00C70BA2">
        <w:rPr>
          <w:rFonts w:eastAsiaTheme="minorEastAsia"/>
          <w:color w:val="FF0000"/>
        </w:rPr>
        <w:t>Table 1</w:t>
      </w:r>
      <w:r>
        <w:rPr>
          <w:rFonts w:eastAsiaTheme="minorEastAsia"/>
        </w:rPr>
        <w:t>)</w:t>
      </w:r>
      <w:r>
        <w:t xml:space="preserve">.  A two-sample </w:t>
      </w:r>
      <w:r>
        <w:rPr>
          <w:i/>
          <w:iCs/>
        </w:rPr>
        <w:t>t</w:t>
      </w:r>
      <w:r>
        <w:t xml:space="preserve">-test and a difference-of-means permutation test </w:t>
      </w:r>
      <w:sdt>
        <w:sdtPr>
          <w:rPr>
            <w:color w:val="000000"/>
          </w:rPr>
          <w:tag w:val="MENDELEY_CITATION_v3_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"/>
          <w:id w:val="-1227447130"/>
          <w:placeholder>
            <w:docPart w:val="CEE11309021DE54FBEAACDF3413182A0"/>
          </w:placeholder>
        </w:sdtPr>
        <w:sdtContent>
          <w:r w:rsidRPr="00BF6A4F">
            <w:rPr>
              <w:color w:val="000000"/>
            </w:rPr>
            <w:t>(</w:t>
          </w:r>
          <w:proofErr w:type="spellStart"/>
          <w:r w:rsidRPr="00BF6A4F">
            <w:rPr>
              <w:color w:val="000000"/>
            </w:rPr>
            <w:t>Krol</w:t>
          </w:r>
          <w:proofErr w:type="spellEnd"/>
          <w:r w:rsidRPr="00BF6A4F">
            <w:rPr>
              <w:color w:val="000000"/>
            </w:rPr>
            <w:t xml:space="preserve"> 2021)</w:t>
          </w:r>
        </w:sdtContent>
      </w:sdt>
      <w:r>
        <w:t xml:space="preserve"> qualitatively confirm</w:t>
      </w:r>
      <w:r w:rsidR="00B4637F">
        <w:t>ed</w:t>
      </w:r>
      <w:r>
        <w:t xml:space="preserve"> this result.</w:t>
      </w:r>
      <w:r w:rsidR="0019341B">
        <w:t xml:space="preserve">  Repeating the analysis with 22 </w:t>
      </w:r>
      <w:proofErr w:type="spellStart"/>
      <w:r w:rsidR="0019341B">
        <w:t>tICs</w:t>
      </w:r>
      <w:proofErr w:type="spellEnd"/>
      <w:r w:rsidR="0019341B">
        <w:t xml:space="preserve"> produces a similar result </w:t>
      </w:r>
      <w:r w:rsidR="00ED3203">
        <w:t xml:space="preserve"> </w:t>
      </w:r>
      <m:oMath>
        <m:d>
          <m:dPr>
            <m:endChr m:val=""/>
            <m:ctrlPr>
              <w:rPr>
                <w:rFonts w:ascii="Cambria Math" w:hAnsi="Cambria Math"/>
                <w:i/>
              </w:rPr>
            </m:ctrlPr>
          </m:dPr>
          <m:e>
            <m:r>
              <w:rPr>
                <w:rFonts w:ascii="Cambria Math" w:hAnsi="Cambria Math"/>
              </w:rPr>
              <m:t>p=1.3162×</m:t>
            </m:r>
            <m:sSup>
              <m:sSupPr>
                <m:ctrlPr>
                  <w:rPr>
                    <w:rFonts w:ascii="Cambria Math" w:hAnsi="Cambria Math"/>
                    <w:i/>
                  </w:rPr>
                </m:ctrlPr>
              </m:sSupPr>
              <m:e>
                <m:r>
                  <w:rPr>
                    <w:rFonts w:ascii="Cambria Math" w:hAnsi="Cambria Math"/>
                  </w:rPr>
                  <m:t>10</m:t>
                </m:r>
              </m:e>
              <m:sup>
                <m:r>
                  <w:rPr>
                    <w:rFonts w:ascii="Cambria Math" w:hAnsi="Cambria Math"/>
                  </w:rPr>
                  <m:t>-4</m:t>
                </m:r>
              </m:sup>
            </m:sSup>
          </m:e>
        </m:d>
      </m:oMath>
      <w:r w:rsidR="00ED3203">
        <w:rPr>
          <w:rFonts w:eastAsiaTheme="minorEastAsia"/>
        </w:rPr>
        <w:t xml:space="preserve">, </w:t>
      </w:r>
      <w:r w:rsidR="00ED3203" w:rsidRPr="00C70BA2">
        <w:rPr>
          <w:rFonts w:eastAsiaTheme="minorEastAsia"/>
          <w:color w:val="FF0000"/>
        </w:rPr>
        <w:t>Table 1</w:t>
      </w:r>
      <w:r w:rsidR="00ED3203">
        <w:rPr>
          <w:rFonts w:eastAsiaTheme="minorEastAsia"/>
        </w:rPr>
        <w:t>)</w:t>
      </w:r>
      <w:r w:rsidR="00607BC1">
        <w:rPr>
          <w:rFonts w:eastAsiaTheme="minorEastAsia"/>
        </w:rPr>
        <w:t>.</w:t>
      </w:r>
      <w:r w:rsidR="009A43BC">
        <w:rPr>
          <w:rFonts w:eastAsiaTheme="minorEastAsia"/>
        </w:rPr>
        <w:t xml:space="preserve">  </w:t>
      </w:r>
      <w:r w:rsidR="00740078">
        <w:rPr>
          <w:rFonts w:eastAsiaTheme="minorEastAsia"/>
        </w:rPr>
        <w:t>Schizophrenia p</w:t>
      </w:r>
      <w:r w:rsidR="009A43BC">
        <w:rPr>
          <w:rFonts w:eastAsiaTheme="minorEastAsia"/>
        </w:rPr>
        <w:t xml:space="preserve">atients thus appear to consistently </w:t>
      </w:r>
      <w:r w:rsidR="00740078">
        <w:rPr>
          <w:rFonts w:eastAsiaTheme="minorEastAsia"/>
        </w:rPr>
        <w:t>generate entropy at a higher rate than healthy controls.</w:t>
      </w:r>
    </w:p>
    <w:p w14:paraId="331E6483" w14:textId="77777777" w:rsidR="001D3C66" w:rsidRPr="00793BD7" w:rsidRDefault="001D3C66" w:rsidP="001D3C66">
      <w:pPr>
        <w:spacing w:line="240" w:lineRule="auto"/>
        <w:rPr>
          <w:sz w:val="18"/>
          <w:szCs w:val="18"/>
        </w:rPr>
      </w:pPr>
    </w:p>
    <w:p w14:paraId="3002C218" w14:textId="77777777" w:rsidR="001D3C66" w:rsidRDefault="001D3C66" w:rsidP="001D3C66">
      <w:pPr>
        <w:pStyle w:val="Heading3"/>
      </w:pPr>
      <w:r>
        <w:lastRenderedPageBreak/>
        <w:t>Component Entropy</w:t>
      </w:r>
    </w:p>
    <w:p w14:paraId="75900690" w14:textId="05A4476D" w:rsidR="00AD03D3" w:rsidRDefault="00B4637F" w:rsidP="00684162">
      <w:r>
        <w:t xml:space="preserve">Having confirmed that subject joint entropy rate </w:t>
      </w:r>
      <w:r w:rsidR="00C475A9">
        <w:t xml:space="preserve">differs between populations, the next obvious question was whether these differences are evenly distributed amongst </w:t>
      </w:r>
      <w:proofErr w:type="spellStart"/>
      <w:r w:rsidR="00C475A9">
        <w:t>tICs</w:t>
      </w:r>
      <w:proofErr w:type="spellEnd"/>
      <w:r w:rsidR="00C475A9">
        <w:t xml:space="preserve"> or concentrate within a subset of them.  To answer this question, we compared the group-level entropy rates of each </w:t>
      </w:r>
      <w:proofErr w:type="spellStart"/>
      <w:r w:rsidR="00C475A9">
        <w:t>tIC</w:t>
      </w:r>
      <w:proofErr w:type="spellEnd"/>
      <w:r w:rsidR="00C475A9">
        <w:t xml:space="preserve"> using the Kolmogorov-Smirnov two-sample test, with the false discovery rate </w:t>
      </w:r>
      <w:sdt>
        <w:sdtPr>
          <w:rPr>
            <w:color w:val="000000"/>
          </w:rPr>
          <w:tag w:val="MENDELEY_CITATION_v3_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"/>
          <w:id w:val="937097829"/>
          <w:placeholder>
            <w:docPart w:val="BEC291E9B90CE3459BB74991298EF470"/>
          </w:placeholder>
        </w:sdtPr>
        <w:sdtContent>
          <w:r w:rsidR="00C475A9" w:rsidRPr="00BF6A4F">
            <w:rPr>
              <w:color w:val="000000"/>
            </w:rPr>
            <w:t>(</w:t>
          </w:r>
          <w:proofErr w:type="spellStart"/>
          <w:r w:rsidR="00C475A9" w:rsidRPr="00BF6A4F">
            <w:rPr>
              <w:color w:val="000000"/>
            </w:rPr>
            <w:t>Benjamini</w:t>
          </w:r>
          <w:proofErr w:type="spellEnd"/>
          <w:r w:rsidR="00C475A9" w:rsidRPr="00BF6A4F">
            <w:rPr>
              <w:color w:val="000000"/>
            </w:rPr>
            <w:t xml:space="preserve"> and Hochberg 1995)</w:t>
          </w:r>
        </w:sdtContent>
      </w:sdt>
      <w:r w:rsidR="00C475A9">
        <w:rPr>
          <w:color w:val="000000"/>
        </w:rPr>
        <w:t xml:space="preserve"> </w:t>
      </w:r>
      <w:r w:rsidR="00C475A9">
        <w:t>correcting for multiple comparison.  The Jarque-</w:t>
      </w:r>
      <w:proofErr w:type="spellStart"/>
      <w:r w:rsidR="00C475A9">
        <w:t>Bera</w:t>
      </w:r>
      <w:proofErr w:type="spellEnd"/>
      <w:r w:rsidR="00C475A9">
        <w:t xml:space="preserve"> test suggested that component-level subject entropies do not follow a normal distribution, so the </w:t>
      </w:r>
      <w:r w:rsidR="00C475A9">
        <w:rPr>
          <w:i/>
          <w:iCs/>
        </w:rPr>
        <w:t>t</w:t>
      </w:r>
      <w:r w:rsidR="00C475A9">
        <w:t>-test was dispensed with.</w:t>
      </w:r>
      <w:r w:rsidR="00684162">
        <w:t xml:space="preserve">  </w:t>
      </w:r>
      <w:r w:rsidR="00C70BA2">
        <w:t xml:space="preserve">Of the 171 </w:t>
      </w:r>
      <w:proofErr w:type="spellStart"/>
      <w:r w:rsidR="00C70BA2">
        <w:t>tICs</w:t>
      </w:r>
      <w:proofErr w:type="spellEnd"/>
      <w:r w:rsidR="00C70BA2">
        <w:t xml:space="preserve"> detected by the </w:t>
      </w:r>
      <w:proofErr w:type="spellStart"/>
      <w:r w:rsidR="00C70BA2">
        <w:t>Marcěnko</w:t>
      </w:r>
      <w:proofErr w:type="spellEnd"/>
      <w:r w:rsidR="00C70BA2">
        <w:t xml:space="preserve">-Pasteur method, </w:t>
      </w:r>
      <w:r w:rsidR="00684162">
        <w:t>twelve</w:t>
      </w:r>
      <w:r w:rsidR="00AD03D3">
        <w:t xml:space="preserve"> (</w:t>
      </w:r>
      <w:r w:rsidR="00684162">
        <w:t>12</w:t>
      </w:r>
      <w:r w:rsidR="00AD03D3">
        <w:t>)</w:t>
      </w:r>
      <w:r w:rsidR="00C70BA2">
        <w:t xml:space="preserve"> survive multiple comparison correction by the false discovery rate</w:t>
      </w:r>
      <w:r w:rsidR="00684162">
        <w:t>, while</w:t>
      </w:r>
      <w:r w:rsidR="00740078">
        <w:t xml:space="preserve"> </w:t>
      </w:r>
      <w:r w:rsidR="00684162">
        <w:t>two</w:t>
      </w:r>
      <w:r w:rsidR="00740078">
        <w:t xml:space="preserve"> (</w:t>
      </w:r>
      <w:r w:rsidR="00684162">
        <w:t>2</w:t>
      </w:r>
      <w:r w:rsidR="00740078">
        <w:t xml:space="preserve">) </w:t>
      </w:r>
      <w:r w:rsidR="00684162">
        <w:t xml:space="preserve">of the 22 Davies-Bouldin </w:t>
      </w:r>
      <w:proofErr w:type="spellStart"/>
      <w:r w:rsidR="00684162">
        <w:t>tICs</w:t>
      </w:r>
      <w:proofErr w:type="spellEnd"/>
      <w:r w:rsidR="00684162">
        <w:t xml:space="preserve"> survive.  In all cases, patients displayed elevated entropy rate compared to controls. </w:t>
      </w:r>
    </w:p>
    <w:p w14:paraId="764E0D03" w14:textId="77777777" w:rsidR="00922EA0" w:rsidRPr="00A853EC" w:rsidRDefault="00922EA0" w:rsidP="00922EA0">
      <w:pPr>
        <w:spacing w:line="276" w:lineRule="auto"/>
        <w:rPr>
          <w:sz w:val="18"/>
          <w:szCs w:val="18"/>
        </w:rPr>
      </w:pPr>
    </w:p>
    <w:p w14:paraId="2B561571" w14:textId="77777777" w:rsidR="00922EA0" w:rsidRPr="00613F06" w:rsidRDefault="00922EA0" w:rsidP="00922EA0">
      <w:pPr>
        <w:pStyle w:val="Heading3"/>
      </w:pPr>
      <w:r>
        <w:t>Entropy and Clinical Scores</w:t>
      </w:r>
    </w:p>
    <w:p w14:paraId="6C58002A" w14:textId="5202A050" w:rsidR="00413C4F" w:rsidRPr="00DC48F7" w:rsidRDefault="00E63240" w:rsidP="001C4CE7">
      <w:r>
        <w:t>A long-term goal of neuroimaging research is to identify links between identifiable</w:t>
      </w:r>
      <w:r w:rsidR="003C1A99">
        <w:t xml:space="preserve"> neuroimaging data</w:t>
      </w:r>
      <w:r>
        <w:t xml:space="preserve"> features </w:t>
      </w:r>
      <w:r w:rsidR="003C1A99">
        <w:t>and</w:t>
      </w:r>
      <w:r w:rsidR="004A1722">
        <w:t xml:space="preserve"> observable clinical or behavioral traits.  To that end, we </w:t>
      </w:r>
      <w:r w:rsidR="00845231">
        <w:t>correlated</w:t>
      </w:r>
      <w:r w:rsidR="00ED2348">
        <w:t xml:space="preserve"> positive and negative</w:t>
      </w:r>
      <w:r w:rsidR="004A1722">
        <w:t xml:space="preserve"> PANSS scores </w:t>
      </w:r>
      <w:r w:rsidR="00ED2348">
        <w:t>against</w:t>
      </w:r>
      <w:r w:rsidR="004A1722">
        <w:t xml:space="preserve"> both joint and </w:t>
      </w:r>
      <w:proofErr w:type="spellStart"/>
      <w:r w:rsidR="004A1722">
        <w:t>tIC</w:t>
      </w:r>
      <w:proofErr w:type="spellEnd"/>
      <w:r w:rsidR="004A1722">
        <w:t xml:space="preserve"> entropy rate distributions.</w:t>
      </w:r>
      <w:r w:rsidR="00627EC2">
        <w:t xml:space="preserve">  </w:t>
      </w:r>
      <w:r w:rsidR="00413C4F">
        <w:t xml:space="preserve">Of the </w:t>
      </w:r>
      <w:r w:rsidR="005250BB">
        <w:t xml:space="preserve">171 </w:t>
      </w:r>
      <w:proofErr w:type="spellStart"/>
      <w:r w:rsidR="005250BB">
        <w:t>tICs</w:t>
      </w:r>
      <w:proofErr w:type="spellEnd"/>
      <w:r w:rsidR="005250BB">
        <w:t xml:space="preserve"> highlighted by the </w:t>
      </w:r>
      <w:proofErr w:type="spellStart"/>
      <w:r w:rsidR="005250BB">
        <w:t>Marcěnko</w:t>
      </w:r>
      <w:proofErr w:type="spellEnd"/>
      <w:r w:rsidR="005250BB">
        <w:t xml:space="preserve">-Pasteur distribution, twenty (20) display significant correlations with clinical variables.  Specifically, </w:t>
      </w:r>
      <w:r w:rsidR="001C6ABD">
        <w:t xml:space="preserve">a </w:t>
      </w:r>
      <w:r w:rsidR="00056439">
        <w:t xml:space="preserve">diagnosis </w:t>
      </w:r>
      <w:r w:rsidR="001C6ABD">
        <w:t xml:space="preserve">of schizophrenia </w:t>
      </w:r>
      <w:r w:rsidR="00056439">
        <w:t>correlates positively with joint entropy rate and entropy rate of components 31, 32, 58, 66, 69, 79, 103, and 116.  Processing speed displays negative correlations with joint entropy and components 22, 32, and 58; verbal learning, with joint entropy and components 31</w:t>
      </w:r>
      <w:r w:rsidR="003A3ADB">
        <w:t xml:space="preserve"> and 159; CMINDS composite score with joint entropy and components 31, 49, 58, and 159; </w:t>
      </w:r>
      <w:r w:rsidR="00A81822">
        <w:t>age with components 37, 73, and 93; attention and vigilance, with components 40; working memory, with components 40 and 58; CPZ with component 43; visual learning, with components 49 and 58; reasoning and problem solving, with components 49, 109, 130, 132.</w:t>
      </w:r>
      <w:r w:rsidR="001C6ABD">
        <w:t xml:space="preserve">  </w:t>
      </w:r>
      <w:r w:rsidR="00413C4F">
        <w:t xml:space="preserve">Of the Davies-Bouldin </w:t>
      </w:r>
      <w:proofErr w:type="spellStart"/>
      <w:r w:rsidR="00413C4F">
        <w:t>tIC</w:t>
      </w:r>
      <w:proofErr w:type="spellEnd"/>
      <w:r w:rsidR="00413C4F">
        <w:t xml:space="preserve"> scores, </w:t>
      </w:r>
      <w:r w:rsidR="001C6ABD">
        <w:t xml:space="preserve">on the other hand, </w:t>
      </w:r>
      <w:r w:rsidR="00413C4F">
        <w:t xml:space="preserve">only joint entropy rate and the entropy rate of component 13 </w:t>
      </w:r>
      <w:r w:rsidR="001C6ABD">
        <w:t xml:space="preserve">survive multiple-comparison correction; both </w:t>
      </w:r>
      <w:r w:rsidR="00413C4F">
        <w:t xml:space="preserve">display significant </w:t>
      </w:r>
      <w:r w:rsidR="005250BB">
        <w:t xml:space="preserve">positive </w:t>
      </w:r>
      <w:r w:rsidR="00413C4F">
        <w:t>correlations</w:t>
      </w:r>
      <w:r w:rsidR="005250BB">
        <w:t xml:space="preserve"> with </w:t>
      </w:r>
      <w:r w:rsidR="001C6ABD">
        <w:t xml:space="preserve">a </w:t>
      </w:r>
      <w:r w:rsidR="00413C4F">
        <w:t>diagnosis</w:t>
      </w:r>
      <w:r w:rsidR="001C6ABD">
        <w:t xml:space="preserve"> of schizophrenia</w:t>
      </w:r>
      <w:r w:rsidR="00413C4F">
        <w:t>.</w:t>
      </w:r>
    </w:p>
    <w:sectPr w:rsidR="00413C4F" w:rsidRPr="00DC48F7">
      <w:footerReference w:type="default" r:id="rId8"/>
      <w:footerReference w:type="first" r:id="rId9"/>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1C962" w14:textId="77777777" w:rsidR="00C823F6" w:rsidRDefault="00C823F6">
      <w:pPr>
        <w:spacing w:before="0" w:after="0" w:line="240" w:lineRule="auto"/>
      </w:pPr>
      <w:r>
        <w:separator/>
      </w:r>
    </w:p>
    <w:p w14:paraId="7C17903C" w14:textId="77777777" w:rsidR="00C823F6" w:rsidRDefault="00C823F6"/>
  </w:endnote>
  <w:endnote w:type="continuationSeparator" w:id="0">
    <w:p w14:paraId="7A65BDF8" w14:textId="77777777" w:rsidR="00C823F6" w:rsidRDefault="00C823F6">
      <w:pPr>
        <w:spacing w:before="0" w:after="0" w:line="240" w:lineRule="auto"/>
      </w:pPr>
      <w:r>
        <w:continuationSeparator/>
      </w:r>
    </w:p>
    <w:p w14:paraId="2C35D0AD" w14:textId="77777777" w:rsidR="00C823F6" w:rsidRDefault="00C823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68325EAF" w14:textId="77777777" w:rsidR="006B619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3572" w14:textId="77777777" w:rsidR="006B6196" w:rsidRDefault="00000000">
    <w:pPr>
      <w:pStyle w:val="Footer"/>
    </w:pPr>
    <w:sdt>
      <w:sdtPr>
        <w:id w:val="7803617"/>
        <w:placeholder>
          <w:docPart w:val="811F191589528144BD67D9684F403705"/>
        </w:placeholder>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2BFBB" w14:textId="77777777" w:rsidR="00C823F6" w:rsidRDefault="00C823F6">
      <w:pPr>
        <w:spacing w:before="0" w:after="0" w:line="240" w:lineRule="auto"/>
      </w:pPr>
      <w:r>
        <w:separator/>
      </w:r>
    </w:p>
    <w:p w14:paraId="76324564" w14:textId="77777777" w:rsidR="00C823F6" w:rsidRDefault="00C823F6"/>
  </w:footnote>
  <w:footnote w:type="continuationSeparator" w:id="0">
    <w:p w14:paraId="01F1A296" w14:textId="77777777" w:rsidR="00C823F6" w:rsidRDefault="00C823F6">
      <w:pPr>
        <w:spacing w:before="0" w:after="0" w:line="240" w:lineRule="auto"/>
      </w:pPr>
      <w:r>
        <w:continuationSeparator/>
      </w:r>
    </w:p>
    <w:p w14:paraId="2DF71070" w14:textId="77777777" w:rsidR="00C823F6" w:rsidRDefault="00C823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883158">
    <w:abstractNumId w:val="1"/>
  </w:num>
  <w:num w:numId="2" w16cid:durableId="133528947">
    <w:abstractNumId w:val="3"/>
  </w:num>
  <w:num w:numId="3" w16cid:durableId="1810049530">
    <w:abstractNumId w:val="0"/>
  </w:num>
  <w:num w:numId="4" w16cid:durableId="1409232287">
    <w:abstractNumId w:val="5"/>
  </w:num>
  <w:num w:numId="5" w16cid:durableId="29696939">
    <w:abstractNumId w:val="4"/>
  </w:num>
  <w:num w:numId="6" w16cid:durableId="61954815">
    <w:abstractNumId w:val="6"/>
  </w:num>
  <w:num w:numId="7" w16cid:durableId="329989201">
    <w:abstractNumId w:val="2"/>
  </w:num>
  <w:num w:numId="8" w16cid:durableId="1113594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C1"/>
    <w:rsid w:val="00000ADF"/>
    <w:rsid w:val="00056439"/>
    <w:rsid w:val="000726F9"/>
    <w:rsid w:val="00081E2A"/>
    <w:rsid w:val="000C2C82"/>
    <w:rsid w:val="000C705D"/>
    <w:rsid w:val="000C7A97"/>
    <w:rsid w:val="000D0282"/>
    <w:rsid w:val="000F2623"/>
    <w:rsid w:val="000F5A8B"/>
    <w:rsid w:val="00105461"/>
    <w:rsid w:val="001442D0"/>
    <w:rsid w:val="001542E6"/>
    <w:rsid w:val="00161A0D"/>
    <w:rsid w:val="001633CC"/>
    <w:rsid w:val="00191BD3"/>
    <w:rsid w:val="0019341B"/>
    <w:rsid w:val="001A66E3"/>
    <w:rsid w:val="001C4CE7"/>
    <w:rsid w:val="001C6ABD"/>
    <w:rsid w:val="001D3C66"/>
    <w:rsid w:val="001D4861"/>
    <w:rsid w:val="001E26AF"/>
    <w:rsid w:val="001E56D2"/>
    <w:rsid w:val="00271329"/>
    <w:rsid w:val="002714CD"/>
    <w:rsid w:val="0028354A"/>
    <w:rsid w:val="00286047"/>
    <w:rsid w:val="0029115E"/>
    <w:rsid w:val="002A4F94"/>
    <w:rsid w:val="002B58DE"/>
    <w:rsid w:val="002C0435"/>
    <w:rsid w:val="002F2531"/>
    <w:rsid w:val="002F4BCE"/>
    <w:rsid w:val="00311E35"/>
    <w:rsid w:val="00324A00"/>
    <w:rsid w:val="00351B2D"/>
    <w:rsid w:val="00382682"/>
    <w:rsid w:val="003851B2"/>
    <w:rsid w:val="003A3ADB"/>
    <w:rsid w:val="003A76E9"/>
    <w:rsid w:val="003C1A99"/>
    <w:rsid w:val="003E0EBC"/>
    <w:rsid w:val="00413C4F"/>
    <w:rsid w:val="00414C4F"/>
    <w:rsid w:val="004564CA"/>
    <w:rsid w:val="00497083"/>
    <w:rsid w:val="004A073D"/>
    <w:rsid w:val="004A1722"/>
    <w:rsid w:val="004A3790"/>
    <w:rsid w:val="004C545B"/>
    <w:rsid w:val="005006B2"/>
    <w:rsid w:val="005017F8"/>
    <w:rsid w:val="00511068"/>
    <w:rsid w:val="005127BF"/>
    <w:rsid w:val="005250BB"/>
    <w:rsid w:val="00585C6F"/>
    <w:rsid w:val="005914C3"/>
    <w:rsid w:val="005934F9"/>
    <w:rsid w:val="005A5867"/>
    <w:rsid w:val="005B08DE"/>
    <w:rsid w:val="005B4B8F"/>
    <w:rsid w:val="005B7954"/>
    <w:rsid w:val="00607BC1"/>
    <w:rsid w:val="006122D9"/>
    <w:rsid w:val="00627EC2"/>
    <w:rsid w:val="006446F6"/>
    <w:rsid w:val="00655CA5"/>
    <w:rsid w:val="00671E6B"/>
    <w:rsid w:val="00684162"/>
    <w:rsid w:val="0069080D"/>
    <w:rsid w:val="006B6196"/>
    <w:rsid w:val="006B6732"/>
    <w:rsid w:val="006C0BD4"/>
    <w:rsid w:val="006C4AE4"/>
    <w:rsid w:val="007118B5"/>
    <w:rsid w:val="00712E72"/>
    <w:rsid w:val="0073475A"/>
    <w:rsid w:val="00740078"/>
    <w:rsid w:val="007471EA"/>
    <w:rsid w:val="007602C1"/>
    <w:rsid w:val="00765519"/>
    <w:rsid w:val="0079451C"/>
    <w:rsid w:val="00795F1A"/>
    <w:rsid w:val="007A6542"/>
    <w:rsid w:val="007B40DF"/>
    <w:rsid w:val="008137DE"/>
    <w:rsid w:val="00814B69"/>
    <w:rsid w:val="00817788"/>
    <w:rsid w:val="00820927"/>
    <w:rsid w:val="00826437"/>
    <w:rsid w:val="00830006"/>
    <w:rsid w:val="00836C83"/>
    <w:rsid w:val="00845231"/>
    <w:rsid w:val="00857B22"/>
    <w:rsid w:val="00860BB1"/>
    <w:rsid w:val="00897EEE"/>
    <w:rsid w:val="008A21D9"/>
    <w:rsid w:val="008B077D"/>
    <w:rsid w:val="008C358C"/>
    <w:rsid w:val="008C5C80"/>
    <w:rsid w:val="00922EA0"/>
    <w:rsid w:val="0092473A"/>
    <w:rsid w:val="00932B64"/>
    <w:rsid w:val="00952AE0"/>
    <w:rsid w:val="0095717E"/>
    <w:rsid w:val="00971978"/>
    <w:rsid w:val="00971A75"/>
    <w:rsid w:val="00973E0E"/>
    <w:rsid w:val="009865A6"/>
    <w:rsid w:val="00991381"/>
    <w:rsid w:val="009A43BC"/>
    <w:rsid w:val="00A01430"/>
    <w:rsid w:val="00A0398C"/>
    <w:rsid w:val="00A2784C"/>
    <w:rsid w:val="00A31AE2"/>
    <w:rsid w:val="00A518FF"/>
    <w:rsid w:val="00A55AE4"/>
    <w:rsid w:val="00A63DDD"/>
    <w:rsid w:val="00A670E3"/>
    <w:rsid w:val="00A81822"/>
    <w:rsid w:val="00AB61CF"/>
    <w:rsid w:val="00AB7C19"/>
    <w:rsid w:val="00AC786F"/>
    <w:rsid w:val="00AD03D3"/>
    <w:rsid w:val="00AE6103"/>
    <w:rsid w:val="00B04755"/>
    <w:rsid w:val="00B37436"/>
    <w:rsid w:val="00B4447C"/>
    <w:rsid w:val="00B4637F"/>
    <w:rsid w:val="00B647AD"/>
    <w:rsid w:val="00B71B19"/>
    <w:rsid w:val="00B73393"/>
    <w:rsid w:val="00B77CA2"/>
    <w:rsid w:val="00B94E93"/>
    <w:rsid w:val="00B94F2C"/>
    <w:rsid w:val="00B965A3"/>
    <w:rsid w:val="00BC75A1"/>
    <w:rsid w:val="00BD283A"/>
    <w:rsid w:val="00BD551B"/>
    <w:rsid w:val="00BD7CFF"/>
    <w:rsid w:val="00BE1167"/>
    <w:rsid w:val="00BE249E"/>
    <w:rsid w:val="00BF1BC4"/>
    <w:rsid w:val="00C25680"/>
    <w:rsid w:val="00C475A9"/>
    <w:rsid w:val="00C54FC7"/>
    <w:rsid w:val="00C557EF"/>
    <w:rsid w:val="00C67455"/>
    <w:rsid w:val="00C70BA2"/>
    <w:rsid w:val="00C71D6B"/>
    <w:rsid w:val="00C72DF5"/>
    <w:rsid w:val="00C73406"/>
    <w:rsid w:val="00C823F6"/>
    <w:rsid w:val="00CB118D"/>
    <w:rsid w:val="00CB70C0"/>
    <w:rsid w:val="00CD2719"/>
    <w:rsid w:val="00CD4929"/>
    <w:rsid w:val="00CD62C0"/>
    <w:rsid w:val="00CE3610"/>
    <w:rsid w:val="00CF0875"/>
    <w:rsid w:val="00CF2B49"/>
    <w:rsid w:val="00D12B80"/>
    <w:rsid w:val="00D22778"/>
    <w:rsid w:val="00D50095"/>
    <w:rsid w:val="00D51318"/>
    <w:rsid w:val="00D5331F"/>
    <w:rsid w:val="00D53E87"/>
    <w:rsid w:val="00D54F1A"/>
    <w:rsid w:val="00D6243A"/>
    <w:rsid w:val="00D85E8D"/>
    <w:rsid w:val="00D90888"/>
    <w:rsid w:val="00DA053E"/>
    <w:rsid w:val="00DA5311"/>
    <w:rsid w:val="00DC48F7"/>
    <w:rsid w:val="00DD17A4"/>
    <w:rsid w:val="00DE34CC"/>
    <w:rsid w:val="00E01561"/>
    <w:rsid w:val="00E327AB"/>
    <w:rsid w:val="00E449C5"/>
    <w:rsid w:val="00E63240"/>
    <w:rsid w:val="00E7690A"/>
    <w:rsid w:val="00E9461D"/>
    <w:rsid w:val="00E9640F"/>
    <w:rsid w:val="00E96AF7"/>
    <w:rsid w:val="00EB17A7"/>
    <w:rsid w:val="00EB21AE"/>
    <w:rsid w:val="00ED2348"/>
    <w:rsid w:val="00ED3203"/>
    <w:rsid w:val="00EE2056"/>
    <w:rsid w:val="00EE504C"/>
    <w:rsid w:val="00EE79EF"/>
    <w:rsid w:val="00F133E5"/>
    <w:rsid w:val="00F14F0F"/>
    <w:rsid w:val="00F2024E"/>
    <w:rsid w:val="00F56F7F"/>
    <w:rsid w:val="00F80E04"/>
    <w:rsid w:val="00F83CCF"/>
    <w:rsid w:val="00FC5440"/>
    <w:rsid w:val="00FD351A"/>
    <w:rsid w:val="00FF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EA7EB6"/>
  <w15:chartTrackingRefBased/>
  <w15:docId w15:val="{924E6D92-BDC0-4F4A-A744-A11C1C34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5">
    <w:name w:val="heading 5"/>
    <w:basedOn w:val="Normal"/>
    <w:next w:val="Normal"/>
    <w:link w:val="Heading5Char"/>
    <w:uiPriority w:val="9"/>
    <w:semiHidden/>
    <w:unhideWhenUsed/>
    <w:qFormat/>
    <w:rsid w:val="005B08DE"/>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6446F6"/>
    <w:rPr>
      <w:color w:val="0072C6" w:themeColor="hyperlink"/>
      <w:u w:val="single"/>
    </w:rPr>
  </w:style>
  <w:style w:type="character" w:styleId="UnresolvedMention">
    <w:name w:val="Unresolved Mention"/>
    <w:basedOn w:val="DefaultParagraphFont"/>
    <w:uiPriority w:val="99"/>
    <w:semiHidden/>
    <w:unhideWhenUsed/>
    <w:rsid w:val="006446F6"/>
    <w:rPr>
      <w:color w:val="605E5C"/>
      <w:shd w:val="clear" w:color="auto" w:fill="E1DFDD"/>
    </w:rPr>
  </w:style>
  <w:style w:type="character" w:customStyle="1" w:styleId="Heading5Char">
    <w:name w:val="Heading 5 Char"/>
    <w:basedOn w:val="DefaultParagraphFont"/>
    <w:link w:val="Heading5"/>
    <w:uiPriority w:val="9"/>
    <w:semiHidden/>
    <w:rsid w:val="005B08DE"/>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B4F75617-DE57-7048-B8ED-A2EC3EDDF3A1%7d/%7b4BBB9819-E4E8-6443-B669-6C147F6F1436%7dtf1000207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F191589528144BD67D9684F403705"/>
        <w:category>
          <w:name w:val="General"/>
          <w:gallery w:val="placeholder"/>
        </w:category>
        <w:types>
          <w:type w:val="bbPlcHdr"/>
        </w:types>
        <w:behaviors>
          <w:behavior w:val="content"/>
        </w:behaviors>
        <w:guid w:val="{720F9DE8-1717-5748-A24C-7C53D30BDE92}"/>
      </w:docPartPr>
      <w:docPartBody>
        <w:p w:rsidR="00CE0082" w:rsidRDefault="00CD1FBE" w:rsidP="00CD1FBE">
          <w:pPr>
            <w:pStyle w:val="811F191589528144BD67D9684F403705"/>
          </w:pPr>
          <w:r w:rsidRPr="001B403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D6ECFA8-982E-D24A-A37A-8464F2997C12}"/>
      </w:docPartPr>
      <w:docPartBody>
        <w:p w:rsidR="008A0F45" w:rsidRDefault="00CE0082">
          <w:r w:rsidRPr="006817CE">
            <w:rPr>
              <w:rStyle w:val="PlaceholderText"/>
            </w:rPr>
            <w:t>Click or tap here to enter text.</w:t>
          </w:r>
        </w:p>
      </w:docPartBody>
    </w:docPart>
    <w:docPart>
      <w:docPartPr>
        <w:name w:val="5FAECBD25F07BB4AB7EE1F6E8B4E7F11"/>
        <w:category>
          <w:name w:val="General"/>
          <w:gallery w:val="placeholder"/>
        </w:category>
        <w:types>
          <w:type w:val="bbPlcHdr"/>
        </w:types>
        <w:behaviors>
          <w:behavior w:val="content"/>
        </w:behaviors>
        <w:guid w:val="{28D39D8B-F7F9-D548-9A20-761BE11DADCB}"/>
      </w:docPartPr>
      <w:docPartBody>
        <w:p w:rsidR="003C48A1" w:rsidRDefault="006D1B06" w:rsidP="006D1B06">
          <w:pPr>
            <w:pStyle w:val="5FAECBD25F07BB4AB7EE1F6E8B4E7F11"/>
          </w:pPr>
          <w:r w:rsidRPr="006817CE">
            <w:rPr>
              <w:rStyle w:val="PlaceholderText"/>
            </w:rPr>
            <w:t>Click or tap here to enter text.</w:t>
          </w:r>
        </w:p>
      </w:docPartBody>
    </w:docPart>
    <w:docPart>
      <w:docPartPr>
        <w:name w:val="574369D7AC241645890371924DFD1BA0"/>
        <w:category>
          <w:name w:val="General"/>
          <w:gallery w:val="placeholder"/>
        </w:category>
        <w:types>
          <w:type w:val="bbPlcHdr"/>
        </w:types>
        <w:behaviors>
          <w:behavior w:val="content"/>
        </w:behaviors>
        <w:guid w:val="{403A8E9E-FCB7-9044-B5AB-223BADD7E523}"/>
      </w:docPartPr>
      <w:docPartBody>
        <w:p w:rsidR="002E1851" w:rsidRDefault="003C48A1" w:rsidP="003C48A1">
          <w:pPr>
            <w:pStyle w:val="574369D7AC241645890371924DFD1BA0"/>
          </w:pPr>
          <w:r w:rsidRPr="001B4037">
            <w:rPr>
              <w:rStyle w:val="PlaceholderText"/>
            </w:rPr>
            <w:t>Click or tap here to enter text.</w:t>
          </w:r>
        </w:p>
      </w:docPartBody>
    </w:docPart>
    <w:docPart>
      <w:docPartPr>
        <w:name w:val="3453F5633155B449AAF8A1F143F3D7B8"/>
        <w:category>
          <w:name w:val="General"/>
          <w:gallery w:val="placeholder"/>
        </w:category>
        <w:types>
          <w:type w:val="bbPlcHdr"/>
        </w:types>
        <w:behaviors>
          <w:behavior w:val="content"/>
        </w:behaviors>
        <w:guid w:val="{D0A92BB9-FDE9-4144-99E0-200B726FAA9A}"/>
      </w:docPartPr>
      <w:docPartBody>
        <w:p w:rsidR="002E1851" w:rsidRDefault="003C48A1" w:rsidP="003C48A1">
          <w:pPr>
            <w:pStyle w:val="3453F5633155B449AAF8A1F143F3D7B8"/>
          </w:pPr>
          <w:r w:rsidRPr="00330118">
            <w:rPr>
              <w:rStyle w:val="PlaceholderText"/>
            </w:rPr>
            <w:t>Click or tap here to enter text.</w:t>
          </w:r>
        </w:p>
      </w:docPartBody>
    </w:docPart>
    <w:docPart>
      <w:docPartPr>
        <w:name w:val="9713CEA4C47A7C469195C5AB26A0A071"/>
        <w:category>
          <w:name w:val="General"/>
          <w:gallery w:val="placeholder"/>
        </w:category>
        <w:types>
          <w:type w:val="bbPlcHdr"/>
        </w:types>
        <w:behaviors>
          <w:behavior w:val="content"/>
        </w:behaviors>
        <w:guid w:val="{259566D6-D0C1-624A-8069-F9ED543BB9DC}"/>
      </w:docPartPr>
      <w:docPartBody>
        <w:p w:rsidR="002E1851" w:rsidRDefault="003C48A1" w:rsidP="003C48A1">
          <w:pPr>
            <w:pStyle w:val="9713CEA4C47A7C469195C5AB26A0A071"/>
          </w:pPr>
          <w:r w:rsidRPr="001B4037">
            <w:rPr>
              <w:rStyle w:val="PlaceholderText"/>
            </w:rPr>
            <w:t>Click or tap here to enter text.</w:t>
          </w:r>
        </w:p>
      </w:docPartBody>
    </w:docPart>
    <w:docPart>
      <w:docPartPr>
        <w:name w:val="CEE11309021DE54FBEAACDF3413182A0"/>
        <w:category>
          <w:name w:val="General"/>
          <w:gallery w:val="placeholder"/>
        </w:category>
        <w:types>
          <w:type w:val="bbPlcHdr"/>
        </w:types>
        <w:behaviors>
          <w:behavior w:val="content"/>
        </w:behaviors>
        <w:guid w:val="{D3BA5FF1-92E8-3D4B-809A-21879B13AA69}"/>
      </w:docPartPr>
      <w:docPartBody>
        <w:p w:rsidR="002E1851" w:rsidRDefault="003C48A1" w:rsidP="003C48A1">
          <w:pPr>
            <w:pStyle w:val="CEE11309021DE54FBEAACDF3413182A0"/>
          </w:pPr>
          <w:r w:rsidRPr="001B4037">
            <w:rPr>
              <w:rStyle w:val="PlaceholderText"/>
            </w:rPr>
            <w:t>Click or tap here to enter text.</w:t>
          </w:r>
        </w:p>
      </w:docPartBody>
    </w:docPart>
    <w:docPart>
      <w:docPartPr>
        <w:name w:val="BEC291E9B90CE3459BB74991298EF470"/>
        <w:category>
          <w:name w:val="General"/>
          <w:gallery w:val="placeholder"/>
        </w:category>
        <w:types>
          <w:type w:val="bbPlcHdr"/>
        </w:types>
        <w:behaviors>
          <w:behavior w:val="content"/>
        </w:behaviors>
        <w:guid w:val="{1F58C591-4ED9-3840-BF31-64A03F541F93}"/>
      </w:docPartPr>
      <w:docPartBody>
        <w:p w:rsidR="002E1851" w:rsidRDefault="003C48A1" w:rsidP="003C48A1">
          <w:pPr>
            <w:pStyle w:val="BEC291E9B90CE3459BB74991298EF470"/>
          </w:pPr>
          <w:r w:rsidRPr="001B40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43219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BE"/>
    <w:rsid w:val="000B3B18"/>
    <w:rsid w:val="002D7E7D"/>
    <w:rsid w:val="002E1851"/>
    <w:rsid w:val="003C48A1"/>
    <w:rsid w:val="006D1B06"/>
    <w:rsid w:val="00820428"/>
    <w:rsid w:val="008A0F45"/>
    <w:rsid w:val="00974EFC"/>
    <w:rsid w:val="00AF5EF7"/>
    <w:rsid w:val="00CB5608"/>
    <w:rsid w:val="00CD1FBE"/>
    <w:rsid w:val="00CE0082"/>
    <w:rsid w:val="00D3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kern w:val="0"/>
      <w:lang w:eastAsia="ja-JP"/>
      <w14:ligatures w14:val="none"/>
    </w:rPr>
  </w:style>
  <w:style w:type="character" w:styleId="PlaceholderText">
    <w:name w:val="Placeholder Text"/>
    <w:basedOn w:val="DefaultParagraphFont"/>
    <w:uiPriority w:val="99"/>
    <w:semiHidden/>
    <w:rsid w:val="003C48A1"/>
    <w:rPr>
      <w:color w:val="808080"/>
    </w:rPr>
  </w:style>
  <w:style w:type="paragraph" w:customStyle="1" w:styleId="811F191589528144BD67D9684F403705">
    <w:name w:val="811F191589528144BD67D9684F403705"/>
    <w:rsid w:val="00CD1FBE"/>
  </w:style>
  <w:style w:type="paragraph" w:customStyle="1" w:styleId="574369D7AC241645890371924DFD1BA0">
    <w:name w:val="574369D7AC241645890371924DFD1BA0"/>
    <w:rsid w:val="003C48A1"/>
    <w:pPr>
      <w:spacing w:after="0" w:line="240" w:lineRule="auto"/>
    </w:pPr>
  </w:style>
  <w:style w:type="paragraph" w:customStyle="1" w:styleId="3453F5633155B449AAF8A1F143F3D7B8">
    <w:name w:val="3453F5633155B449AAF8A1F143F3D7B8"/>
    <w:rsid w:val="003C48A1"/>
    <w:pPr>
      <w:spacing w:after="0" w:line="240" w:lineRule="auto"/>
    </w:pPr>
  </w:style>
  <w:style w:type="paragraph" w:customStyle="1" w:styleId="9713CEA4C47A7C469195C5AB26A0A071">
    <w:name w:val="9713CEA4C47A7C469195C5AB26A0A071"/>
    <w:rsid w:val="003C48A1"/>
    <w:pPr>
      <w:spacing w:after="0" w:line="240" w:lineRule="auto"/>
    </w:pPr>
  </w:style>
  <w:style w:type="paragraph" w:customStyle="1" w:styleId="CEE11309021DE54FBEAACDF3413182A0">
    <w:name w:val="CEE11309021DE54FBEAACDF3413182A0"/>
    <w:rsid w:val="003C48A1"/>
    <w:pPr>
      <w:spacing w:after="0" w:line="240" w:lineRule="auto"/>
    </w:pPr>
  </w:style>
  <w:style w:type="paragraph" w:customStyle="1" w:styleId="BEC291E9B90CE3459BB74991298EF470">
    <w:name w:val="BEC291E9B90CE3459BB74991298EF470"/>
    <w:rsid w:val="003C48A1"/>
    <w:pPr>
      <w:spacing w:after="0" w:line="240" w:lineRule="auto"/>
    </w:pPr>
  </w:style>
  <w:style w:type="paragraph" w:customStyle="1" w:styleId="5FAECBD25F07BB4AB7EE1F6E8B4E7F11">
    <w:name w:val="5FAECBD25F07BB4AB7EE1F6E8B4E7F11"/>
    <w:rsid w:val="006D1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89CFFD-2D7A-F448-89E0-2FA3AEAFC9B5}">
  <we:reference id="wa104382081" version="1.55.1.0" store="en-001" storeType="OMEX"/>
  <we:alternateReferences>
    <we:reference id="WA104382081" version="1.55.1.0" store="" storeType="OMEX"/>
  </we:alternateReferences>
  <we:properties>
    <we:property name="MENDELEY_CITATIONS" value="[{&quot;citationID&quot;:&quot;MENDELEY_CITATION_cc9fc052-94de-442d-b566-4d8dc9806f32&quot;,&quot;properties&quot;:{&quot;noteIndex&quot;:0},&quot;isEdited&quot;:false,&quot;manualOverride&quot;:{&quot;isManuallyOverridden&quot;:false,&quot;citeprocText&quot;:&quot;(Du et al. 2020)&quot;,&quot;manualOverrideText&quot;:&quot;&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Tag&quot;:&quot;MENDELEY_CITATION_v3_eyJjaXRhdGlvbklEIjoiTUVOREVMRVlfQ0lUQVRJT05fY2M5ZmMwNTItOTRkZS00NDJkLWI1NjYtNGQ4ZGM5ODA2ZjM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D&quot;:&quot;MENDELEY_CITATION_88827eb6-b307-4210-868c-039228ed090e&quot;,&quot;properties&quot;:{&quot;noteIndex&quot;:0},&quot;isEdited&quot;:false,&quot;manualOverride&quot;:{&quot;isManuallyOverridden&quot;:false,&quot;citeprocText&quot;:&quot;(Du et al. 2020)&quot;,&quot;manualOverrideText&quot;:&quot;&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Tag&quot;:&quot;MENDELEY_CITATION_v3_eyJjaXRhdGlvbklEIjoiTUVOREVMRVlfQ0lUQVRJT05fODg4MjdlYjYtYjMwNy00MjEwLTg2OGMtMDM5MjI4ZWQwOTBl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6349-64D3-414B-8427-C22D0065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{4BBB9819-E4E8-6443-B669-6C147F6F1436}tf10002076.dotx</Template>
  <TotalTime>204</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Blair</cp:lastModifiedBy>
  <cp:revision>44</cp:revision>
  <dcterms:created xsi:type="dcterms:W3CDTF">2023-12-01T16:45:00Z</dcterms:created>
  <dcterms:modified xsi:type="dcterms:W3CDTF">2024-01-08T16:51:00Z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http://csl.mendeley.com/styles/503544141/chicago-author-date-allauthors</vt:lpwstr>
  </property>
  <property fmtid="{D5CDD505-2E9C-101B-9397-08002B2CF9AE}" pid="10" name="Mendeley Recent Style Name 3_1">
    <vt:lpwstr>Chicago Manual of Style 17th edition (author-date) - David Blair</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http://www.zotero.org/styles/neuroimage-clinical</vt:lpwstr>
  </property>
  <property fmtid="{D5CDD505-2E9C-101B-9397-08002B2CF9AE}" pid="22" name="Mendeley Recent Style Name 9_1">
    <vt:lpwstr>NeuroImage: Clinical</vt:lpwstr>
  </property>
</Properties>
</file>