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E39F6" w14:textId="192C70F9" w:rsidR="006B6196" w:rsidRDefault="005934F9">
      <w:pPr>
        <w:pStyle w:val="Heading1"/>
      </w:pPr>
      <w:r>
        <w:t>Results</w:t>
      </w:r>
    </w:p>
    <w:p w14:paraId="4B8ACAD3" w14:textId="77777777" w:rsidR="008B077D" w:rsidRDefault="008B077D" w:rsidP="008B077D">
      <w:pPr>
        <w:pStyle w:val="Heading3"/>
      </w:pPr>
      <w:r>
        <w:t>Static Functional Network Connectivity</w:t>
      </w:r>
    </w:p>
    <w:p w14:paraId="245BCCFB" w14:textId="7F0706FF" w:rsidR="005B7EF5" w:rsidRDefault="00B2142D" w:rsidP="005B7EF5">
      <w:r>
        <w:t xml:space="preserve">As a pre-analysis sanity test, we compared static functional network connectivity (sFNC) in the same fashion as </w:t>
      </w:r>
      <w:sdt>
        <w:sdtPr>
          <w:rPr>
            <w:color w:val="000000"/>
          </w:rPr>
          <w:tag w:val="MENDELEY_CITATION_v3_eyJjaXRhdGlvbklEIjoiTUVOREVMRVlfQ0lUQVRJT05fY2M5ZmMwNTItOTRkZS00NDJkLWI1NjYtNGQ4ZGM5ODA2ZjMy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350459611"/>
          <w:placeholder>
            <w:docPart w:val="BE94CCFBEF7C13428259AA3E15D3B305"/>
          </w:placeholder>
        </w:sdtPr>
        <w:sdtContent>
          <w:r w:rsidRPr="006C0BD4">
            <w:rPr>
              <w:color w:val="000000"/>
            </w:rPr>
            <w:t>(Du et al. 2020)</w:t>
          </w:r>
        </w:sdtContent>
      </w:sdt>
      <w:r>
        <w:t xml:space="preserve"> to confirm that the data</w:t>
      </w:r>
      <w:r w:rsidRPr="00E96AF7">
        <w:t xml:space="preserve"> </w:t>
      </w:r>
      <w:r>
        <w:t xml:space="preserve">were not compromised.  </w:t>
      </w:r>
      <w:r w:rsidRPr="00B2142D">
        <w:rPr>
          <w:color w:val="FF0000"/>
        </w:rPr>
        <w:t xml:space="preserve">Figure </w:t>
      </w:r>
      <w:r>
        <w:t xml:space="preserve">(a) displays the mean sFNC of the FBIRN dataset, (b) the </w:t>
      </w:r>
      <w:r>
        <w:rPr>
          <w:i/>
          <w:iCs/>
        </w:rPr>
        <w:t>t</w:t>
      </w:r>
      <w:r>
        <w:t xml:space="preserve">-statistic returned by two-sample </w:t>
      </w:r>
      <w:r>
        <w:rPr>
          <w:i/>
          <w:iCs/>
        </w:rPr>
        <w:t>t</w:t>
      </w:r>
      <w:r>
        <w:t xml:space="preserve">-test comparisons between controls and patients, and (c) the connections from (b) which survive Bonferroni multiple comparison correction.  No corresponding matrices are displayed in </w:t>
      </w:r>
      <w:sdt>
        <w:sdtPr>
          <w:rPr>
            <w:color w:val="000000"/>
          </w:rPr>
          <w:tag w:val="MENDELEY_CITATION_v3_eyJjaXRhdGlvbklEIjoiTUVOREVMRVlfQ0lUQVRJT05fODg4MjdlYjYtYjMwNy00MjEwLTg2OGMtMDM5MjI4ZWQwOTBl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1416928160"/>
          <w:placeholder>
            <w:docPart w:val="6E7D156DA7A38D419F86AF0F048E245B"/>
          </w:placeholder>
        </w:sdtPr>
        <w:sdtContent>
          <w:r w:rsidRPr="006C0BD4">
            <w:rPr>
              <w:color w:val="000000"/>
            </w:rPr>
            <w:t>(Du et al. 2020)</w:t>
          </w:r>
        </w:sdtContent>
      </w:sdt>
      <w:r>
        <w:t xml:space="preserve"> for comparison; however, the extant sFNC matrices display the diagonal block pattern expected of such matrices, which suggests that the data have been correctly reconstructed.</w:t>
      </w:r>
      <w:r>
        <w:t xml:space="preserve">  Notably, healthy controls displa</w:t>
      </w:r>
      <w:r w:rsidR="00C3709B">
        <w:t xml:space="preserve">y </w:t>
      </w:r>
      <w:r w:rsidR="005514E2">
        <w:t xml:space="preserve">visibly </w:t>
      </w:r>
      <w:r w:rsidR="00C3709B">
        <w:t xml:space="preserve">greater mean absolute FNC values than schizophrenic patients </w:t>
      </w:r>
      <w:r w:rsidR="00D67E2F">
        <w:t xml:space="preserve">across the majority of the sFNC matrices’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w:r w:rsidR="00D67E2F">
        <w:t xml:space="preserve"> correlation coefficients.</w:t>
      </w:r>
      <w:r w:rsidR="005514E2">
        <w:t xml:space="preserve">  </w:t>
      </w:r>
      <w:r w:rsidR="005514E2" w:rsidRPr="00A86158">
        <w:rPr>
          <w:color w:val="FF0000"/>
        </w:rPr>
        <w:t>It is not currently clear whether this is due to decreased absolute sFNC values across patients, increased sFNC variance across patients, or some combination of these factors.  Examining which, if any, of these factors cause the observed decrease in sFNC values may be worthwhile</w:t>
      </w:r>
      <w:r w:rsidR="005514E2">
        <w:t>.  Regardless, this visible reduction in patient sFNC values provides strong initial support for the dysconnectivity hypothesis, as it suggests that schizophrenia is broadly characterized by reduced inter-network communication</w:t>
      </w:r>
      <w:r w:rsidR="00A86158">
        <w:t xml:space="preserve"> compared to controls.  </w:t>
      </w:r>
      <w:r w:rsidR="00A86158" w:rsidRPr="00A86158">
        <w:rPr>
          <w:color w:val="FF0000"/>
        </w:rPr>
        <w:t>Network analysis could reveal how this dysconnectivity affects communication efficiency, inter-network modularity, or signal propagation</w:t>
      </w:r>
      <w:r w:rsidR="0048561D">
        <w:rPr>
          <w:color w:val="FF0000"/>
        </w:rPr>
        <w:t xml:space="preserve"> in patients, or its effect on functional specialization gradients</w:t>
      </w:r>
      <w:r w:rsidR="00A86158">
        <w:t>.</w:t>
      </w:r>
    </w:p>
    <w:p w14:paraId="7B58EDE3" w14:textId="77777777" w:rsidR="005B7EF5" w:rsidRDefault="005B7EF5" w:rsidP="005B7EF5"/>
    <w:p w14:paraId="70D38E4D" w14:textId="0AA2D841" w:rsidR="005B7EF5" w:rsidRDefault="0022490B" w:rsidP="005B7EF5">
      <w:pPr>
        <w:pStyle w:val="Heading3"/>
      </w:pPr>
      <w:r>
        <w:t>Joint Entropy</w:t>
      </w:r>
    </w:p>
    <w:p w14:paraId="718330D2" w14:textId="47A1C930" w:rsidR="006C5A32" w:rsidRDefault="006C5A32" w:rsidP="00F133E5">
      <w:r>
        <w:t>We</w:t>
      </w:r>
      <w:r w:rsidR="00264A13">
        <w:t xml:space="preserve"> estimate each tFNC’s subject-level entropy rate</w:t>
      </w:r>
      <w:r>
        <w:t xml:space="preserve"> </w:t>
      </w:r>
      <w:r w:rsidR="00264A13">
        <w:t>with</w:t>
      </w:r>
      <w:r>
        <w:t xml:space="preserve"> a variation of </w:t>
      </w:r>
      <w:r>
        <w:t xml:space="preserve">the Kozachenko-Leonenko estimator </w:t>
      </w:r>
      <w:sdt>
        <w:sdtPr>
          <w:rPr>
            <w:color w:val="000000"/>
          </w:rPr>
          <w:tag w:val="MENDELEY_CITATION_v3_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"/>
          <w:id w:val="528603612"/>
          <w:placeholder>
            <w:docPart w:val="6397D5B7875CC7488472649259B61BFB"/>
          </w:placeholder>
        </w:sdtPr>
        <w:sdtContent>
          <w:r w:rsidRPr="00BF6A4F">
            <w:rPr>
              <w:color w:val="000000"/>
            </w:rPr>
            <w:t>(Kozachenko and Leonenko 1987; Delattre and Fournier 2017)</w:t>
          </w:r>
        </w:sdtContent>
      </w:sdt>
      <w:r>
        <w:t xml:space="preserve"> based on </w:t>
      </w:r>
      <w:r>
        <w:rPr>
          <w:i/>
          <w:iCs/>
        </w:rPr>
        <w:t>k</w:t>
      </w:r>
      <w:r>
        <w:t xml:space="preserve">-nearest-neighbor distances between sample points </w:t>
      </w:r>
      <w:sdt>
        <w:sdtPr>
          <w:rPr>
            <w:color w:val="000000"/>
          </w:rPr>
          <w:tag w:val="MENDELEY_CITATION_v3_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"/>
          <w:id w:val="631527405"/>
          <w:placeholder>
            <w:docPart w:val="0CB81FF738739248921B583F061D1138"/>
          </w:placeholder>
        </w:sdtPr>
        <w:sdtContent>
          <w:r w:rsidRPr="00BF6A4F">
            <w:rPr>
              <w:color w:val="000000"/>
            </w:rPr>
            <w:t>(Singh et al. 2003; Goria et al. 2005)</w:t>
          </w:r>
        </w:sdtContent>
      </w:sdt>
      <w:r>
        <w:t xml:space="preserve">.  </w:t>
      </w:r>
      <w:r w:rsidR="00264A13">
        <w:t>T</w:t>
      </w:r>
      <w:r w:rsidR="00264A13">
        <w:t xml:space="preserve">he </w:t>
      </w:r>
      <w:r w:rsidR="00264A13">
        <w:t>lack of each tFNC’s precise time series</w:t>
      </w:r>
      <w:r w:rsidR="00264A13">
        <w:t xml:space="preserve"> probability distribution </w:t>
      </w:r>
      <w:r w:rsidR="00264A13">
        <w:t xml:space="preserve">renders estimation necessary, as </w:t>
      </w:r>
      <w:r w:rsidR="00264A13">
        <w:lastRenderedPageBreak/>
        <w:t>an exact calculation of signal entropy requires that signal’s complete and exact probability distribution.  Such exact, fully parameterized probability distributions are rarely found in real experiments, a fact which renders estimation algorithms essential.</w:t>
      </w:r>
    </w:p>
    <w:p w14:paraId="4BC80596" w14:textId="09CA217B" w:rsidR="00991799" w:rsidRDefault="00901B30" w:rsidP="00991799">
      <w:r>
        <w:t xml:space="preserve">The statistical independence of the tFNCs prevents any dependence between their respective entropy rates.  </w:t>
      </w:r>
      <w:r w:rsidR="0088770A">
        <w:t xml:space="preserve">As such, the joint entropy rate of each subject </w:t>
      </w:r>
      <w:r w:rsidR="002832A6">
        <w:t>can</w:t>
      </w:r>
      <w:r w:rsidR="0088770A">
        <w:t xml:space="preserve"> be estimated simply by summing </w:t>
      </w:r>
      <w:r w:rsidR="006C5A32">
        <w:t xml:space="preserve">all tFNCs’ subject-level entropy rates.  </w:t>
      </w:r>
      <w:r w:rsidR="002832A6">
        <w:t xml:space="preserve">The resulting group-level distributions of the joint entropy are displayed in </w:t>
      </w:r>
      <w:r w:rsidR="002832A6" w:rsidRPr="000003F1">
        <w:rPr>
          <w:color w:val="FF0000"/>
        </w:rPr>
        <w:t>Figure []</w:t>
      </w:r>
      <w:r w:rsidR="002832A6">
        <w:t xml:space="preserve">, </w:t>
      </w:r>
      <w:r w:rsidR="000003F1">
        <w:t xml:space="preserve">with schizophrenia patients on the left and healthy controls on the right.  Healthy controls display elevated joint entropy </w:t>
      </w:r>
      <w:r w:rsidR="00655F34">
        <w:t xml:space="preserve">rate </w:t>
      </w:r>
      <w:r w:rsidR="000003F1">
        <w:t>relative to patients</w:t>
      </w:r>
      <w:r w:rsidR="005F456D">
        <w:t xml:space="preserve">, with </w:t>
      </w:r>
      <w:r w:rsidR="00164EF3">
        <w:t>the Kolmogorov-Smirnov test</w:t>
      </w:r>
      <w:r w:rsidR="005F456D">
        <w:t xml:space="preserve"> </w:t>
      </w:r>
      <w:r w:rsidR="00164EF3">
        <w:t>demonstrating that</w:t>
      </w:r>
      <w:r w:rsidR="005F456D">
        <w:t xml:space="preserve"> this elevation is </w:t>
      </w:r>
      <w:r w:rsidR="00164EF3">
        <w:t xml:space="preserve">highly </w:t>
      </w:r>
      <w:r w:rsidR="005F456D">
        <w:t xml:space="preserve">significant </w:t>
      </w:r>
      <m:oMath>
        <m:d>
          <m:dPr>
            <m:ctrlPr>
              <w:rPr>
                <w:rFonts w:ascii="Cambria Math" w:hAnsi="Cambria Math"/>
                <w:i/>
              </w:rPr>
            </m:ctrlPr>
          </m:dPr>
          <m:e>
            <m:r>
              <w:rPr>
                <w:rFonts w:ascii="Cambria Math" w:hAnsi="Cambria Math"/>
              </w:rPr>
              <m:t>p=4.506×</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=0.2188</m:t>
            </m:r>
          </m:e>
        </m:d>
      </m:oMath>
      <w:r w:rsidR="005F456D">
        <w:t>.</w:t>
      </w:r>
      <w:r w:rsidR="00164EF3">
        <w:t xml:space="preserve">  </w:t>
      </w:r>
      <w:r w:rsidR="00B87651">
        <w:t>A difference-of-means permutation test confirm</w:t>
      </w:r>
      <w:r w:rsidR="00C64984">
        <w:t>s</w:t>
      </w:r>
      <w:r w:rsidR="00B87651">
        <w:t xml:space="preserve"> this finding </w:t>
      </w:r>
      <m:oMath>
        <m:d>
          <m:dPr>
            <m:ctrlPr>
              <w:rPr>
                <w:rFonts w:ascii="Cambria Math" w:hAnsi="Cambria Math"/>
                <w:i/>
              </w:rPr>
            </m:ctrlPr>
          </m:dPr>
          <m:e>
            <m:r>
              <w:rPr>
                <w:rFonts w:ascii="Cambria Math" w:hAnsi="Cambria Math"/>
              </w:rPr>
              <m:t>p=</m:t>
            </m:r>
            <m:r>
              <w:rPr>
                <w:rFonts w:ascii="Cambria Math" w:hAnsi="Cambria Math"/>
              </w:rPr>
              <m:t>9.999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5</m:t>
                </m:r>
              </m:sup>
            </m:sSup>
            <m:r>
              <w:rPr>
                <w:rFonts w:ascii="Cambria Math" w:hAnsi="Cambria Math"/>
              </w:rPr>
              <m:t xml:space="preserve">, </m:t>
            </m:r>
            <m:r>
              <w:rPr>
                <w:rFonts w:ascii="Cambria Math" w:hAnsi="Cambria Math"/>
              </w:rPr>
              <m:t>G</m:t>
            </m:r>
            <m:r>
              <w:rPr>
                <w:rFonts w:ascii="Cambria Math" w:hAnsi="Cambria Math"/>
              </w:rPr>
              <m:t>=</m:t>
            </m:r>
            <m:r>
              <w:rPr>
                <w:rFonts w:ascii="Cambria Math" w:hAnsi="Cambria Math"/>
              </w:rPr>
              <m:t>-0.4095</m:t>
            </m:r>
          </m:e>
        </m:d>
      </m:oMath>
      <w:r w:rsidR="00B87651">
        <w:t xml:space="preserve">.  </w:t>
      </w:r>
      <w:r w:rsidR="00164EF3">
        <w:t xml:space="preserve">Student’s </w:t>
      </w:r>
      <m:oMath>
        <m:r>
          <w:rPr>
            <w:rFonts w:ascii="Cambria Math" w:hAnsi="Cambria Math"/>
          </w:rPr>
          <m:t>t</m:t>
        </m:r>
      </m:oMath>
      <w:r w:rsidR="00164EF3">
        <w:t>-test was not employed because the joint distribution fai</w:t>
      </w:r>
      <w:r w:rsidR="00B87651">
        <w:t>ls</w:t>
      </w:r>
      <w:r w:rsidR="00164EF3">
        <w:t xml:space="preserve"> the Jarque-Bara test, thus violating </w:t>
      </w:r>
      <w:r w:rsidR="00B87651">
        <w:t>Student’s assumption</w:t>
      </w:r>
      <w:r w:rsidR="00625460">
        <w:t xml:space="preserve"> of normality.</w:t>
      </w:r>
      <w:r w:rsidR="00991799">
        <w:t xml:space="preserve">  Group-level means and standard deviations are included in </w:t>
      </w:r>
      <w:r w:rsidR="00991799" w:rsidRPr="00991799">
        <w:rPr>
          <w:color w:val="FF0000"/>
        </w:rPr>
        <w:t>Table []</w:t>
      </w:r>
      <w:r w:rsidR="00991799">
        <w:t>.</w:t>
      </w:r>
    </w:p>
    <w:p w14:paraId="538B3B49" w14:textId="77777777" w:rsidR="00991799" w:rsidRDefault="00991799" w:rsidP="00991799"/>
    <w:p w14:paraId="1F6E39A9" w14:textId="40C0C433" w:rsidR="00991799" w:rsidRDefault="00991799" w:rsidP="00991799">
      <w:pPr>
        <w:pStyle w:val="Heading3"/>
      </w:pPr>
      <w:r>
        <w:t>Component</w:t>
      </w:r>
      <w:r>
        <w:t xml:space="preserve"> Entropy</w:t>
      </w:r>
    </w:p>
    <w:p w14:paraId="0F4D2360" w14:textId="073BF12E" w:rsidR="00B35DC3" w:rsidRDefault="00655F34" w:rsidP="00B35DC3">
      <w:r>
        <w:t xml:space="preserve">Having confirmed that subject joint entropy rate differs between populations, </w:t>
      </w:r>
      <w:r>
        <w:t>an</w:t>
      </w:r>
      <w:r>
        <w:t xml:space="preserve"> obvious question </w:t>
      </w:r>
      <w:r>
        <w:t>is</w:t>
      </w:r>
      <w:r>
        <w:t xml:space="preserve"> whether these differences are evenly distributed amongst </w:t>
      </w:r>
      <w:r w:rsidR="00CA3CE2">
        <w:t>tFNCs</w:t>
      </w:r>
      <w:r>
        <w:t xml:space="preserve"> or concentrate within a subset of them.  To answer this question, we compare the group-level entropy rates of each </w:t>
      </w:r>
      <w:r w:rsidR="00CA3CE2">
        <w:t>tFNC</w:t>
      </w:r>
      <w:r>
        <w:t xml:space="preserve"> using the Kolmogorov-Smirnov two-sample test, with the false discovery rate </w:t>
      </w:r>
      <w:sdt>
        <w:sdtPr>
          <w:rPr>
            <w:color w:val="000000"/>
          </w:rPr>
          <w:tag w:val="MENDELEY_CITATION_v3_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"/>
          <w:id w:val="1892922542"/>
          <w:placeholder>
            <w:docPart w:val="7B3AAB8B6618DF4F94C64056D7B9FF5A"/>
          </w:placeholder>
        </w:sdtPr>
        <w:sdtContent>
          <w:r w:rsidRPr="00BF6A4F">
            <w:rPr>
              <w:color w:val="000000"/>
            </w:rPr>
            <w:t>(Benjamini and Hochberg 1995)</w:t>
          </w:r>
        </w:sdtContent>
      </w:sdt>
      <w:r>
        <w:rPr>
          <w:color w:val="000000"/>
        </w:rPr>
        <w:t xml:space="preserve"> </w:t>
      </w:r>
      <w:r>
        <w:t xml:space="preserve">correcting for multiple comparison.  </w:t>
      </w:r>
      <w:r w:rsidR="00CA3CE2">
        <w:t xml:space="preserve">Student’s </w:t>
      </w:r>
      <w:r w:rsidR="00CA3CE2" w:rsidRPr="00CA3CE2">
        <w:rPr>
          <w:rFonts w:ascii="Cambria Math" w:hAnsi="Cambria Math"/>
          <w:i/>
          <w:iCs/>
        </w:rPr>
        <w:t>t</w:t>
      </w:r>
      <w:r w:rsidR="00CA3CE2">
        <w:t>-test</w:t>
      </w:r>
      <w:r w:rsidR="00CA3CE2">
        <w:t xml:space="preserve"> is also applied to entropy rate distributions which pass the</w:t>
      </w:r>
      <w:r>
        <w:t xml:space="preserve"> Jarque-Bera test</w:t>
      </w:r>
      <w:r w:rsidR="00CA3CE2">
        <w:t xml:space="preserve"> for normality</w:t>
      </w:r>
      <w:r>
        <w:t>.</w:t>
      </w:r>
      <w:r w:rsidR="00CA3CE2">
        <w:t xml:space="preserve">  This regimen finds decreased patient entropy rates in five of eight tFNCs</w:t>
      </w:r>
      <w:r w:rsidR="00F07BF7">
        <w:t xml:space="preserve"> (</w:t>
      </w:r>
      <w:r w:rsidR="00F07BF7" w:rsidRPr="00FD24B5">
        <w:rPr>
          <w:color w:val="FF0000"/>
        </w:rPr>
        <w:t>Figure []</w:t>
      </w:r>
      <w:r w:rsidR="00F07BF7">
        <w:t>)</w:t>
      </w:r>
      <w:r w:rsidR="00CA3CE2">
        <w:t>,</w:t>
      </w:r>
      <w:r w:rsidR="00F31D93">
        <w:t xml:space="preserve"> with no qualitative differences between </w:t>
      </w:r>
      <w:r w:rsidR="00F31D93">
        <w:t xml:space="preserve">Kolmogorov-Smirnov two-sample test and Student’s </w:t>
      </w:r>
      <w:r w:rsidR="00F31D93" w:rsidRPr="00CA3CE2">
        <w:rPr>
          <w:rFonts w:ascii="Cambria Math" w:hAnsi="Cambria Math"/>
          <w:i/>
          <w:iCs/>
        </w:rPr>
        <w:t>t</w:t>
      </w:r>
      <w:r w:rsidR="00F31D93">
        <w:t xml:space="preserve">-test </w:t>
      </w:r>
      <w:r w:rsidR="00F31D93">
        <w:t>results.</w:t>
      </w:r>
      <w:r w:rsidR="00FD24B5">
        <w:t xml:space="preserve">  </w:t>
      </w:r>
      <w:r w:rsidR="00BA345F" w:rsidRPr="0008001C">
        <w:rPr>
          <w:color w:val="FF0000"/>
        </w:rPr>
        <w:t>Row []</w:t>
      </w:r>
      <w:r w:rsidR="00BA345F">
        <w:t xml:space="preserve"> </w:t>
      </w:r>
      <w:r w:rsidR="00F07BF7">
        <w:t xml:space="preserve">of </w:t>
      </w:r>
      <w:r w:rsidR="00F07BF7" w:rsidRPr="00FD24B5">
        <w:rPr>
          <w:color w:val="FF0000"/>
        </w:rPr>
        <w:t>Figure []</w:t>
      </w:r>
      <w:r w:rsidR="00F07BF7">
        <w:t xml:space="preserve"> </w:t>
      </w:r>
      <w:r w:rsidR="00BA345F">
        <w:t xml:space="preserve">displays the connectivity matrices of each tFNC, </w:t>
      </w:r>
      <w:r w:rsidR="00BA345F" w:rsidRPr="0008001C">
        <w:rPr>
          <w:color w:val="FF0000"/>
        </w:rPr>
        <w:t>row []</w:t>
      </w:r>
      <w:r w:rsidR="00BA345F">
        <w:t xml:space="preserve"> the respective time series, </w:t>
      </w:r>
      <w:r w:rsidR="00BA345F" w:rsidRPr="0023421D">
        <w:rPr>
          <w:color w:val="FF0000"/>
        </w:rPr>
        <w:t xml:space="preserve">row [] the </w:t>
      </w:r>
      <w:r w:rsidR="0008001C" w:rsidRPr="0023421D">
        <w:rPr>
          <w:color w:val="FF0000"/>
        </w:rPr>
        <w:t>tFNC connectograms</w:t>
      </w:r>
      <w:r w:rsidR="0008001C">
        <w:t xml:space="preserve">, and </w:t>
      </w:r>
      <w:r w:rsidR="0008001C" w:rsidRPr="0008001C">
        <w:rPr>
          <w:color w:val="FF0000"/>
        </w:rPr>
        <w:t>row []</w:t>
      </w:r>
      <w:r w:rsidR="0008001C">
        <w:t xml:space="preserve"> the group-level entropy distribution boxplots</w:t>
      </w:r>
      <w:r w:rsidR="00F31D93">
        <w:t xml:space="preserve">.  Means, standard deviations, and test statistics listed in </w:t>
      </w:r>
      <w:r w:rsidR="00F31D93" w:rsidRPr="00991799">
        <w:rPr>
          <w:color w:val="FF0000"/>
        </w:rPr>
        <w:t>Table []</w:t>
      </w:r>
      <w:r w:rsidR="00F31D93">
        <w:t>.</w:t>
      </w:r>
    </w:p>
    <w:p w14:paraId="52C3AD92" w14:textId="374E766A" w:rsidR="00F31D93" w:rsidRDefault="00BB5F4A" w:rsidP="00B35DC3">
      <w:r>
        <w:lastRenderedPageBreak/>
        <w:t>[commentary on FNC matrix structure]</w:t>
      </w:r>
    </w:p>
    <w:p w14:paraId="1C92955A" w14:textId="109054C8" w:rsidR="00BB5F4A" w:rsidRDefault="00BB5F4A" w:rsidP="00B35DC3">
      <w:r>
        <w:t>[commentary on connectogram structure]</w:t>
      </w:r>
    </w:p>
    <w:p w14:paraId="1D52CB8E" w14:textId="6E07D97A" w:rsidR="00B35DC3" w:rsidRDefault="00B35DC3" w:rsidP="009B075E">
      <w:pPr>
        <w:pStyle w:val="Heading4"/>
      </w:pPr>
      <w:r>
        <w:t>Within-Domain Results</w:t>
      </w:r>
    </w:p>
    <w:p w14:paraId="309DAEA7" w14:textId="77777777" w:rsidR="00B35DC3" w:rsidRDefault="00B35DC3" w:rsidP="00B35DC3"/>
    <w:p w14:paraId="2C42044D" w14:textId="3C6C45E7" w:rsidR="00B35DC3" w:rsidRDefault="00B35DC3" w:rsidP="009B075E">
      <w:pPr>
        <w:pStyle w:val="Heading4"/>
      </w:pPr>
      <w:r>
        <w:t>Between-Domain Results</w:t>
      </w:r>
    </w:p>
    <w:p w14:paraId="20C281A4" w14:textId="03936A3E" w:rsidR="00B35DC3" w:rsidRDefault="00B35DC3" w:rsidP="00B35DC3"/>
    <w:p w14:paraId="60F4386F" w14:textId="77777777" w:rsidR="00B35DC3" w:rsidRDefault="00B35DC3" w:rsidP="00B35DC3"/>
    <w:p w14:paraId="1425DB96" w14:textId="5439B4C0" w:rsidR="00B35DC3" w:rsidRDefault="00B35DC3" w:rsidP="00B35DC3">
      <w:pPr>
        <w:pStyle w:val="Heading3"/>
      </w:pPr>
      <w:r>
        <w:t>Multiple Linear Regression</w:t>
      </w:r>
    </w:p>
    <w:p w14:paraId="29C07A8F" w14:textId="77777777" w:rsidR="00DF3C86" w:rsidRDefault="00375D1B" w:rsidP="00DF3C86">
      <w:r>
        <w:t xml:space="preserve">The wide range of ages and </w:t>
      </w:r>
      <w:r w:rsidR="009A7BA9">
        <w:t xml:space="preserve">seven collection sites of the FBIRN dataset raise the possibility of substantial age and site effects, potentially large enough to affect the outcome of the previously described hypothesis tests.  To account for this, we employed a multiple linear regression analysis to separate the effects of </w:t>
      </w:r>
      <w:r w:rsidR="00487F55">
        <w:t xml:space="preserve">site, age, gender, and diagnostic status (“patient” vs. “control”) on subject joint and tFNC-level entropy rate.  </w:t>
      </w:r>
      <w:r w:rsidR="00D950E6">
        <w:t>We used similar analyses to examine the link between subject-level entropy, clinical scores, and cognitive scores.</w:t>
      </w:r>
      <w:r w:rsidR="007C5A8D">
        <w:t xml:space="preserve">  Clinical scores consist of the PANSS positive and negative scores, while the CMINDS composite score is used as a surrogate for cognitive scores.  This was deemed adequate due to cognitive scores’ high correlation (</w:t>
      </w:r>
      <w:r w:rsidR="007C5A8D" w:rsidRPr="007C5A8D">
        <w:rPr>
          <w:color w:val="FF0000"/>
        </w:rPr>
        <w:t>Figure []</w:t>
      </w:r>
      <w:r w:rsidR="007C5A8D">
        <w:t>).</w:t>
      </w:r>
    </w:p>
    <w:p w14:paraId="582A99DD" w14:textId="0B7C911A" w:rsidR="00DF3C86" w:rsidRDefault="00DF3C86" w:rsidP="00DF3C86">
      <w:pPr>
        <w:pStyle w:val="Heading4"/>
      </w:pPr>
      <w:r>
        <w:t>Diagnostic Effects</w:t>
      </w:r>
    </w:p>
    <w:p w14:paraId="40F9CA44" w14:textId="77777777" w:rsidR="00041CA7" w:rsidRDefault="00DF3C86" w:rsidP="00041CA7">
      <w:r>
        <w:t>Multiple linear regression qualitatively confirms results from statistical hypothesis tests</w:t>
      </w:r>
      <w:r w:rsidR="005B14D1">
        <w:t>.  Site effects are both substantial and highly significant; however, they do not render any results from the hypothesis tests insignificant, nor do they add any significant results to them.  Age and gender effects are found to be small and statistically insignificant.</w:t>
      </w:r>
    </w:p>
    <w:p w14:paraId="49D15DA2" w14:textId="693CE02A" w:rsidR="00041CA7" w:rsidRDefault="00041CA7" w:rsidP="00041CA7">
      <w:pPr>
        <w:pStyle w:val="Heading4"/>
      </w:pPr>
      <w:r>
        <w:lastRenderedPageBreak/>
        <w:t>Clinical</w:t>
      </w:r>
      <w:r>
        <w:t xml:space="preserve"> Effects</w:t>
      </w:r>
    </w:p>
    <w:p w14:paraId="5ED27C9C" w14:textId="71A8EC77" w:rsidR="00041CA7" w:rsidRDefault="00672ADE" w:rsidP="00041CA7">
      <w:r>
        <w:t>Multiple linear regression find</w:t>
      </w:r>
      <w:r w:rsidR="00A86C29">
        <w:t>s</w:t>
      </w:r>
      <w:r>
        <w:t xml:space="preserve"> </w:t>
      </w:r>
      <w:r w:rsidR="00A86C29">
        <w:t>no</w:t>
      </w:r>
      <w:r>
        <w:t xml:space="preserve"> statistically significant relationship between </w:t>
      </w:r>
      <w:r w:rsidR="001B3171">
        <w:t xml:space="preserve">patient </w:t>
      </w:r>
      <w:r>
        <w:t>PANSS scores and entropy rate in any tFNC.</w:t>
      </w:r>
      <w:r w:rsidR="00A86C29">
        <w:t xml:space="preserve">  Estimated effect sizes are small, with only four of eighteen examined relationships displaying effect sizes of order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sidR="00A86C29">
        <w:t xml:space="preserve"> or higher.</w:t>
      </w:r>
    </w:p>
    <w:p w14:paraId="4C034B61" w14:textId="1CBB28F8" w:rsidR="00041CA7" w:rsidRDefault="00041CA7" w:rsidP="00041CA7">
      <w:pPr>
        <w:pStyle w:val="Heading4"/>
      </w:pPr>
      <w:r>
        <w:t>Cognitive</w:t>
      </w:r>
      <w:r>
        <w:t xml:space="preserve"> Effects</w:t>
      </w:r>
    </w:p>
    <w:p w14:paraId="2C64860E" w14:textId="567BD24E" w:rsidR="001B3171" w:rsidRDefault="001B3171" w:rsidP="001B3171">
      <w:r>
        <w:t xml:space="preserve">Multiple linear regression finds no statistically significant relationship between </w:t>
      </w:r>
      <w:r>
        <w:t>subject CMINDS composite</w:t>
      </w:r>
      <w:r>
        <w:t xml:space="preserve"> score and entropy rate in any tFNC.  </w:t>
      </w:r>
      <w:r>
        <w:t xml:space="preserve">One tFNC, number five (5) displays a near-significant result </w:t>
      </w:r>
      <m:oMath>
        <m:d>
          <m:dPr>
            <m:ctrlPr>
              <w:rPr>
                <w:rFonts w:ascii="Cambria Math" w:hAnsi="Cambria Math"/>
                <w:i/>
              </w:rPr>
            </m:ctrlPr>
          </m:dPr>
          <m:e>
            <m:r>
              <w:rPr>
                <w:rFonts w:ascii="Cambria Math" w:hAnsi="Cambria Math"/>
              </w:rPr>
              <m:t>p=</m:t>
            </m:r>
            <m:r>
              <w:rPr>
                <w:rFonts w:ascii="Cambria Math" w:hAnsi="Cambria Math"/>
              </w:rPr>
              <m:t>0.0071, corrected=0.0568</m:t>
            </m:r>
          </m:e>
        </m:d>
      </m:oMath>
      <w:r>
        <w:t>.  Effect size is small but positive, indicating that entropy rate positively affects cognitive scores.</w:t>
      </w:r>
      <w:r w:rsidR="00630A03">
        <w:t xml:space="preserve">  Joint entropy rate is also positively related to the CMINDS composite score, although this relationship does not reach statistical significance </w:t>
      </w:r>
      <m:oMath>
        <m:d>
          <m:dPr>
            <m:ctrlPr>
              <w:rPr>
                <w:rFonts w:ascii="Cambria Math" w:hAnsi="Cambria Math"/>
                <w:i/>
              </w:rPr>
            </m:ctrlPr>
          </m:dPr>
          <m:e>
            <m:r>
              <w:rPr>
                <w:rFonts w:ascii="Cambria Math" w:hAnsi="Cambria Math"/>
              </w:rPr>
              <m:t>p=</m:t>
            </m:r>
            <m:r>
              <w:rPr>
                <w:rFonts w:ascii="Cambria Math" w:hAnsi="Cambria Math"/>
              </w:rPr>
              <m:t>0.1203</m:t>
            </m:r>
          </m:e>
        </m:d>
      </m:oMath>
      <w:r w:rsidR="00630A03">
        <w:t>.</w:t>
      </w:r>
      <w:r w:rsidR="00E86FFD">
        <w:t xml:space="preserve">  Preliminary evidence thus suggests that increased neural activity complexity positively affects cognition, but results cannot now be considered conclusive.</w:t>
      </w:r>
    </w:p>
    <w:p w14:paraId="68A454D6" w14:textId="4E4F99F7" w:rsidR="00A86158" w:rsidRDefault="00A86158" w:rsidP="00B35DC3"/>
    <w:p w14:paraId="08FD3F2F" w14:textId="6747D093" w:rsidR="00FF0132" w:rsidRDefault="00FF0132" w:rsidP="00B35DC3"/>
    <w:p w14:paraId="0949DFE4" w14:textId="2811E3DA" w:rsidR="0049393C" w:rsidRDefault="0049393C" w:rsidP="00F133E5"/>
    <w:p w14:paraId="40B05CB4" w14:textId="77777777" w:rsidR="0049393C" w:rsidRDefault="0049393C" w:rsidP="0049393C">
      <w:pPr>
        <w:pStyle w:val="Heading1"/>
        <w:sectPr w:rsidR="0049393C" w:rsidSect="007F14B1">
          <w:footerReference w:type="default" r:id="rId8"/>
          <w:footerReference w:type="first" r:id="rId9"/>
          <w:pgSz w:w="12240" w:h="15840"/>
          <w:pgMar w:top="1901" w:right="1008" w:bottom="1440" w:left="1008" w:header="720" w:footer="432" w:gutter="0"/>
          <w:cols w:space="720"/>
          <w:titlePg/>
          <w:docGrid w:linePitch="360"/>
        </w:sectPr>
      </w:pPr>
    </w:p>
    <w:p w14:paraId="06AA6FA2" w14:textId="77777777" w:rsidR="0049393C" w:rsidRDefault="0049393C" w:rsidP="0049393C">
      <w:pPr>
        <w:pStyle w:val="Heading1"/>
      </w:pPr>
      <w:r>
        <w:lastRenderedPageBreak/>
        <w:t>Results</w:t>
      </w:r>
    </w:p>
    <w:p w14:paraId="5BB5F4F6" w14:textId="52ADE09D" w:rsidR="0049393C" w:rsidRDefault="0049393C" w:rsidP="0049393C">
      <w:pPr>
        <w:pStyle w:val="Heading3"/>
      </w:pPr>
      <w:r>
        <w:t>Static Functional Network Connectivity</w:t>
      </w:r>
    </w:p>
    <w:p w14:paraId="5547A9C3" w14:textId="64FED6D5" w:rsidR="00F133E5" w:rsidRPr="00B40414" w:rsidRDefault="00BF1BC4" w:rsidP="00F133E5">
      <w:r>
        <w:t xml:space="preserve">As a </w:t>
      </w:r>
      <w:r w:rsidR="00E96AF7">
        <w:t xml:space="preserve">pre-analysis </w:t>
      </w:r>
      <w:r>
        <w:t>sanity test, we compare</w:t>
      </w:r>
      <w:r w:rsidR="00B4637F">
        <w:t>d</w:t>
      </w:r>
      <w:r>
        <w:t xml:space="preserve"> static functional network connectivity (sFNC) in the same fashion as</w:t>
      </w:r>
      <w:r w:rsidR="00D50095">
        <w:t xml:space="preserve"> </w:t>
      </w:r>
      <w:sdt>
        <w:sdtPr>
          <w:rPr>
            <w:color w:val="000000"/>
          </w:rPr>
          <w:tag w:val="MENDELEY_CITATION_v3_eyJjaXRhdGlvbklEIjoiTUVOREVMRVlfQ0lUQVRJT05fY2M5ZmMwNTItOTRkZS00NDJkLWI1NjYtNGQ4ZGM5ODA2ZjMy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452333209"/>
          <w:placeholder>
            <w:docPart w:val="DefaultPlaceholder_-1854013440"/>
          </w:placeholder>
        </w:sdtPr>
        <w:sdtContent>
          <w:r w:rsidR="006C0BD4" w:rsidRPr="006C0BD4">
            <w:rPr>
              <w:color w:val="000000"/>
            </w:rPr>
            <w:t>(Du et al. 2020)</w:t>
          </w:r>
        </w:sdtContent>
      </w:sdt>
      <w:r>
        <w:t xml:space="preserve"> </w:t>
      </w:r>
      <w:r w:rsidR="00E96AF7">
        <w:t>to</w:t>
      </w:r>
      <w:r w:rsidR="00D50095">
        <w:t xml:space="preserve"> confirm that </w:t>
      </w:r>
      <w:r w:rsidR="00E96AF7">
        <w:t>the data</w:t>
      </w:r>
      <w:r w:rsidR="00E96AF7" w:rsidRPr="00E96AF7">
        <w:t xml:space="preserve"> </w:t>
      </w:r>
      <w:r w:rsidR="00E96AF7">
        <w:t xml:space="preserve">were not compromised.  </w:t>
      </w:r>
      <w:r w:rsidR="00E96AF7" w:rsidRPr="00B2142D">
        <w:rPr>
          <w:color w:val="FF0000"/>
        </w:rPr>
        <w:t xml:space="preserve">Figure </w:t>
      </w:r>
      <w:r w:rsidR="00E96AF7">
        <w:t xml:space="preserve">(a) displays the mean sFNC of the FBIRN dataset, (b) the </w:t>
      </w:r>
      <w:r w:rsidR="00E96AF7">
        <w:rPr>
          <w:i/>
          <w:iCs/>
        </w:rPr>
        <w:t>t</w:t>
      </w:r>
      <w:r w:rsidR="00E96AF7">
        <w:t xml:space="preserve">-statistic returned by two-sample </w:t>
      </w:r>
      <w:r w:rsidR="00E96AF7">
        <w:rPr>
          <w:i/>
          <w:iCs/>
        </w:rPr>
        <w:t>t</w:t>
      </w:r>
      <w:r w:rsidR="00E96AF7">
        <w:t xml:space="preserve">-test comparisons between </w:t>
      </w:r>
      <w:r w:rsidR="006C0BD4">
        <w:t>controls and patients</w:t>
      </w:r>
      <w:r w:rsidR="00E96AF7">
        <w:t xml:space="preserve">, and (c) the connections from (b) which survive Bonferroni multiple comparison correction.  </w:t>
      </w:r>
      <w:r w:rsidR="008C358C">
        <w:t>No c</w:t>
      </w:r>
      <w:r w:rsidR="006C0BD4">
        <w:t xml:space="preserve">orresponding matrices </w:t>
      </w:r>
      <w:r w:rsidR="008C358C">
        <w:t>are displayed in</w:t>
      </w:r>
      <w:r w:rsidR="006C0BD4">
        <w:t xml:space="preserve"> </w:t>
      </w:r>
      <w:sdt>
        <w:sdtPr>
          <w:rPr>
            <w:color w:val="000000"/>
          </w:rPr>
          <w:tag w:val="MENDELEY_CITATION_v3_eyJjaXRhdGlvbklEIjoiTUVOREVMRVlfQ0lUQVRJT05fODg4MjdlYjYtYjMwNy00MjEwLTg2OGMtMDM5MjI4ZWQwOTBl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2031524257"/>
          <w:placeholder>
            <w:docPart w:val="5FAECBD25F07BB4AB7EE1F6E8B4E7F11"/>
          </w:placeholder>
        </w:sdtPr>
        <w:sdtContent>
          <w:r w:rsidR="006C0BD4" w:rsidRPr="006C0BD4">
            <w:rPr>
              <w:color w:val="000000"/>
            </w:rPr>
            <w:t>(Du et al. 2020)</w:t>
          </w:r>
        </w:sdtContent>
      </w:sdt>
      <w:r w:rsidR="006C0BD4">
        <w:t xml:space="preserve"> </w:t>
      </w:r>
      <w:r w:rsidR="008C358C">
        <w:t>for comparison; however, the extant sFNC matrices display the diagonal block pattern expected of such matrices, which suggests that the data have been correctly reconstructed.</w:t>
      </w:r>
    </w:p>
    <w:p w14:paraId="39488EE8" w14:textId="77777777" w:rsidR="00F133E5" w:rsidRDefault="00F133E5" w:rsidP="00F133E5"/>
    <w:p w14:paraId="2F9F37CB" w14:textId="77777777" w:rsidR="00F133E5" w:rsidRDefault="00F133E5" w:rsidP="00F133E5">
      <w:pPr>
        <w:pStyle w:val="Heading3"/>
      </w:pPr>
      <w:r>
        <w:t>Dynamic Functional Network Connectivity</w:t>
      </w:r>
    </w:p>
    <w:p w14:paraId="55C5BA81" w14:textId="1D27EBA9" w:rsidR="00DD17A4" w:rsidRDefault="00F133E5" w:rsidP="00DD17A4">
      <w:r>
        <w:t>Data were provided as sliding-window correlation matrices</w:t>
      </w:r>
      <w:r w:rsidR="00C54FC7">
        <w:t xml:space="preserve"> with 137 time points.  The</w:t>
      </w:r>
      <w:r>
        <w:t xml:space="preserve"> tapered sliding window</w:t>
      </w:r>
      <w:r w:rsidR="00C54FC7">
        <w:t xml:space="preserve"> generated by convolving a rectangular </w:t>
      </w:r>
      <w:r>
        <w:t>window</w:t>
      </w:r>
      <w:r w:rsidR="002A4F94">
        <w:t xml:space="preserve"> of</w:t>
      </w:r>
      <w:r>
        <w:t xml:space="preserve"> </w:t>
      </w:r>
      <w:r w:rsidR="00C54FC7">
        <w:t>40 seconds with a normal distribution of zero mean</w:t>
      </w:r>
      <w:r w:rsidR="001633CC">
        <w:t xml:space="preserve"> </w:t>
      </w:r>
      <m:oMath>
        <m:r>
          <w:rPr>
            <w:rFonts w:ascii="Cambria Math" w:hAnsi="Cambria Math"/>
          </w:rPr>
          <m:t>μ=0</m:t>
        </m:r>
      </m:oMath>
      <w:r w:rsidR="00C54FC7">
        <w:t xml:space="preserve"> and a standard deviation of </w:t>
      </w:r>
      <m:oMath>
        <m:r>
          <w:rPr>
            <w:rFonts w:ascii="Cambria Math" w:hAnsi="Cambria Math"/>
          </w:rPr>
          <m:t>σ=3</m:t>
        </m:r>
      </m:oMath>
      <w:r w:rsidR="00C54FC7">
        <w:t xml:space="preserve"> </w:t>
      </w:r>
      <w:sdt>
        <w:sdtPr>
          <w:rPr>
            <w:color w:val="000000"/>
          </w:rPr>
          <w:tag w:val="MENDELEY_CITATION_v3_eyJjaXRhdGlvbklEIjoiTUVOREVMRVlfQ0lUQVRJT05fOGY4OGQyZjAtNjllMi00MDU2LWIyMDctOGI0NmJjYzQ2ZmEy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2123721530"/>
          <w:placeholder>
            <w:docPart w:val="574369D7AC241645890371924DFD1BA0"/>
          </w:placeholder>
        </w:sdtPr>
        <w:sdtContent>
          <w:r w:rsidR="00C54FC7" w:rsidRPr="00BF6A4F">
            <w:rPr>
              <w:color w:val="000000"/>
            </w:rPr>
            <w:t>(Du et al. 2020)</w:t>
          </w:r>
        </w:sdtContent>
      </w:sdt>
      <w:r w:rsidR="00C54FC7">
        <w:t>.</w:t>
      </w:r>
      <w:r w:rsidR="001633CC">
        <w:t xml:space="preserve">  Vectorization of </w:t>
      </w:r>
      <w:r w:rsidR="000726F9">
        <w:t>each</w:t>
      </w:r>
      <w:r w:rsidR="001633CC">
        <w:t xml:space="preserve"> </w:t>
      </w:r>
      <m:oMath>
        <m:r>
          <w:rPr>
            <w:rFonts w:ascii="Cambria Math" w:hAnsi="Cambria Math"/>
          </w:rPr>
          <m:t>53×53</m:t>
        </m:r>
      </m:oMath>
      <w:r w:rsidR="001633CC">
        <w:rPr>
          <w:rFonts w:eastAsiaTheme="minorEastAsia"/>
        </w:rPr>
        <w:t xml:space="preserve"> dFNC</w:t>
      </w:r>
      <m:oMath>
        <m:d>
          <m:dPr>
            <m:ctrlPr>
              <w:rPr>
                <w:rFonts w:ascii="Cambria Math" w:hAnsi="Cambria Math"/>
                <w:i/>
              </w:rPr>
            </m:ctrlPr>
          </m:dPr>
          <m:e>
            <m:r>
              <w:rPr>
                <w:rFonts w:ascii="Cambria Math" w:hAnsi="Cambria Math"/>
              </w:rPr>
              <m:t>t</m:t>
            </m:r>
          </m:e>
        </m:d>
      </m:oMath>
      <w:r w:rsidR="001633CC">
        <w:rPr>
          <w:rFonts w:eastAsiaTheme="minorEastAsia"/>
        </w:rPr>
        <w:t xml:space="preserve"> </w:t>
      </w:r>
      <w:r w:rsidR="000726F9">
        <w:rPr>
          <w:rFonts w:eastAsiaTheme="minorEastAsia"/>
        </w:rPr>
        <w:t>matrix</w:t>
      </w:r>
      <w:r w:rsidR="001633CC">
        <w:rPr>
          <w:rFonts w:eastAsiaTheme="minorEastAsia"/>
        </w:rPr>
        <w:t xml:space="preserve"> produce</w:t>
      </w:r>
      <w:r w:rsidR="00B4637F">
        <w:rPr>
          <w:rFonts w:eastAsiaTheme="minorEastAsia"/>
        </w:rPr>
        <w:t>d</w:t>
      </w:r>
      <w:r w:rsidR="000726F9">
        <w:rPr>
          <w:rFonts w:eastAsiaTheme="minorEastAsia"/>
        </w:rPr>
        <w:t xml:space="preserve"> a </w:t>
      </w:r>
      <m:oMath>
        <m:r>
          <w:rPr>
            <w:rFonts w:ascii="Cambria Math" w:hAnsi="Cambria Math"/>
          </w:rPr>
          <m:t>1378×1</m:t>
        </m:r>
      </m:oMath>
      <w:r w:rsidR="000726F9">
        <w:rPr>
          <w:rFonts w:eastAsiaTheme="minorEastAsia"/>
        </w:rPr>
        <w:t xml:space="preserve"> data array of correlation values for time point </w:t>
      </w:r>
      <m:oMath>
        <m:r>
          <w:rPr>
            <w:rFonts w:ascii="Cambria Math" w:hAnsi="Cambria Math"/>
          </w:rPr>
          <m:t>t</m:t>
        </m:r>
      </m:oMath>
      <w:r w:rsidR="000726F9">
        <w:rPr>
          <w:rFonts w:eastAsiaTheme="minorEastAsia"/>
        </w:rPr>
        <w:t xml:space="preserve">, thus producing a </w:t>
      </w:r>
      <m:oMath>
        <m:r>
          <w:rPr>
            <w:rFonts w:ascii="Cambria Math" w:hAnsi="Cambria Math"/>
          </w:rPr>
          <m:t>1378×1</m:t>
        </m:r>
        <m:r>
          <w:rPr>
            <w:rFonts w:ascii="Cambria Math" w:eastAsiaTheme="minorEastAsia" w:hAnsi="Cambria Math"/>
          </w:rPr>
          <m:t>37</m:t>
        </m:r>
      </m:oMath>
      <w:r w:rsidR="000726F9">
        <w:rPr>
          <w:rFonts w:eastAsiaTheme="minorEastAsia"/>
        </w:rPr>
        <w:t xml:space="preserve"> array of dFNC values for each subject.</w:t>
      </w:r>
      <w:r w:rsidR="000726F9" w:rsidRPr="000726F9">
        <w:t xml:space="preserve"> </w:t>
      </w:r>
      <w:r w:rsidR="000726F9">
        <w:t>Applying the Marčenko-Pasteur theorem to this array, after concatenation over all subjects, reliably detect</w:t>
      </w:r>
      <w:r w:rsidR="00B4637F">
        <w:t>ed</w:t>
      </w:r>
      <w:r w:rsidR="000726F9">
        <w:t xml:space="preserve"> 171 temporal independent components (tICs)</w:t>
      </w:r>
      <w:r w:rsidR="00897EEE">
        <w:t>, which captures just over 80% of variance in the dFNC matrix</w:t>
      </w:r>
      <w:r w:rsidR="000726F9">
        <w:t>.</w:t>
      </w:r>
      <w:r w:rsidR="004A3790">
        <w:t xml:space="preserve">  </w:t>
      </w:r>
      <w:r w:rsidR="00897EEE">
        <w:t>Selecting a tIC number within the proposed window of 16 to 22 tICs</w:t>
      </w:r>
      <w:r w:rsidR="004A3790">
        <w:t xml:space="preserve">, on the other hand, </w:t>
      </w:r>
      <w:r w:rsidR="00897EEE">
        <w:t xml:space="preserve">captures less than </w:t>
      </w:r>
      <w:r w:rsidR="00C73406">
        <w:t xml:space="preserve">44% of data variance.  Within this window, silhouette and Calinski-Harabasz scores are universally poor, with the least bad occurring at 17 tICs.  By contrast, Davies-Bouldin scores propose the use of 22 tICs.  </w:t>
      </w:r>
      <w:r w:rsidR="00826437">
        <w:t>These contradictory results may reflect the very low numbers (16-22) contained within this window.  T</w:t>
      </w:r>
      <w:r w:rsidR="00C73406">
        <w:t xml:space="preserve">he chart of the cumulative sum of variance captured </w:t>
      </w:r>
      <w:r w:rsidR="00826437">
        <w:t>only begins to form an appreciable “elbow” in the vicinity of 100 tICs</w:t>
      </w:r>
      <w:r w:rsidR="0069080D">
        <w:t xml:space="preserve"> (~70% of variance)</w:t>
      </w:r>
      <w:r w:rsidR="00826437">
        <w:t>, suggesting that the</w:t>
      </w:r>
      <w:r w:rsidR="0069080D">
        <w:t xml:space="preserve"> true dimensionality of dFNC may be substantially higher than previously reported.  It is also possible that the conflicting results of the silhouette</w:t>
      </w:r>
      <w:r w:rsidR="00B965A3">
        <w:t>,</w:t>
      </w:r>
      <w:r w:rsidR="0069080D">
        <w:t xml:space="preserve"> Calinski-</w:t>
      </w:r>
      <w:r w:rsidR="0069080D">
        <w:lastRenderedPageBreak/>
        <w:t>Harabasz, and Davies-Bouldin scores are due to the fact that these metrics were designed for clustering rather than blind source separation</w:t>
      </w:r>
      <w:r w:rsidR="0069080D" w:rsidRPr="0069080D">
        <w:t xml:space="preserve"> </w:t>
      </w:r>
      <w:r w:rsidR="0069080D">
        <w:t>algorithms</w:t>
      </w:r>
      <w:r w:rsidR="00B965A3">
        <w:t>.  As such,</w:t>
      </w:r>
      <w:r w:rsidR="0069080D">
        <w:t xml:space="preserve"> it is very likely that they do not accurately capture the ideal number of tICs necessary to represent dFNC</w:t>
      </w:r>
      <w:r w:rsidR="00FF6318">
        <w:t xml:space="preserve"> dynamics.</w:t>
      </w:r>
    </w:p>
    <w:p w14:paraId="718A886D" w14:textId="77777777" w:rsidR="00DD17A4" w:rsidRPr="00822425" w:rsidRDefault="00DD17A4" w:rsidP="00DD17A4"/>
    <w:p w14:paraId="1D90BFBB" w14:textId="77777777" w:rsidR="00DD17A4" w:rsidRDefault="00DD17A4" w:rsidP="00DD17A4">
      <w:pPr>
        <w:pStyle w:val="Heading3"/>
      </w:pPr>
      <w:r>
        <w:t>Joint Entropy</w:t>
      </w:r>
    </w:p>
    <w:p w14:paraId="56F5155B" w14:textId="77777777" w:rsidR="00971A75" w:rsidRDefault="00C72DF5" w:rsidP="00B4637F">
      <w:r>
        <w:t>As each tIC</w:t>
      </w:r>
      <w:r w:rsidR="004A073D">
        <w:t xml:space="preserve"> is statistically independent from any other, each IC’s entropy and entropy rate can be estimated independently of the others.  Estimation is necessary </w:t>
      </w:r>
      <w:r w:rsidR="00B4637F">
        <w:t>because</w:t>
      </w:r>
      <w:r w:rsidR="004A073D">
        <w:t xml:space="preserve"> we do not have access to the data’s complete probability distribution, which the formal definition of entropy requires.  As such, we employ</w:t>
      </w:r>
      <w:r w:rsidR="00B4637F">
        <w:t>ed</w:t>
      </w:r>
      <w:r w:rsidR="004A073D">
        <w:t xml:space="preserve"> a variation on the Kozachenko-Leonenko estimator </w:t>
      </w:r>
      <w:sdt>
        <w:sdtPr>
          <w:rPr>
            <w:color w:val="000000"/>
          </w:rPr>
          <w:tag w:val="MENDELEY_CITATION_v3_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"/>
          <w:id w:val="2065670543"/>
          <w:placeholder>
            <w:docPart w:val="3453F5633155B449AAF8A1F143F3D7B8"/>
          </w:placeholder>
        </w:sdtPr>
        <w:sdtContent>
          <w:r w:rsidR="004A073D" w:rsidRPr="00BF6A4F">
            <w:rPr>
              <w:color w:val="000000"/>
            </w:rPr>
            <w:t>(Kozachenko and Leonenko 1987; Delattre and Fournier 2017)</w:t>
          </w:r>
        </w:sdtContent>
      </w:sdt>
      <w:r w:rsidR="004A073D">
        <w:t xml:space="preserve"> based on </w:t>
      </w:r>
      <w:r w:rsidR="004A073D">
        <w:rPr>
          <w:i/>
          <w:iCs/>
        </w:rPr>
        <w:t>k</w:t>
      </w:r>
      <w:r w:rsidR="004A073D">
        <w:t xml:space="preserve">-nearest-neighbor distances between sample points </w:t>
      </w:r>
      <w:sdt>
        <w:sdtPr>
          <w:rPr>
            <w:color w:val="000000"/>
          </w:rPr>
          <w:tag w:val="MENDELEY_CITATION_v3_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"/>
          <w:id w:val="-274098254"/>
          <w:placeholder>
            <w:docPart w:val="9713CEA4C47A7C469195C5AB26A0A071"/>
          </w:placeholder>
        </w:sdtPr>
        <w:sdtContent>
          <w:r w:rsidR="004A073D" w:rsidRPr="00BF6A4F">
            <w:rPr>
              <w:color w:val="000000"/>
            </w:rPr>
            <w:t>(Singh et al. 2003; Goria et al. 2005)</w:t>
          </w:r>
        </w:sdtContent>
      </w:sdt>
      <w:r w:rsidR="004A073D">
        <w:t>.</w:t>
      </w:r>
      <w:r w:rsidR="004A073D" w:rsidRPr="004A073D">
        <w:t xml:space="preserve"> </w:t>
      </w:r>
      <w:r w:rsidR="004A073D">
        <w:t xml:space="preserve"> Running this estimation algorithm on each subject’s tIC time courses produce</w:t>
      </w:r>
      <w:r w:rsidR="00B4637F">
        <w:t>d</w:t>
      </w:r>
      <w:r w:rsidR="004A073D">
        <w:t xml:space="preserve"> a </w:t>
      </w:r>
      <m:oMath>
        <m:r>
          <w:rPr>
            <w:rFonts w:ascii="Cambria Math" w:hAnsi="Cambria Math"/>
          </w:rPr>
          <m:t>D</m:t>
        </m:r>
        <m:r>
          <m:rPr>
            <m:sty m:val="p"/>
          </m:rPr>
          <w:rPr>
            <w:rFonts w:ascii="Cambria Math" w:hAnsi="Cambria Math"/>
          </w:rPr>
          <m:t>×</m:t>
        </m:r>
        <m:r>
          <w:rPr>
            <w:rFonts w:ascii="Cambria Math" w:hAnsi="Cambria Math"/>
          </w:rPr>
          <m:t>S</m:t>
        </m:r>
      </m:oMath>
      <w:r w:rsidR="004A073D" w:rsidRPr="00A1546B">
        <w:t xml:space="preserve"> array of values, where </w:t>
      </w:r>
      <m:oMath>
        <m:r>
          <w:rPr>
            <w:rFonts w:ascii="Cambria Math" w:hAnsi="Cambria Math"/>
          </w:rPr>
          <m:t>D</m:t>
        </m:r>
      </m:oMath>
      <w:r w:rsidR="004A073D" w:rsidRPr="00A1546B">
        <w:t xml:space="preserve"> is the number of </w:t>
      </w:r>
      <w:r w:rsidR="004A073D">
        <w:t>ICs (171)</w:t>
      </w:r>
      <w:r w:rsidR="004A073D" w:rsidRPr="00A1546B">
        <w:t xml:space="preserve"> and </w:t>
      </w:r>
      <m:oMath>
        <m:r>
          <w:rPr>
            <w:rFonts w:ascii="Cambria Math" w:hAnsi="Cambria Math"/>
          </w:rPr>
          <m:t>S</m:t>
        </m:r>
      </m:oMath>
      <w:r w:rsidR="004A073D" w:rsidRPr="00A1546B">
        <w:t xml:space="preserve"> the number of subjects</w:t>
      </w:r>
      <w:r w:rsidR="004A073D">
        <w:t xml:space="preserve"> (311)</w:t>
      </w:r>
      <w:r w:rsidR="004A073D" w:rsidRPr="00A1546B">
        <w:t xml:space="preserve">.  </w:t>
      </w:r>
      <w:r w:rsidR="004A073D">
        <w:t>To c</w:t>
      </w:r>
      <w:r w:rsidR="004A073D" w:rsidRPr="00A1546B">
        <w:t>omput</w:t>
      </w:r>
      <w:r w:rsidR="004A073D">
        <w:t>e</w:t>
      </w:r>
      <w:r w:rsidR="004A073D" w:rsidRPr="00A1546B">
        <w:t xml:space="preserve"> subject-level joint entropy</w:t>
      </w:r>
      <w:r w:rsidR="00B4637F">
        <w:t xml:space="preserve"> production rate</w:t>
      </w:r>
      <w:r w:rsidR="004A073D">
        <w:t xml:space="preserve">, we took the sum of this matrix along its first dimension to produce a </w:t>
      </w:r>
      <m:oMath>
        <m:r>
          <w:rPr>
            <w:rFonts w:ascii="Cambria Math" w:hAnsi="Cambria Math"/>
          </w:rPr>
          <m:t>1</m:t>
        </m:r>
        <m:r>
          <m:rPr>
            <m:sty m:val="p"/>
          </m:rPr>
          <w:rPr>
            <w:rFonts w:ascii="Cambria Math" w:hAnsi="Cambria Math"/>
          </w:rPr>
          <m:t>×</m:t>
        </m:r>
        <m:r>
          <w:rPr>
            <w:rFonts w:ascii="Cambria Math" w:hAnsi="Cambria Math"/>
          </w:rPr>
          <m:t>S</m:t>
        </m:r>
      </m:oMath>
      <w:r w:rsidR="004A073D" w:rsidRPr="00A1546B">
        <w:t xml:space="preserve"> array</w:t>
      </w:r>
      <w:r w:rsidR="004A073D">
        <w:t xml:space="preserve"> of joint entropy</w:t>
      </w:r>
      <w:r w:rsidR="00B4637F">
        <w:t xml:space="preserve"> rate </w:t>
      </w:r>
      <w:r w:rsidR="004A073D">
        <w:t>values.</w:t>
      </w:r>
    </w:p>
    <w:p w14:paraId="585E4232" w14:textId="6A806098" w:rsidR="001D3C66" w:rsidRDefault="000C705D" w:rsidP="00740078">
      <w:pPr>
        <w:rPr>
          <w:sz w:val="18"/>
          <w:szCs w:val="18"/>
        </w:rPr>
      </w:pPr>
      <w:r>
        <w:t xml:space="preserve">A Kolmogorov-Smirnov two-sample test </w:t>
      </w:r>
      <w:r w:rsidR="00971A75">
        <w:t>of the</w:t>
      </w:r>
      <w:r w:rsidR="00740078">
        <w:t xml:space="preserve"> 171</w:t>
      </w:r>
      <w:r w:rsidR="00971A75">
        <w:t xml:space="preserve"> tICs identified by the Marcěnko-Pasteur method </w:t>
      </w:r>
      <w:r>
        <w:t>show</w:t>
      </w:r>
      <w:r w:rsidR="00B4637F">
        <w:t>ed</w:t>
      </w:r>
      <w:r>
        <w:t xml:space="preserve"> that patient and subject joint entropy </w:t>
      </w:r>
      <w:r w:rsidR="00B4637F">
        <w:t xml:space="preserve">rate </w:t>
      </w:r>
      <w:r>
        <w:t xml:space="preserve">values differ (Figure </w:t>
      </w:r>
      <w:r w:rsidR="002F2531" w:rsidRPr="002F2531">
        <w:rPr>
          <w:color w:val="FF0000"/>
        </w:rPr>
        <w:t>[]</w:t>
      </w:r>
      <w:r>
        <w:t xml:space="preserve">), with patients displaying a small but statistically significant elevation compared to controls </w:t>
      </w:r>
      <m:oMath>
        <m:d>
          <m:dPr>
            <m:endChr m:val=""/>
            <m:ctrlPr>
              <w:rPr>
                <w:rFonts w:ascii="Cambria Math" w:hAnsi="Cambria Math"/>
                <w:i/>
              </w:rPr>
            </m:ctrlPr>
          </m:dPr>
          <m:e>
            <m:r>
              <w:rPr>
                <w:rFonts w:ascii="Cambria Math" w:hAnsi="Cambria Math"/>
              </w:rPr>
              <m:t>p=7.92×</m:t>
            </m:r>
            <m:sSup>
              <m:sSupPr>
                <m:ctrlPr>
                  <w:rPr>
                    <w:rFonts w:ascii="Cambria Math" w:hAnsi="Cambria Math"/>
                    <w:i/>
                  </w:rPr>
                </m:ctrlPr>
              </m:sSupPr>
              <m:e>
                <m:r>
                  <w:rPr>
                    <w:rFonts w:ascii="Cambria Math" w:hAnsi="Cambria Math"/>
                  </w:rPr>
                  <m:t>10</m:t>
                </m:r>
              </m:e>
              <m:sup>
                <m:r>
                  <w:rPr>
                    <w:rFonts w:ascii="Cambria Math" w:hAnsi="Cambria Math"/>
                  </w:rPr>
                  <m:t>-6</m:t>
                </m:r>
              </m:sup>
            </m:sSup>
          </m:e>
        </m:d>
      </m:oMath>
      <w:r w:rsidR="00ED3203">
        <w:rPr>
          <w:rFonts w:eastAsiaTheme="minorEastAsia"/>
        </w:rPr>
        <w:t xml:space="preserve">, </w:t>
      </w:r>
      <w:r w:rsidRPr="00C70BA2">
        <w:rPr>
          <w:rFonts w:eastAsiaTheme="minorEastAsia"/>
          <w:color w:val="FF0000"/>
        </w:rPr>
        <w:t>Table 1</w:t>
      </w:r>
      <w:r>
        <w:rPr>
          <w:rFonts w:eastAsiaTheme="minorEastAsia"/>
        </w:rPr>
        <w:t>)</w:t>
      </w:r>
      <w:r>
        <w:t xml:space="preserve">.  A two-sample </w:t>
      </w:r>
      <w:r>
        <w:rPr>
          <w:i/>
          <w:iCs/>
        </w:rPr>
        <w:t>t</w:t>
      </w:r>
      <w:r>
        <w:t xml:space="preserve">-test and a difference-of-means permutation test </w:t>
      </w:r>
      <w:sdt>
        <w:sdtPr>
          <w:rPr>
            <w:color w:val="000000"/>
          </w:rPr>
          <w:tag w:val="MENDELEY_CITATION_v3_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"/>
          <w:id w:val="-1227447130"/>
          <w:placeholder>
            <w:docPart w:val="CEE11309021DE54FBEAACDF3413182A0"/>
          </w:placeholder>
        </w:sdtPr>
        <w:sdtContent>
          <w:r w:rsidRPr="00BF6A4F">
            <w:rPr>
              <w:color w:val="000000"/>
            </w:rPr>
            <w:t>(Krol 2021)</w:t>
          </w:r>
        </w:sdtContent>
      </w:sdt>
      <w:r>
        <w:t xml:space="preserve"> qualitatively confirm</w:t>
      </w:r>
      <w:r w:rsidR="00B4637F">
        <w:t>ed</w:t>
      </w:r>
      <w:r>
        <w:t xml:space="preserve"> this result.</w:t>
      </w:r>
      <w:r w:rsidR="0019341B">
        <w:t xml:space="preserve">  Repeating the analysis with 22 tICs produces a similar result </w:t>
      </w:r>
      <w:r w:rsidR="00ED3203">
        <w:t xml:space="preserve"> </w:t>
      </w:r>
      <m:oMath>
        <m:d>
          <m:dPr>
            <m:endChr m:val=""/>
            <m:ctrlPr>
              <w:rPr>
                <w:rFonts w:ascii="Cambria Math" w:hAnsi="Cambria Math"/>
                <w:i/>
              </w:rPr>
            </m:ctrlPr>
          </m:dPr>
          <m:e>
            <m:r>
              <w:rPr>
                <w:rFonts w:ascii="Cambria Math" w:hAnsi="Cambria Math"/>
              </w:rPr>
              <m:t>p=1.3162×</m:t>
            </m:r>
            <m:sSup>
              <m:sSupPr>
                <m:ctrlPr>
                  <w:rPr>
                    <w:rFonts w:ascii="Cambria Math" w:hAnsi="Cambria Math"/>
                    <w:i/>
                  </w:rPr>
                </m:ctrlPr>
              </m:sSupPr>
              <m:e>
                <m:r>
                  <w:rPr>
                    <w:rFonts w:ascii="Cambria Math" w:hAnsi="Cambria Math"/>
                  </w:rPr>
                  <m:t>10</m:t>
                </m:r>
              </m:e>
              <m:sup>
                <m:r>
                  <w:rPr>
                    <w:rFonts w:ascii="Cambria Math" w:hAnsi="Cambria Math"/>
                  </w:rPr>
                  <m:t>-4</m:t>
                </m:r>
              </m:sup>
            </m:sSup>
          </m:e>
        </m:d>
      </m:oMath>
      <w:r w:rsidR="00ED3203">
        <w:rPr>
          <w:rFonts w:eastAsiaTheme="minorEastAsia"/>
        </w:rPr>
        <w:t xml:space="preserve">, </w:t>
      </w:r>
      <w:r w:rsidR="00ED3203" w:rsidRPr="00C70BA2">
        <w:rPr>
          <w:rFonts w:eastAsiaTheme="minorEastAsia"/>
          <w:color w:val="FF0000"/>
        </w:rPr>
        <w:t>Table 1</w:t>
      </w:r>
      <w:r w:rsidR="00ED3203">
        <w:rPr>
          <w:rFonts w:eastAsiaTheme="minorEastAsia"/>
        </w:rPr>
        <w:t>)</w:t>
      </w:r>
      <w:r w:rsidR="00607BC1">
        <w:rPr>
          <w:rFonts w:eastAsiaTheme="minorEastAsia"/>
        </w:rPr>
        <w:t>.</w:t>
      </w:r>
      <w:r w:rsidR="009A43BC">
        <w:rPr>
          <w:rFonts w:eastAsiaTheme="minorEastAsia"/>
        </w:rPr>
        <w:t xml:space="preserve">  </w:t>
      </w:r>
      <w:r w:rsidR="00740078">
        <w:rPr>
          <w:rFonts w:eastAsiaTheme="minorEastAsia"/>
        </w:rPr>
        <w:t>Schizophrenia p</w:t>
      </w:r>
      <w:r w:rsidR="009A43BC">
        <w:rPr>
          <w:rFonts w:eastAsiaTheme="minorEastAsia"/>
        </w:rPr>
        <w:t xml:space="preserve">atients thus appear to consistently </w:t>
      </w:r>
      <w:r w:rsidR="00740078">
        <w:rPr>
          <w:rFonts w:eastAsiaTheme="minorEastAsia"/>
        </w:rPr>
        <w:t>generate entropy at a higher rate than healthy controls.</w:t>
      </w:r>
    </w:p>
    <w:p w14:paraId="331E6483" w14:textId="77777777" w:rsidR="001D3C66" w:rsidRPr="00793BD7" w:rsidRDefault="001D3C66" w:rsidP="001D3C66">
      <w:pPr>
        <w:spacing w:line="240" w:lineRule="auto"/>
        <w:rPr>
          <w:sz w:val="18"/>
          <w:szCs w:val="18"/>
        </w:rPr>
      </w:pPr>
    </w:p>
    <w:p w14:paraId="3002C218" w14:textId="77777777" w:rsidR="001D3C66" w:rsidRDefault="001D3C66" w:rsidP="001D3C66">
      <w:pPr>
        <w:pStyle w:val="Heading3"/>
      </w:pPr>
      <w:r>
        <w:t>Component Entropy</w:t>
      </w:r>
    </w:p>
    <w:p w14:paraId="75900690" w14:textId="05A4476D" w:rsidR="00AD03D3" w:rsidRDefault="00B4637F" w:rsidP="00684162">
      <w:r>
        <w:t xml:space="preserve">Having confirmed that subject joint entropy rate </w:t>
      </w:r>
      <w:r w:rsidR="00C475A9">
        <w:t xml:space="preserve">differs between populations, the next obvious question was whether these differences are evenly distributed amongst tICs or concentrate </w:t>
      </w:r>
      <w:r w:rsidR="00C475A9">
        <w:lastRenderedPageBreak/>
        <w:t xml:space="preserve">within a subset of them.  To answer this question, we compared the group-level entropy rates of each tIC using the Kolmogorov-Smirnov two-sample test, with the false discovery rate </w:t>
      </w:r>
      <w:sdt>
        <w:sdtPr>
          <w:rPr>
            <w:color w:val="000000"/>
          </w:rPr>
          <w:tag w:val="MENDELEY_CITATION_v3_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"/>
          <w:id w:val="937097829"/>
          <w:placeholder>
            <w:docPart w:val="BEC291E9B90CE3459BB74991298EF470"/>
          </w:placeholder>
        </w:sdtPr>
        <w:sdtContent>
          <w:r w:rsidR="00C475A9" w:rsidRPr="00BF6A4F">
            <w:rPr>
              <w:color w:val="000000"/>
            </w:rPr>
            <w:t>(Benjamini and Hochberg 1995)</w:t>
          </w:r>
        </w:sdtContent>
      </w:sdt>
      <w:r w:rsidR="00C475A9">
        <w:rPr>
          <w:color w:val="000000"/>
        </w:rPr>
        <w:t xml:space="preserve"> </w:t>
      </w:r>
      <w:r w:rsidR="00C475A9">
        <w:t xml:space="preserve">correcting for multiple comparison.  The Jarque-Bera test suggested that component-level subject entropies do not follow a normal distribution, so the </w:t>
      </w:r>
      <w:r w:rsidR="00C475A9">
        <w:rPr>
          <w:i/>
          <w:iCs/>
        </w:rPr>
        <w:t>t</w:t>
      </w:r>
      <w:r w:rsidR="00C475A9">
        <w:t>-test was dispensed with.</w:t>
      </w:r>
      <w:r w:rsidR="00684162">
        <w:t xml:space="preserve">  </w:t>
      </w:r>
      <w:r w:rsidR="00C70BA2">
        <w:t xml:space="preserve">Of the 171 tICs detected by the Marcěnko-Pasteur method, </w:t>
      </w:r>
      <w:r w:rsidR="00684162">
        <w:t>twelve</w:t>
      </w:r>
      <w:r w:rsidR="00AD03D3">
        <w:t xml:space="preserve"> (</w:t>
      </w:r>
      <w:r w:rsidR="00684162">
        <w:t>12</w:t>
      </w:r>
      <w:r w:rsidR="00AD03D3">
        <w:t>)</w:t>
      </w:r>
      <w:r w:rsidR="00C70BA2">
        <w:t xml:space="preserve"> survive multiple comparison correction by the false discovery rate</w:t>
      </w:r>
      <w:r w:rsidR="00684162">
        <w:t>, while</w:t>
      </w:r>
      <w:r w:rsidR="00740078">
        <w:t xml:space="preserve"> </w:t>
      </w:r>
      <w:r w:rsidR="00684162">
        <w:t>two</w:t>
      </w:r>
      <w:r w:rsidR="00740078">
        <w:t xml:space="preserve"> (</w:t>
      </w:r>
      <w:r w:rsidR="00684162">
        <w:t>2</w:t>
      </w:r>
      <w:r w:rsidR="00740078">
        <w:t xml:space="preserve">) </w:t>
      </w:r>
      <w:r w:rsidR="00684162">
        <w:t xml:space="preserve">of the 22 Davies-Bouldin tICs survive.  In all cases, patients displayed elevated entropy rate compared to controls. </w:t>
      </w:r>
    </w:p>
    <w:p w14:paraId="764E0D03" w14:textId="77777777" w:rsidR="00922EA0" w:rsidRPr="00A853EC" w:rsidRDefault="00922EA0" w:rsidP="00922EA0">
      <w:pPr>
        <w:spacing w:line="276" w:lineRule="auto"/>
        <w:rPr>
          <w:sz w:val="18"/>
          <w:szCs w:val="18"/>
        </w:rPr>
      </w:pPr>
    </w:p>
    <w:p w14:paraId="2B561571" w14:textId="77777777" w:rsidR="00922EA0" w:rsidRPr="00613F06" w:rsidRDefault="00922EA0" w:rsidP="00922EA0">
      <w:pPr>
        <w:pStyle w:val="Heading3"/>
      </w:pPr>
      <w:r>
        <w:t>Entropy and Clinical Scores</w:t>
      </w:r>
    </w:p>
    <w:p w14:paraId="6C58002A" w14:textId="5202A050" w:rsidR="00413C4F" w:rsidRPr="00DC48F7" w:rsidRDefault="00E63240" w:rsidP="001C4CE7">
      <w:r>
        <w:t>A long-term goal of neuroimaging research is to identify links between identifiable</w:t>
      </w:r>
      <w:r w:rsidR="003C1A99">
        <w:t xml:space="preserve"> neuroimaging data</w:t>
      </w:r>
      <w:r>
        <w:t xml:space="preserve"> features </w:t>
      </w:r>
      <w:r w:rsidR="003C1A99">
        <w:t>and</w:t>
      </w:r>
      <w:r w:rsidR="004A1722">
        <w:t xml:space="preserve"> observable clinical or behavioral traits.  To that end, we </w:t>
      </w:r>
      <w:r w:rsidR="00845231">
        <w:t>correlated</w:t>
      </w:r>
      <w:r w:rsidR="00ED2348">
        <w:t xml:space="preserve"> positive and negative</w:t>
      </w:r>
      <w:r w:rsidR="004A1722">
        <w:t xml:space="preserve"> PANSS scores </w:t>
      </w:r>
      <w:r w:rsidR="00ED2348">
        <w:t>against</w:t>
      </w:r>
      <w:r w:rsidR="004A1722">
        <w:t xml:space="preserve"> both joint and tIC entropy rate distributions.</w:t>
      </w:r>
      <w:r w:rsidR="00627EC2">
        <w:t xml:space="preserve">  </w:t>
      </w:r>
      <w:r w:rsidR="00413C4F">
        <w:t xml:space="preserve">Of the </w:t>
      </w:r>
      <w:r w:rsidR="005250BB">
        <w:t xml:space="preserve">171 tICs highlighted by the Marcěnko-Pasteur distribution, twenty (20) display significant correlations with clinical variables.  Specifically, </w:t>
      </w:r>
      <w:r w:rsidR="001C6ABD">
        <w:t xml:space="preserve">a </w:t>
      </w:r>
      <w:r w:rsidR="00056439">
        <w:t xml:space="preserve">diagnosis </w:t>
      </w:r>
      <w:r w:rsidR="001C6ABD">
        <w:t xml:space="preserve">of schizophrenia </w:t>
      </w:r>
      <w:r w:rsidR="00056439">
        <w:t>correlates positively with joint entropy rate and entropy rate of components 31, 32, 58, 66, 69, 79, 103, and 116.  Processing speed displays negative correlations with joint entropy and components 22, 32, and 58; verbal learning, with joint entropy and components 31</w:t>
      </w:r>
      <w:r w:rsidR="003A3ADB">
        <w:t xml:space="preserve"> and 159; CMINDS composite score with joint entropy and components 31, 49, 58, and 159; </w:t>
      </w:r>
      <w:r w:rsidR="00A81822">
        <w:t>age with components 37, 73, and 93; attention and vigilance, with components 40; working memory, with components 40 and 58; CPZ with component 43; visual learning, with components 49 and 58; reasoning and problem solving, with components 49, 109, 130, 132.</w:t>
      </w:r>
      <w:r w:rsidR="001C6ABD">
        <w:t xml:space="preserve">  </w:t>
      </w:r>
      <w:r w:rsidR="00413C4F">
        <w:t xml:space="preserve">Of the Davies-Bouldin tIC scores, </w:t>
      </w:r>
      <w:r w:rsidR="001C6ABD">
        <w:t xml:space="preserve">on the other hand, </w:t>
      </w:r>
      <w:r w:rsidR="00413C4F">
        <w:t xml:space="preserve">only joint entropy rate and the entropy rate of component 13 </w:t>
      </w:r>
      <w:r w:rsidR="001C6ABD">
        <w:t xml:space="preserve">survive multiple-comparison correction; both </w:t>
      </w:r>
      <w:r w:rsidR="00413C4F">
        <w:t xml:space="preserve">display significant </w:t>
      </w:r>
      <w:r w:rsidR="005250BB">
        <w:t xml:space="preserve">positive </w:t>
      </w:r>
      <w:r w:rsidR="00413C4F">
        <w:t>correlations</w:t>
      </w:r>
      <w:r w:rsidR="005250BB">
        <w:t xml:space="preserve"> with </w:t>
      </w:r>
      <w:r w:rsidR="001C6ABD">
        <w:t xml:space="preserve">a </w:t>
      </w:r>
      <w:r w:rsidR="00413C4F">
        <w:t>diagnosis</w:t>
      </w:r>
      <w:r w:rsidR="001C6ABD">
        <w:t xml:space="preserve"> of schizophrenia</w:t>
      </w:r>
      <w:r w:rsidR="00413C4F">
        <w:t>.</w:t>
      </w:r>
    </w:p>
    <w:sectPr w:rsidR="00413C4F" w:rsidRPr="00DC48F7">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3E7DE" w14:textId="77777777" w:rsidR="007F14B1" w:rsidRDefault="007F14B1">
      <w:pPr>
        <w:spacing w:before="0" w:after="0" w:line="240" w:lineRule="auto"/>
      </w:pPr>
      <w:r>
        <w:separator/>
      </w:r>
    </w:p>
    <w:p w14:paraId="7262F674" w14:textId="77777777" w:rsidR="007F14B1" w:rsidRDefault="007F14B1"/>
  </w:endnote>
  <w:endnote w:type="continuationSeparator" w:id="0">
    <w:p w14:paraId="5EFE38CA" w14:textId="77777777" w:rsidR="007F14B1" w:rsidRDefault="007F14B1">
      <w:pPr>
        <w:spacing w:before="0" w:after="0" w:line="240" w:lineRule="auto"/>
      </w:pPr>
      <w:r>
        <w:continuationSeparator/>
      </w:r>
    </w:p>
    <w:p w14:paraId="59D57F8A" w14:textId="77777777" w:rsidR="007F14B1" w:rsidRDefault="007F14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68325EAF" w14:textId="77777777" w:rsidR="006B6196"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03572" w14:textId="77777777" w:rsidR="006B6196" w:rsidRDefault="00000000">
    <w:pPr>
      <w:pStyle w:val="Footer"/>
    </w:pPr>
    <w:sdt>
      <w:sdtPr>
        <w:id w:val="7803617"/>
        <w:placeholder>
          <w:docPart w:val="811F191589528144BD67D9684F403705"/>
        </w:placeholder>
        <w:temporary/>
        <w:showingPlcHdr/>
        <w15:appearance w15:val="hidden"/>
      </w:sdtPr>
      <w:sdtContent>
        <w:r>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1D2B5" w14:textId="77777777" w:rsidR="007F14B1" w:rsidRDefault="007F14B1">
      <w:pPr>
        <w:spacing w:before="0" w:after="0" w:line="240" w:lineRule="auto"/>
      </w:pPr>
      <w:r>
        <w:separator/>
      </w:r>
    </w:p>
    <w:p w14:paraId="0B5D5834" w14:textId="77777777" w:rsidR="007F14B1" w:rsidRDefault="007F14B1"/>
  </w:footnote>
  <w:footnote w:type="continuationSeparator" w:id="0">
    <w:p w14:paraId="79019726" w14:textId="77777777" w:rsidR="007F14B1" w:rsidRDefault="007F14B1">
      <w:pPr>
        <w:spacing w:before="0" w:after="0" w:line="240" w:lineRule="auto"/>
      </w:pPr>
      <w:r>
        <w:continuationSeparator/>
      </w:r>
    </w:p>
    <w:p w14:paraId="4D107554" w14:textId="77777777" w:rsidR="007F14B1" w:rsidRDefault="007F14B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883158">
    <w:abstractNumId w:val="1"/>
  </w:num>
  <w:num w:numId="2" w16cid:durableId="133528947">
    <w:abstractNumId w:val="3"/>
  </w:num>
  <w:num w:numId="3" w16cid:durableId="1810049530">
    <w:abstractNumId w:val="0"/>
  </w:num>
  <w:num w:numId="4" w16cid:durableId="1409232287">
    <w:abstractNumId w:val="5"/>
  </w:num>
  <w:num w:numId="5" w16cid:durableId="29696939">
    <w:abstractNumId w:val="4"/>
  </w:num>
  <w:num w:numId="6" w16cid:durableId="61954815">
    <w:abstractNumId w:val="6"/>
  </w:num>
  <w:num w:numId="7" w16cid:durableId="329989201">
    <w:abstractNumId w:val="2"/>
  </w:num>
  <w:num w:numId="8" w16cid:durableId="1113594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C1"/>
    <w:rsid w:val="000003F1"/>
    <w:rsid w:val="00000ADF"/>
    <w:rsid w:val="00041CA7"/>
    <w:rsid w:val="00056439"/>
    <w:rsid w:val="000726F9"/>
    <w:rsid w:val="0008001C"/>
    <w:rsid w:val="00081E2A"/>
    <w:rsid w:val="000C2C82"/>
    <w:rsid w:val="000C705D"/>
    <w:rsid w:val="000C7A97"/>
    <w:rsid w:val="000D0282"/>
    <w:rsid w:val="000F2623"/>
    <w:rsid w:val="000F5A8B"/>
    <w:rsid w:val="00105461"/>
    <w:rsid w:val="001442D0"/>
    <w:rsid w:val="001542E6"/>
    <w:rsid w:val="00161A0D"/>
    <w:rsid w:val="001633CC"/>
    <w:rsid w:val="00164EF3"/>
    <w:rsid w:val="00191BD3"/>
    <w:rsid w:val="0019341B"/>
    <w:rsid w:val="001A66E3"/>
    <w:rsid w:val="001B3171"/>
    <w:rsid w:val="001C4CE7"/>
    <w:rsid w:val="001C6ABD"/>
    <w:rsid w:val="001D3C66"/>
    <w:rsid w:val="001D4861"/>
    <w:rsid w:val="001E26AF"/>
    <w:rsid w:val="001E56D2"/>
    <w:rsid w:val="0022490B"/>
    <w:rsid w:val="0023421D"/>
    <w:rsid w:val="00264A13"/>
    <w:rsid w:val="00271329"/>
    <w:rsid w:val="002714CD"/>
    <w:rsid w:val="002832A6"/>
    <w:rsid w:val="0028354A"/>
    <w:rsid w:val="00286047"/>
    <w:rsid w:val="0029115E"/>
    <w:rsid w:val="002A4F94"/>
    <w:rsid w:val="002B58DE"/>
    <w:rsid w:val="002C0435"/>
    <w:rsid w:val="002F2531"/>
    <w:rsid w:val="002F4BCE"/>
    <w:rsid w:val="00311D87"/>
    <w:rsid w:val="00311E35"/>
    <w:rsid w:val="00324A00"/>
    <w:rsid w:val="00351B2D"/>
    <w:rsid w:val="003638A6"/>
    <w:rsid w:val="003740D2"/>
    <w:rsid w:val="00375D1B"/>
    <w:rsid w:val="00382682"/>
    <w:rsid w:val="003851B2"/>
    <w:rsid w:val="003A3ADB"/>
    <w:rsid w:val="003A76E9"/>
    <w:rsid w:val="003A7AC3"/>
    <w:rsid w:val="003C1A12"/>
    <w:rsid w:val="003C1A99"/>
    <w:rsid w:val="003E0EBC"/>
    <w:rsid w:val="00413C4F"/>
    <w:rsid w:val="00414C4F"/>
    <w:rsid w:val="00453199"/>
    <w:rsid w:val="004564CA"/>
    <w:rsid w:val="0048561D"/>
    <w:rsid w:val="00487F55"/>
    <w:rsid w:val="0049393C"/>
    <w:rsid w:val="00497083"/>
    <w:rsid w:val="004A073D"/>
    <w:rsid w:val="004A1722"/>
    <w:rsid w:val="004A3790"/>
    <w:rsid w:val="004C2472"/>
    <w:rsid w:val="004C545B"/>
    <w:rsid w:val="005006B2"/>
    <w:rsid w:val="005017F8"/>
    <w:rsid w:val="00511068"/>
    <w:rsid w:val="005127BF"/>
    <w:rsid w:val="005250BB"/>
    <w:rsid w:val="005514E2"/>
    <w:rsid w:val="00585C6F"/>
    <w:rsid w:val="005914C3"/>
    <w:rsid w:val="005934F9"/>
    <w:rsid w:val="005A5867"/>
    <w:rsid w:val="005B08DE"/>
    <w:rsid w:val="005B14D1"/>
    <w:rsid w:val="005B4B8F"/>
    <w:rsid w:val="005B7954"/>
    <w:rsid w:val="005B7EF5"/>
    <w:rsid w:val="005D2D28"/>
    <w:rsid w:val="005F456D"/>
    <w:rsid w:val="00607BC1"/>
    <w:rsid w:val="006122D9"/>
    <w:rsid w:val="00625460"/>
    <w:rsid w:val="00627EC2"/>
    <w:rsid w:val="00630A03"/>
    <w:rsid w:val="006446F6"/>
    <w:rsid w:val="00655CA5"/>
    <w:rsid w:val="00655F34"/>
    <w:rsid w:val="00671E6B"/>
    <w:rsid w:val="00672ADE"/>
    <w:rsid w:val="00684162"/>
    <w:rsid w:val="0069080D"/>
    <w:rsid w:val="006B6196"/>
    <w:rsid w:val="006B6732"/>
    <w:rsid w:val="006C0BD4"/>
    <w:rsid w:val="006C4AE4"/>
    <w:rsid w:val="006C5A32"/>
    <w:rsid w:val="007118B5"/>
    <w:rsid w:val="00712E72"/>
    <w:rsid w:val="0072349D"/>
    <w:rsid w:val="0073475A"/>
    <w:rsid w:val="00740078"/>
    <w:rsid w:val="007471EA"/>
    <w:rsid w:val="007563F2"/>
    <w:rsid w:val="007602C1"/>
    <w:rsid w:val="00765519"/>
    <w:rsid w:val="007664C5"/>
    <w:rsid w:val="0079451C"/>
    <w:rsid w:val="00795F1A"/>
    <w:rsid w:val="007A6542"/>
    <w:rsid w:val="007B38F1"/>
    <w:rsid w:val="007B40DF"/>
    <w:rsid w:val="007C5A8D"/>
    <w:rsid w:val="007F14B1"/>
    <w:rsid w:val="008137DE"/>
    <w:rsid w:val="00814B69"/>
    <w:rsid w:val="00817788"/>
    <w:rsid w:val="00820927"/>
    <w:rsid w:val="00826437"/>
    <w:rsid w:val="00830006"/>
    <w:rsid w:val="00836C83"/>
    <w:rsid w:val="00845231"/>
    <w:rsid w:val="00857B22"/>
    <w:rsid w:val="00860BB1"/>
    <w:rsid w:val="0088770A"/>
    <w:rsid w:val="00897EEE"/>
    <w:rsid w:val="008A21D9"/>
    <w:rsid w:val="008B077D"/>
    <w:rsid w:val="008C358C"/>
    <w:rsid w:val="008C5C80"/>
    <w:rsid w:val="00901B30"/>
    <w:rsid w:val="00922EA0"/>
    <w:rsid w:val="0092473A"/>
    <w:rsid w:val="00932B64"/>
    <w:rsid w:val="00952AE0"/>
    <w:rsid w:val="0095717E"/>
    <w:rsid w:val="00971978"/>
    <w:rsid w:val="00971A75"/>
    <w:rsid w:val="00973E0E"/>
    <w:rsid w:val="009865A6"/>
    <w:rsid w:val="00991381"/>
    <w:rsid w:val="00991799"/>
    <w:rsid w:val="009A43BC"/>
    <w:rsid w:val="009A7BA9"/>
    <w:rsid w:val="009B075E"/>
    <w:rsid w:val="009F69C9"/>
    <w:rsid w:val="00A01430"/>
    <w:rsid w:val="00A0398C"/>
    <w:rsid w:val="00A2784C"/>
    <w:rsid w:val="00A31AE2"/>
    <w:rsid w:val="00A518FF"/>
    <w:rsid w:val="00A55AE4"/>
    <w:rsid w:val="00A63DDD"/>
    <w:rsid w:val="00A670E3"/>
    <w:rsid w:val="00A81822"/>
    <w:rsid w:val="00A86158"/>
    <w:rsid w:val="00A86C29"/>
    <w:rsid w:val="00A9365F"/>
    <w:rsid w:val="00AB61CF"/>
    <w:rsid w:val="00AB7C19"/>
    <w:rsid w:val="00AC786F"/>
    <w:rsid w:val="00AD03D3"/>
    <w:rsid w:val="00AE6103"/>
    <w:rsid w:val="00B04755"/>
    <w:rsid w:val="00B171E3"/>
    <w:rsid w:val="00B2142D"/>
    <w:rsid w:val="00B347DB"/>
    <w:rsid w:val="00B35DC3"/>
    <w:rsid w:val="00B37436"/>
    <w:rsid w:val="00B4447C"/>
    <w:rsid w:val="00B4637F"/>
    <w:rsid w:val="00B647AD"/>
    <w:rsid w:val="00B71B19"/>
    <w:rsid w:val="00B73393"/>
    <w:rsid w:val="00B77CA2"/>
    <w:rsid w:val="00B87651"/>
    <w:rsid w:val="00B94E93"/>
    <w:rsid w:val="00B94F2C"/>
    <w:rsid w:val="00B965A3"/>
    <w:rsid w:val="00BA345F"/>
    <w:rsid w:val="00BB5F4A"/>
    <w:rsid w:val="00BC75A1"/>
    <w:rsid w:val="00BD283A"/>
    <w:rsid w:val="00BD551B"/>
    <w:rsid w:val="00BD7CFF"/>
    <w:rsid w:val="00BE1167"/>
    <w:rsid w:val="00BE249E"/>
    <w:rsid w:val="00BF1BC4"/>
    <w:rsid w:val="00C25680"/>
    <w:rsid w:val="00C3709B"/>
    <w:rsid w:val="00C475A9"/>
    <w:rsid w:val="00C54FC7"/>
    <w:rsid w:val="00C557EF"/>
    <w:rsid w:val="00C64984"/>
    <w:rsid w:val="00C67455"/>
    <w:rsid w:val="00C70BA2"/>
    <w:rsid w:val="00C71D6B"/>
    <w:rsid w:val="00C72DF5"/>
    <w:rsid w:val="00C73406"/>
    <w:rsid w:val="00C823F6"/>
    <w:rsid w:val="00CA3CE2"/>
    <w:rsid w:val="00CB118D"/>
    <w:rsid w:val="00CB70C0"/>
    <w:rsid w:val="00CD2719"/>
    <w:rsid w:val="00CD4929"/>
    <w:rsid w:val="00CD62C0"/>
    <w:rsid w:val="00CE3610"/>
    <w:rsid w:val="00CF0875"/>
    <w:rsid w:val="00CF2B49"/>
    <w:rsid w:val="00D12B80"/>
    <w:rsid w:val="00D22778"/>
    <w:rsid w:val="00D50095"/>
    <w:rsid w:val="00D51318"/>
    <w:rsid w:val="00D5331F"/>
    <w:rsid w:val="00D53E87"/>
    <w:rsid w:val="00D54F1A"/>
    <w:rsid w:val="00D6243A"/>
    <w:rsid w:val="00D67E2F"/>
    <w:rsid w:val="00D85E8D"/>
    <w:rsid w:val="00D90888"/>
    <w:rsid w:val="00D950E6"/>
    <w:rsid w:val="00DA053E"/>
    <w:rsid w:val="00DA5311"/>
    <w:rsid w:val="00DC48F7"/>
    <w:rsid w:val="00DD17A4"/>
    <w:rsid w:val="00DE34CC"/>
    <w:rsid w:val="00DF3C86"/>
    <w:rsid w:val="00E01561"/>
    <w:rsid w:val="00E327AB"/>
    <w:rsid w:val="00E449C5"/>
    <w:rsid w:val="00E63240"/>
    <w:rsid w:val="00E7690A"/>
    <w:rsid w:val="00E86FFD"/>
    <w:rsid w:val="00E9461D"/>
    <w:rsid w:val="00E9640F"/>
    <w:rsid w:val="00E96AF7"/>
    <w:rsid w:val="00EB17A7"/>
    <w:rsid w:val="00EB21AE"/>
    <w:rsid w:val="00ED2348"/>
    <w:rsid w:val="00ED3203"/>
    <w:rsid w:val="00EE2056"/>
    <w:rsid w:val="00EE504C"/>
    <w:rsid w:val="00EE79EF"/>
    <w:rsid w:val="00F07BF7"/>
    <w:rsid w:val="00F133E5"/>
    <w:rsid w:val="00F14F0F"/>
    <w:rsid w:val="00F2024E"/>
    <w:rsid w:val="00F31D93"/>
    <w:rsid w:val="00F56F7F"/>
    <w:rsid w:val="00F80E04"/>
    <w:rsid w:val="00F83CCF"/>
    <w:rsid w:val="00F83DB0"/>
    <w:rsid w:val="00FC5440"/>
    <w:rsid w:val="00FD24B5"/>
    <w:rsid w:val="00FD351A"/>
    <w:rsid w:val="00FF0132"/>
    <w:rsid w:val="00FF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EA7EB6"/>
  <w15:chartTrackingRefBased/>
  <w15:docId w15:val="{924E6D92-BDC0-4F4A-A744-A11C1C34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9B075E"/>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5">
    <w:name w:val="heading 5"/>
    <w:basedOn w:val="Normal"/>
    <w:next w:val="Normal"/>
    <w:link w:val="Heading5Char"/>
    <w:uiPriority w:val="9"/>
    <w:semiHidden/>
    <w:unhideWhenUsed/>
    <w:qFormat/>
    <w:rsid w:val="005B08DE"/>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Hyperlink">
    <w:name w:val="Hyperlink"/>
    <w:basedOn w:val="DefaultParagraphFont"/>
    <w:uiPriority w:val="99"/>
    <w:unhideWhenUsed/>
    <w:rsid w:val="006446F6"/>
    <w:rPr>
      <w:color w:val="0072C6" w:themeColor="hyperlink"/>
      <w:u w:val="single"/>
    </w:rPr>
  </w:style>
  <w:style w:type="character" w:styleId="UnresolvedMention">
    <w:name w:val="Unresolved Mention"/>
    <w:basedOn w:val="DefaultParagraphFont"/>
    <w:uiPriority w:val="99"/>
    <w:semiHidden/>
    <w:unhideWhenUsed/>
    <w:rsid w:val="006446F6"/>
    <w:rPr>
      <w:color w:val="605E5C"/>
      <w:shd w:val="clear" w:color="auto" w:fill="E1DFDD"/>
    </w:rPr>
  </w:style>
  <w:style w:type="character" w:customStyle="1" w:styleId="Heading5Char">
    <w:name w:val="Heading 5 Char"/>
    <w:basedOn w:val="DefaultParagraphFont"/>
    <w:link w:val="Heading5"/>
    <w:uiPriority w:val="9"/>
    <w:semiHidden/>
    <w:rsid w:val="005B08DE"/>
    <w:rPr>
      <w:rFonts w:asciiTheme="majorHAnsi" w:eastAsiaTheme="majorEastAsia" w:hAnsiTheme="majorHAnsi" w:cstheme="majorBidi"/>
      <w:color w:val="005494" w:themeColor="accent1" w:themeShade="BF"/>
    </w:rPr>
  </w:style>
  <w:style w:type="character" w:customStyle="1" w:styleId="Heading4Char">
    <w:name w:val="Heading 4 Char"/>
    <w:basedOn w:val="DefaultParagraphFont"/>
    <w:link w:val="Heading4"/>
    <w:uiPriority w:val="9"/>
    <w:rsid w:val="009B075E"/>
    <w:rPr>
      <w:rFonts w:asciiTheme="majorHAnsi" w:eastAsiaTheme="majorEastAsia" w:hAnsiTheme="majorHAnsi" w:cstheme="majorBidi"/>
      <w:i/>
      <w:iCs/>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en-US%7bB4F75617-DE57-7048-B8ED-A2EC3EDDF3A1%7d/%7b4BBB9819-E4E8-6443-B669-6C147F6F1436%7dtf1000207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1F191589528144BD67D9684F403705"/>
        <w:category>
          <w:name w:val="General"/>
          <w:gallery w:val="placeholder"/>
        </w:category>
        <w:types>
          <w:type w:val="bbPlcHdr"/>
        </w:types>
        <w:behaviors>
          <w:behavior w:val="content"/>
        </w:behaviors>
        <w:guid w:val="{720F9DE8-1717-5748-A24C-7C53D30BDE92}"/>
      </w:docPartPr>
      <w:docPartBody>
        <w:p w:rsidR="00CE0082" w:rsidRDefault="00CD1FBE" w:rsidP="00CD1FBE">
          <w:pPr>
            <w:pStyle w:val="811F191589528144BD67D9684F403705"/>
          </w:pPr>
          <w:r w:rsidRPr="001B403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D6ECFA8-982E-D24A-A37A-8464F2997C12}"/>
      </w:docPartPr>
      <w:docPartBody>
        <w:p w:rsidR="008A0F45" w:rsidRDefault="00CE0082">
          <w:r w:rsidRPr="006817CE">
            <w:rPr>
              <w:rStyle w:val="PlaceholderText"/>
            </w:rPr>
            <w:t>Click or tap here to enter text.</w:t>
          </w:r>
        </w:p>
      </w:docPartBody>
    </w:docPart>
    <w:docPart>
      <w:docPartPr>
        <w:name w:val="5FAECBD25F07BB4AB7EE1F6E8B4E7F11"/>
        <w:category>
          <w:name w:val="General"/>
          <w:gallery w:val="placeholder"/>
        </w:category>
        <w:types>
          <w:type w:val="bbPlcHdr"/>
        </w:types>
        <w:behaviors>
          <w:behavior w:val="content"/>
        </w:behaviors>
        <w:guid w:val="{28D39D8B-F7F9-D548-9A20-761BE11DADCB}"/>
      </w:docPartPr>
      <w:docPartBody>
        <w:p w:rsidR="003C48A1" w:rsidRDefault="006D1B06" w:rsidP="006D1B06">
          <w:pPr>
            <w:pStyle w:val="5FAECBD25F07BB4AB7EE1F6E8B4E7F11"/>
          </w:pPr>
          <w:r w:rsidRPr="006817CE">
            <w:rPr>
              <w:rStyle w:val="PlaceholderText"/>
            </w:rPr>
            <w:t>Click or tap here to enter text.</w:t>
          </w:r>
        </w:p>
      </w:docPartBody>
    </w:docPart>
    <w:docPart>
      <w:docPartPr>
        <w:name w:val="574369D7AC241645890371924DFD1BA0"/>
        <w:category>
          <w:name w:val="General"/>
          <w:gallery w:val="placeholder"/>
        </w:category>
        <w:types>
          <w:type w:val="bbPlcHdr"/>
        </w:types>
        <w:behaviors>
          <w:behavior w:val="content"/>
        </w:behaviors>
        <w:guid w:val="{403A8E9E-FCB7-9044-B5AB-223BADD7E523}"/>
      </w:docPartPr>
      <w:docPartBody>
        <w:p w:rsidR="002E1851" w:rsidRDefault="003C48A1" w:rsidP="003C48A1">
          <w:pPr>
            <w:pStyle w:val="574369D7AC241645890371924DFD1BA0"/>
          </w:pPr>
          <w:r w:rsidRPr="001B4037">
            <w:rPr>
              <w:rStyle w:val="PlaceholderText"/>
            </w:rPr>
            <w:t>Click or tap here to enter text.</w:t>
          </w:r>
        </w:p>
      </w:docPartBody>
    </w:docPart>
    <w:docPart>
      <w:docPartPr>
        <w:name w:val="3453F5633155B449AAF8A1F143F3D7B8"/>
        <w:category>
          <w:name w:val="General"/>
          <w:gallery w:val="placeholder"/>
        </w:category>
        <w:types>
          <w:type w:val="bbPlcHdr"/>
        </w:types>
        <w:behaviors>
          <w:behavior w:val="content"/>
        </w:behaviors>
        <w:guid w:val="{D0A92BB9-FDE9-4144-99E0-200B726FAA9A}"/>
      </w:docPartPr>
      <w:docPartBody>
        <w:p w:rsidR="002E1851" w:rsidRDefault="003C48A1" w:rsidP="003C48A1">
          <w:pPr>
            <w:pStyle w:val="3453F5633155B449AAF8A1F143F3D7B8"/>
          </w:pPr>
          <w:r w:rsidRPr="00330118">
            <w:rPr>
              <w:rStyle w:val="PlaceholderText"/>
            </w:rPr>
            <w:t>Click or tap here to enter text.</w:t>
          </w:r>
        </w:p>
      </w:docPartBody>
    </w:docPart>
    <w:docPart>
      <w:docPartPr>
        <w:name w:val="9713CEA4C47A7C469195C5AB26A0A071"/>
        <w:category>
          <w:name w:val="General"/>
          <w:gallery w:val="placeholder"/>
        </w:category>
        <w:types>
          <w:type w:val="bbPlcHdr"/>
        </w:types>
        <w:behaviors>
          <w:behavior w:val="content"/>
        </w:behaviors>
        <w:guid w:val="{259566D6-D0C1-624A-8069-F9ED543BB9DC}"/>
      </w:docPartPr>
      <w:docPartBody>
        <w:p w:rsidR="002E1851" w:rsidRDefault="003C48A1" w:rsidP="003C48A1">
          <w:pPr>
            <w:pStyle w:val="9713CEA4C47A7C469195C5AB26A0A071"/>
          </w:pPr>
          <w:r w:rsidRPr="001B4037">
            <w:rPr>
              <w:rStyle w:val="PlaceholderText"/>
            </w:rPr>
            <w:t>Click or tap here to enter text.</w:t>
          </w:r>
        </w:p>
      </w:docPartBody>
    </w:docPart>
    <w:docPart>
      <w:docPartPr>
        <w:name w:val="CEE11309021DE54FBEAACDF3413182A0"/>
        <w:category>
          <w:name w:val="General"/>
          <w:gallery w:val="placeholder"/>
        </w:category>
        <w:types>
          <w:type w:val="bbPlcHdr"/>
        </w:types>
        <w:behaviors>
          <w:behavior w:val="content"/>
        </w:behaviors>
        <w:guid w:val="{D3BA5FF1-92E8-3D4B-809A-21879B13AA69}"/>
      </w:docPartPr>
      <w:docPartBody>
        <w:p w:rsidR="002E1851" w:rsidRDefault="003C48A1" w:rsidP="003C48A1">
          <w:pPr>
            <w:pStyle w:val="CEE11309021DE54FBEAACDF3413182A0"/>
          </w:pPr>
          <w:r w:rsidRPr="001B4037">
            <w:rPr>
              <w:rStyle w:val="PlaceholderText"/>
            </w:rPr>
            <w:t>Click or tap here to enter text.</w:t>
          </w:r>
        </w:p>
      </w:docPartBody>
    </w:docPart>
    <w:docPart>
      <w:docPartPr>
        <w:name w:val="BEC291E9B90CE3459BB74991298EF470"/>
        <w:category>
          <w:name w:val="General"/>
          <w:gallery w:val="placeholder"/>
        </w:category>
        <w:types>
          <w:type w:val="bbPlcHdr"/>
        </w:types>
        <w:behaviors>
          <w:behavior w:val="content"/>
        </w:behaviors>
        <w:guid w:val="{1F58C591-4ED9-3840-BF31-64A03F541F93}"/>
      </w:docPartPr>
      <w:docPartBody>
        <w:p w:rsidR="002E1851" w:rsidRDefault="003C48A1" w:rsidP="003C48A1">
          <w:pPr>
            <w:pStyle w:val="BEC291E9B90CE3459BB74991298EF470"/>
          </w:pPr>
          <w:r w:rsidRPr="001B4037">
            <w:rPr>
              <w:rStyle w:val="PlaceholderText"/>
            </w:rPr>
            <w:t>Click or tap here to enter text.</w:t>
          </w:r>
        </w:p>
      </w:docPartBody>
    </w:docPart>
    <w:docPart>
      <w:docPartPr>
        <w:name w:val="BE94CCFBEF7C13428259AA3E15D3B305"/>
        <w:category>
          <w:name w:val="General"/>
          <w:gallery w:val="placeholder"/>
        </w:category>
        <w:types>
          <w:type w:val="bbPlcHdr"/>
        </w:types>
        <w:behaviors>
          <w:behavior w:val="content"/>
        </w:behaviors>
        <w:guid w:val="{B83B7DB5-82AF-EF4B-8AC4-8D494107F57F}"/>
      </w:docPartPr>
      <w:docPartBody>
        <w:p w:rsidR="00000000" w:rsidRDefault="009C7507" w:rsidP="009C7507">
          <w:pPr>
            <w:pStyle w:val="BE94CCFBEF7C13428259AA3E15D3B305"/>
          </w:pPr>
          <w:r w:rsidRPr="006817CE">
            <w:rPr>
              <w:rStyle w:val="PlaceholderText"/>
            </w:rPr>
            <w:t>Click or tap here to enter text.</w:t>
          </w:r>
        </w:p>
      </w:docPartBody>
    </w:docPart>
    <w:docPart>
      <w:docPartPr>
        <w:name w:val="6E7D156DA7A38D419F86AF0F048E245B"/>
        <w:category>
          <w:name w:val="General"/>
          <w:gallery w:val="placeholder"/>
        </w:category>
        <w:types>
          <w:type w:val="bbPlcHdr"/>
        </w:types>
        <w:behaviors>
          <w:behavior w:val="content"/>
        </w:behaviors>
        <w:guid w:val="{9F2FF25D-BFF6-4B49-A705-F76CC920715F}"/>
      </w:docPartPr>
      <w:docPartBody>
        <w:p w:rsidR="00000000" w:rsidRDefault="009C7507" w:rsidP="009C7507">
          <w:pPr>
            <w:pStyle w:val="6E7D156DA7A38D419F86AF0F048E245B"/>
          </w:pPr>
          <w:r w:rsidRPr="006817CE">
            <w:rPr>
              <w:rStyle w:val="PlaceholderText"/>
            </w:rPr>
            <w:t>Click or tap here to enter text.</w:t>
          </w:r>
        </w:p>
      </w:docPartBody>
    </w:docPart>
    <w:docPart>
      <w:docPartPr>
        <w:name w:val="6397D5B7875CC7488472649259B61BFB"/>
        <w:category>
          <w:name w:val="General"/>
          <w:gallery w:val="placeholder"/>
        </w:category>
        <w:types>
          <w:type w:val="bbPlcHdr"/>
        </w:types>
        <w:behaviors>
          <w:behavior w:val="content"/>
        </w:behaviors>
        <w:guid w:val="{8C7E2CA0-571A-1143-AF32-5B607D84CE0E}"/>
      </w:docPartPr>
      <w:docPartBody>
        <w:p w:rsidR="00000000" w:rsidRDefault="009C7507" w:rsidP="009C7507">
          <w:pPr>
            <w:pStyle w:val="6397D5B7875CC7488472649259B61BFB"/>
          </w:pPr>
          <w:r w:rsidRPr="00330118">
            <w:rPr>
              <w:rStyle w:val="PlaceholderText"/>
            </w:rPr>
            <w:t>Click or tap here to enter text.</w:t>
          </w:r>
        </w:p>
      </w:docPartBody>
    </w:docPart>
    <w:docPart>
      <w:docPartPr>
        <w:name w:val="0CB81FF738739248921B583F061D1138"/>
        <w:category>
          <w:name w:val="General"/>
          <w:gallery w:val="placeholder"/>
        </w:category>
        <w:types>
          <w:type w:val="bbPlcHdr"/>
        </w:types>
        <w:behaviors>
          <w:behavior w:val="content"/>
        </w:behaviors>
        <w:guid w:val="{F30A1FF5-1317-EB46-A36F-7205B9619975}"/>
      </w:docPartPr>
      <w:docPartBody>
        <w:p w:rsidR="00000000" w:rsidRDefault="009C7507" w:rsidP="009C7507">
          <w:pPr>
            <w:pStyle w:val="0CB81FF738739248921B583F061D1138"/>
          </w:pPr>
          <w:r w:rsidRPr="001B4037">
            <w:rPr>
              <w:rStyle w:val="PlaceholderText"/>
            </w:rPr>
            <w:t>Click or tap here to enter text.</w:t>
          </w:r>
        </w:p>
      </w:docPartBody>
    </w:docPart>
    <w:docPart>
      <w:docPartPr>
        <w:name w:val="7B3AAB8B6618DF4F94C64056D7B9FF5A"/>
        <w:category>
          <w:name w:val="General"/>
          <w:gallery w:val="placeholder"/>
        </w:category>
        <w:types>
          <w:type w:val="bbPlcHdr"/>
        </w:types>
        <w:behaviors>
          <w:behavior w:val="content"/>
        </w:behaviors>
        <w:guid w:val="{736FF202-1AA0-EE4D-B831-A40263B2D401}"/>
      </w:docPartPr>
      <w:docPartBody>
        <w:p w:rsidR="00000000" w:rsidRDefault="009C7507" w:rsidP="009C7507">
          <w:pPr>
            <w:pStyle w:val="7B3AAB8B6618DF4F94C64056D7B9FF5A"/>
          </w:pPr>
          <w:r w:rsidRPr="001B40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43219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BE"/>
    <w:rsid w:val="000B3B18"/>
    <w:rsid w:val="00230B40"/>
    <w:rsid w:val="002D7E7D"/>
    <w:rsid w:val="002E1851"/>
    <w:rsid w:val="003C48A1"/>
    <w:rsid w:val="006D1B06"/>
    <w:rsid w:val="00820428"/>
    <w:rsid w:val="008A0F45"/>
    <w:rsid w:val="00974EFC"/>
    <w:rsid w:val="009C7507"/>
    <w:rsid w:val="00AF5EF7"/>
    <w:rsid w:val="00CB5608"/>
    <w:rsid w:val="00CD1FBE"/>
    <w:rsid w:val="00CE0082"/>
    <w:rsid w:val="00D374CE"/>
    <w:rsid w:val="00EF3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31"/>
    <w:qFormat/>
    <w:pPr>
      <w:numPr>
        <w:numId w:val="1"/>
      </w:numPr>
      <w:spacing w:before="160" w:after="320" w:line="360" w:lineRule="auto"/>
      <w:contextualSpacing/>
    </w:pPr>
    <w:rPr>
      <w:rFonts w:eastAsiaTheme="minorHAnsi"/>
      <w:color w:val="7F7F7F" w:themeColor="text1" w:themeTint="80"/>
      <w:kern w:val="0"/>
      <w:lang w:eastAsia="ja-JP"/>
      <w14:ligatures w14:val="none"/>
    </w:rPr>
  </w:style>
  <w:style w:type="character" w:styleId="PlaceholderText">
    <w:name w:val="Placeholder Text"/>
    <w:basedOn w:val="DefaultParagraphFont"/>
    <w:uiPriority w:val="99"/>
    <w:semiHidden/>
    <w:rsid w:val="009C7507"/>
    <w:rPr>
      <w:color w:val="808080"/>
    </w:rPr>
  </w:style>
  <w:style w:type="paragraph" w:customStyle="1" w:styleId="811F191589528144BD67D9684F403705">
    <w:name w:val="811F191589528144BD67D9684F403705"/>
    <w:rsid w:val="00CD1FBE"/>
  </w:style>
  <w:style w:type="paragraph" w:customStyle="1" w:styleId="574369D7AC241645890371924DFD1BA0">
    <w:name w:val="574369D7AC241645890371924DFD1BA0"/>
    <w:rsid w:val="003C48A1"/>
    <w:pPr>
      <w:spacing w:after="0" w:line="240" w:lineRule="auto"/>
    </w:pPr>
  </w:style>
  <w:style w:type="paragraph" w:customStyle="1" w:styleId="3453F5633155B449AAF8A1F143F3D7B8">
    <w:name w:val="3453F5633155B449AAF8A1F143F3D7B8"/>
    <w:rsid w:val="003C48A1"/>
    <w:pPr>
      <w:spacing w:after="0" w:line="240" w:lineRule="auto"/>
    </w:pPr>
  </w:style>
  <w:style w:type="paragraph" w:customStyle="1" w:styleId="9713CEA4C47A7C469195C5AB26A0A071">
    <w:name w:val="9713CEA4C47A7C469195C5AB26A0A071"/>
    <w:rsid w:val="003C48A1"/>
    <w:pPr>
      <w:spacing w:after="0" w:line="240" w:lineRule="auto"/>
    </w:pPr>
  </w:style>
  <w:style w:type="paragraph" w:customStyle="1" w:styleId="CEE11309021DE54FBEAACDF3413182A0">
    <w:name w:val="CEE11309021DE54FBEAACDF3413182A0"/>
    <w:rsid w:val="003C48A1"/>
    <w:pPr>
      <w:spacing w:after="0" w:line="240" w:lineRule="auto"/>
    </w:pPr>
  </w:style>
  <w:style w:type="paragraph" w:customStyle="1" w:styleId="BEC291E9B90CE3459BB74991298EF470">
    <w:name w:val="BEC291E9B90CE3459BB74991298EF470"/>
    <w:rsid w:val="003C48A1"/>
    <w:pPr>
      <w:spacing w:after="0" w:line="240" w:lineRule="auto"/>
    </w:pPr>
  </w:style>
  <w:style w:type="paragraph" w:customStyle="1" w:styleId="5FAECBD25F07BB4AB7EE1F6E8B4E7F11">
    <w:name w:val="5FAECBD25F07BB4AB7EE1F6E8B4E7F11"/>
    <w:rsid w:val="006D1B06"/>
  </w:style>
  <w:style w:type="paragraph" w:customStyle="1" w:styleId="BE94CCFBEF7C13428259AA3E15D3B305">
    <w:name w:val="BE94CCFBEF7C13428259AA3E15D3B305"/>
    <w:rsid w:val="009C7507"/>
  </w:style>
  <w:style w:type="paragraph" w:customStyle="1" w:styleId="6E7D156DA7A38D419F86AF0F048E245B">
    <w:name w:val="6E7D156DA7A38D419F86AF0F048E245B"/>
    <w:rsid w:val="009C7507"/>
  </w:style>
  <w:style w:type="paragraph" w:customStyle="1" w:styleId="B8EAEB01A7F8874E99FB9D464B41EBDF">
    <w:name w:val="B8EAEB01A7F8874E99FB9D464B41EBDF"/>
    <w:rsid w:val="009C7507"/>
  </w:style>
  <w:style w:type="paragraph" w:customStyle="1" w:styleId="A18CAAF4B821FC4E8D9D0856028E4BCA">
    <w:name w:val="A18CAAF4B821FC4E8D9D0856028E4BCA"/>
    <w:rsid w:val="009C7507"/>
  </w:style>
  <w:style w:type="paragraph" w:customStyle="1" w:styleId="7302DB33AC06984DAB37A3D266CAED31">
    <w:name w:val="7302DB33AC06984DAB37A3D266CAED31"/>
    <w:rsid w:val="009C7507"/>
  </w:style>
  <w:style w:type="paragraph" w:customStyle="1" w:styleId="6397D5B7875CC7488472649259B61BFB">
    <w:name w:val="6397D5B7875CC7488472649259B61BFB"/>
    <w:rsid w:val="009C7507"/>
  </w:style>
  <w:style w:type="paragraph" w:customStyle="1" w:styleId="0CB81FF738739248921B583F061D1138">
    <w:name w:val="0CB81FF738739248921B583F061D1138"/>
    <w:rsid w:val="009C7507"/>
  </w:style>
  <w:style w:type="paragraph" w:customStyle="1" w:styleId="41772130F7E5914D95084CF015024738">
    <w:name w:val="41772130F7E5914D95084CF015024738"/>
    <w:rsid w:val="009C7507"/>
  </w:style>
  <w:style w:type="paragraph" w:customStyle="1" w:styleId="7B3AAB8B6618DF4F94C64056D7B9FF5A">
    <w:name w:val="7B3AAB8B6618DF4F94C64056D7B9FF5A"/>
    <w:rsid w:val="009C75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89CFFD-2D7A-F448-89E0-2FA3AEAFC9B5}">
  <we:reference id="wa104382081" version="1.55.1.0" store="en-001" storeType="OMEX"/>
  <we:alternateReferences>
    <we:reference id="WA104382081" version="1.55.1.0" store="" storeType="OMEX"/>
  </we:alternateReferences>
  <we:properties>
    <we:property name="MENDELEY_CITATIONS" value="[{&quot;citationID&quot;:&quot;MENDELEY_CITATION_cc9fc052-94de-442d-b566-4d8dc9806f32&quot;,&quot;properties&quot;:{&quot;noteIndex&quot;:0},&quot;isEdited&quot;:false,&quot;manualOverride&quot;:{&quot;isManuallyOverridden&quot;:false,&quot;citeprocText&quot;:&quot;(Du et al. 2020)&quot;,&quot;manualOverrideText&quot;:&quot;&quot;},&quot;citationItems&quot;:[{&quot;id&quot;:&quot;49e4e1a1-fd91-3a2a-84c1-4d375969036a&quot;,&quot;itemData&quot;:{&quot;type&quot;:&quot;article-journal&quot;,&quot;id&quot;:&quot;49e4e1a1-fd91-3a2a-84c1-4d375969036a&quot;,&quot;title&quot;:&quot;NeuroMark: An automated and adaptive ICA based pipeline to identify reproducible fMRI markers of brain disorders&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Sui&quot;,&quot;given&quot;:&quot;Jing&quot;,&quot;parse-names&quot;:false,&quot;dropping-particle&quot;:&quot;&quot;,&quot;non-dropping-particle&quot;:&quot;&quot;},{&quot;family&quot;:&quot;Gao&quot;,&quot;given&quot;:&quot;Shuang&quot;,&quot;parse-names&quot;:false,&quot;dropping-particle&quot;:&quot;&quot;,&quot;non-dropping-particle&quot;:&quot;&quot;},{&quot;family&quot;:&quot;Xing&quot;,&quot;given&quot;:&quot;Ying&quot;,&quot;parse-names&quot;:false,&quot;dropping-particle&quot;:&quot;&quot;,&quot;non-dropping-particle&quot;:&quot;&quot;},{&quot;family&quot;:&quot;Lin&quot;,&quot;given&quot;:&quot;Dongdong&quot;,&quot;parse-names&quot;:false,&quot;dropping-particle&quot;:&quot;&quot;,&quot;non-dropping-particle&quot;:&quot;&quot;},{&quot;family&quot;:&quot;Salman&quot;,&quot;given&quot;:&quot;Mustafa&quot;,&quot;parse-names&quot;:false,&quot;dropping-particle&quot;:&quot;&quot;,&quot;non-dropping-particle&quot;:&quot;&quot;},{&quot;family&quot;:&quot;Abrol&quot;,&quot;given&quot;:&quot;Anees&quot;,&quot;parse-names&quot;:false,&quot;dropping-particle&quot;:&quot;&quot;,&quot;non-dropping-particle&quot;:&quot;&quot;},{&quot;family&quot;:&quot;Rahaman&quot;,&quot;given&quot;:&quot;Md Abdur&quot;,&quot;parse-names&quot;:false,&quot;dropping-particle&quot;:&quot;&quot;,&quot;non-dropping-particle&quot;:&quot;&quot;},{&quot;family&quot;:&quot;Chen&quot;,&quot;given&quot;:&quot;Jiayu&quot;,&quot;parse-names&quot;:false,&quot;dropping-particle&quot;:&quot;&quot;,&quot;non-dropping-particle&quot;:&quot;&quot;},{&quot;family&quot;:&quot;Hong&quot;,&quot;given&quot;:&quot;L. Elliot&quot;,&quot;parse-names&quot;:false,&quot;dropping-particle&quot;:&quot;&quot;,&quot;non-dropping-particle&quot;:&quot;&quot;},{&quot;family&quot;:&quot;Kochunov&quot;,&quot;given&quot;:&quot;Peter&quot;,&quot;parse-names&quot;:false,&quot;dropping-particle&quot;:&quot;&quot;,&quot;non-dropping-particle&quot;:&quot;&quot;},{&quot;family&quot;:&quot;Osuch&quot;,&quot;given&quot;:&quot;Elizabeth A.&quot;,&quot;parse-names&quot;:false,&quot;dropping-particle&quot;:&quot;&quot;,&quot;non-dropping-particle&quot;:&quot;&quot;},{&quot;family&quot;:&quot;Calhoun&quot;,&quot;given&quot;:&quot;Vince D.&quot;,&quot;parse-names&quot;:false,&quot;dropping-particle&quot;:&quot;&quot;,&quot;non-dropping-particle&quot;:&quot;&quot;}],&quot;container-title&quot;:&quot;NeuroImage: Clinical&quot;,&quot;container-title-short&quot;:&quot;Neuroimage Clin&quot;,&quot;accessed&quot;:{&quot;date-parts&quot;:[[2023,8,9]]},&quot;DOI&quot;:&quot;10.1016/j.nicl.2020.102375&quot;,&quot;ISSN&quot;:&quot;22131582&quot;,&quot;PMID&quot;:&quot;32961402&quot;,&quot;URL&quot;:&quot;http://www.ncbi.nlm.nih.gov/pubmed/32961402&quot;,&quot;issued&quot;:{&quot;date-parts&quot;:[[2020,1,1]]},&quot;page&quot;:&quot;102375&quot;,&quot;abstract&quot;:&quot;Many mental illnesses share overlapping or similar clinical symptoms, confounding the diagnosis. It is important to systematically characterize the degree to which unique and similar changing patterns are reflective of brain disorders. Increasing sharing initiatives on neuroimaging data have provided unprecedented opportunities to study brain disorders. However, it is still an open question on replicating and translating findings across studies. Standardized approaches for capturing reproducible and comparable imaging markers are greatly needed. Here, we propose a pipeline based on the priori-driven independent component analysis, NeuroMark, which is capable of estimating brain functional network measures from functional magnetic resonance imaging (fMRI) data that can be used to link brain network abnormalities among different datasets, studies, and disorders. NeuroMark automatically estimates features adaptable to each individual subject and comparable across datasets/studies/disorders by taking advantage of the reliable brain network templates extracted from 1828 healthy controls as guidance. Four studies including 2442 subjects were conducted spanning six brain disorders (schizophrenia, autism spectrum disorder, mild cognitive impairment, Alzheimer's disease, bipolar disorder, and major depressive disorder) to evaluate validity of the proposed pipeline from different perspectives (replication of brain abnormalities, cross-study comparison, identification of subtle brain changes, and multi-disorder classification using identified biomarkers). Our results highlight that NeuroMark effectively identified replicated brain network abnormalities of schizophrenia across different datasets; revealed interesting neural clues on the overlap and specificity between autism and schizophrenia; demonstrated brain functional impairments present to varying degrees in mild cognitive impairments and Alzheimer's disease; and captured biomarkers that achieved good performance in classifying bipolar disorder and major depressive disorder.&quot;,&quot;publisher&quot;:&quot;Elsevier&quot;,&quot;volume&quot;:&quot;28&quot;},&quot;isTemporary&quot;:false}],&quot;citationTag&quot;:&quot;MENDELEY_CITATION_v3_eyJjaXRhdGlvbklEIjoiTUVOREVMRVlfQ0lUQVRJT05fY2M5ZmMwNTItOTRkZS00NDJkLWI1NjYtNGQ4ZGM5ODA2ZjMy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quot;},{&quot;citationID&quot;:&quot;MENDELEY_CITATION_88827eb6-b307-4210-868c-039228ed090e&quot;,&quot;properties&quot;:{&quot;noteIndex&quot;:0},&quot;isEdited&quot;:false,&quot;manualOverride&quot;:{&quot;isManuallyOverridden&quot;:false,&quot;citeprocText&quot;:&quot;(Du et al. 2020)&quot;,&quot;manualOverrideText&quot;:&quot;&quot;},&quot;citationItems&quot;:[{&quot;id&quot;:&quot;49e4e1a1-fd91-3a2a-84c1-4d375969036a&quot;,&quot;itemData&quot;:{&quot;type&quot;:&quot;article-journal&quot;,&quot;id&quot;:&quot;49e4e1a1-fd91-3a2a-84c1-4d375969036a&quot;,&quot;title&quot;:&quot;NeuroMark: An automated and adaptive ICA based pipeline to identify reproducible fMRI markers of brain disorders&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Sui&quot;,&quot;given&quot;:&quot;Jing&quot;,&quot;parse-names&quot;:false,&quot;dropping-particle&quot;:&quot;&quot;,&quot;non-dropping-particle&quot;:&quot;&quot;},{&quot;family&quot;:&quot;Gao&quot;,&quot;given&quot;:&quot;Shuang&quot;,&quot;parse-names&quot;:false,&quot;dropping-particle&quot;:&quot;&quot;,&quot;non-dropping-particle&quot;:&quot;&quot;},{&quot;family&quot;:&quot;Xing&quot;,&quot;given&quot;:&quot;Ying&quot;,&quot;parse-names&quot;:false,&quot;dropping-particle&quot;:&quot;&quot;,&quot;non-dropping-particle&quot;:&quot;&quot;},{&quot;family&quot;:&quot;Lin&quot;,&quot;given&quot;:&quot;Dongdong&quot;,&quot;parse-names&quot;:false,&quot;dropping-particle&quot;:&quot;&quot;,&quot;non-dropping-particle&quot;:&quot;&quot;},{&quot;family&quot;:&quot;Salman&quot;,&quot;given&quot;:&quot;Mustafa&quot;,&quot;parse-names&quot;:false,&quot;dropping-particle&quot;:&quot;&quot;,&quot;non-dropping-particle&quot;:&quot;&quot;},{&quot;family&quot;:&quot;Abrol&quot;,&quot;given&quot;:&quot;Anees&quot;,&quot;parse-names&quot;:false,&quot;dropping-particle&quot;:&quot;&quot;,&quot;non-dropping-particle&quot;:&quot;&quot;},{&quot;family&quot;:&quot;Rahaman&quot;,&quot;given&quot;:&quot;Md Abdur&quot;,&quot;parse-names&quot;:false,&quot;dropping-particle&quot;:&quot;&quot;,&quot;non-dropping-particle&quot;:&quot;&quot;},{&quot;family&quot;:&quot;Chen&quot;,&quot;given&quot;:&quot;Jiayu&quot;,&quot;parse-names&quot;:false,&quot;dropping-particle&quot;:&quot;&quot;,&quot;non-dropping-particle&quot;:&quot;&quot;},{&quot;family&quot;:&quot;Hong&quot;,&quot;given&quot;:&quot;L. Elliot&quot;,&quot;parse-names&quot;:false,&quot;dropping-particle&quot;:&quot;&quot;,&quot;non-dropping-particle&quot;:&quot;&quot;},{&quot;family&quot;:&quot;Kochunov&quot;,&quot;given&quot;:&quot;Peter&quot;,&quot;parse-names&quot;:false,&quot;dropping-particle&quot;:&quot;&quot;,&quot;non-dropping-particle&quot;:&quot;&quot;},{&quot;family&quot;:&quot;Osuch&quot;,&quot;given&quot;:&quot;Elizabeth A.&quot;,&quot;parse-names&quot;:false,&quot;dropping-particle&quot;:&quot;&quot;,&quot;non-dropping-particle&quot;:&quot;&quot;},{&quot;family&quot;:&quot;Calhoun&quot;,&quot;given&quot;:&quot;Vince D.&quot;,&quot;parse-names&quot;:false,&quot;dropping-particle&quot;:&quot;&quot;,&quot;non-dropping-particle&quot;:&quot;&quot;}],&quot;container-title&quot;:&quot;NeuroImage: Clinical&quot;,&quot;container-title-short&quot;:&quot;Neuroimage Clin&quot;,&quot;accessed&quot;:{&quot;date-parts&quot;:[[2023,8,9]]},&quot;DOI&quot;:&quot;10.1016/j.nicl.2020.102375&quot;,&quot;ISSN&quot;:&quot;22131582&quot;,&quot;PMID&quot;:&quot;32961402&quot;,&quot;URL&quot;:&quot;http://www.ncbi.nlm.nih.gov/pubmed/32961402&quot;,&quot;issued&quot;:{&quot;date-parts&quot;:[[2020,1,1]]},&quot;page&quot;:&quot;102375&quot;,&quot;abstract&quot;:&quot;Many mental illnesses share overlapping or similar clinical symptoms, confounding the diagnosis. It is important to systematically characterize the degree to which unique and similar changing patterns are reflective of brain disorders. Increasing sharing initiatives on neuroimaging data have provided unprecedented opportunities to study brain disorders. However, it is still an open question on replicating and translating findings across studies. Standardized approaches for capturing reproducible and comparable imaging markers are greatly needed. Here, we propose a pipeline based on the priori-driven independent component analysis, NeuroMark, which is capable of estimating brain functional network measures from functional magnetic resonance imaging (fMRI) data that can be used to link brain network abnormalities among different datasets, studies, and disorders. NeuroMark automatically estimates features adaptable to each individual subject and comparable across datasets/studies/disorders by taking advantage of the reliable brain network templates extracted from 1828 healthy controls as guidance. Four studies including 2442 subjects were conducted spanning six brain disorders (schizophrenia, autism spectrum disorder, mild cognitive impairment, Alzheimer's disease, bipolar disorder, and major depressive disorder) to evaluate validity of the proposed pipeline from different perspectives (replication of brain abnormalities, cross-study comparison, identification of subtle brain changes, and multi-disorder classification using identified biomarkers). Our results highlight that NeuroMark effectively identified replicated brain network abnormalities of schizophrenia across different datasets; revealed interesting neural clues on the overlap and specificity between autism and schizophrenia; demonstrated brain functional impairments present to varying degrees in mild cognitive impairments and Alzheimer's disease; and captured biomarkers that achieved good performance in classifying bipolar disorder and major depressive disorder.&quot;,&quot;publisher&quot;:&quot;Elsevier&quot;,&quot;volume&quot;:&quot;28&quot;},&quot;isTemporary&quot;:false}],&quot;citationTag&quot;:&quot;MENDELEY_CITATION_v3_eyJjaXRhdGlvbklEIjoiTUVOREVMRVlfQ0lUQVRJT05fODg4MjdlYjYtYjMwNy00MjEwLTg2OGMtMDM5MjI4ZWQwOTBl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quot;}]"/>
    <we:property name="MENDELEY_CITATIONS_STYLE" value="{&quot;id&quot;:&quot;https://csl.mendeley.com/styles/503544141/chicago-author-date-allauthors&quot;,&quot;title&quot;:&quot;Chicago Manual of Style 17th edition (author-date) - David Blair&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36349-64D3-414B-8427-C22D0065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{4BBB9819-E4E8-6443-B669-6C147F6F1436}tf10002076.dotx</Template>
  <TotalTime>377</TotalTime>
  <Pages>7</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Sutherland Blair</cp:lastModifiedBy>
  <cp:revision>88</cp:revision>
  <dcterms:created xsi:type="dcterms:W3CDTF">2023-12-01T16:45:00Z</dcterms:created>
  <dcterms:modified xsi:type="dcterms:W3CDTF">2024-02-27T00:35:00Z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http://csl.mendeley.com/styles/503544141/chicago-author-date-allauthors</vt:lpwstr>
  </property>
  <property fmtid="{D5CDD505-2E9C-101B-9397-08002B2CF9AE}" pid="10" name="Mendeley Recent Style Name 3_1">
    <vt:lpwstr>Chicago Manual of Style 17th edition (author-date) - David Blair</vt:lpwstr>
  </property>
  <property fmtid="{D5CDD505-2E9C-101B-9397-08002B2CF9AE}" pid="11" name="Mendeley Recent Style Id 4_1">
    <vt:lpwstr>http://www.zotero.org/styles/chicago-fullnote-bibliography</vt:lpwstr>
  </property>
  <property fmtid="{D5CDD505-2E9C-101B-9397-08002B2CF9AE}" pid="12" name="Mendeley Recent Style Name 4_1">
    <vt:lpwstr>Chicago Manual of Style 17th edition (full note)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http://www.zotero.org/styles/neuroimage-clinical</vt:lpwstr>
  </property>
  <property fmtid="{D5CDD505-2E9C-101B-9397-08002B2CF9AE}" pid="22" name="Mendeley Recent Style Name 9_1">
    <vt:lpwstr>NeuroImage: Clinical</vt:lpwstr>
  </property>
</Properties>
</file>