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מגיש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ברודסקי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[10,34,45,56,67,77,88,99,100,103]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100.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. 77&lt;100.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99&lt;100.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))        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בונוס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אינטרפולארי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יפורט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אינטרפולארי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לניארי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אקספוננציאלי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אינטרפולארי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הגירסה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