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2A591324" w:rsidR="00AB69DA" w:rsidRPr="00050732" w:rsidRDefault="00660362" w:rsidP="006A741D">
      <w:pPr>
        <w:pStyle w:val="Title"/>
        <w:rPr>
          <w:sz w:val="36"/>
          <w:szCs w:val="36"/>
        </w:rPr>
      </w:pPr>
      <w:r>
        <w:rPr>
          <w:sz w:val="36"/>
          <w:szCs w:val="36"/>
        </w:rPr>
        <w:t>Off</w:t>
      </w:r>
      <w:r w:rsidR="009A1A73">
        <w:rPr>
          <w:sz w:val="36"/>
          <w:szCs w:val="36"/>
        </w:rPr>
        <w:t>line</w:t>
      </w:r>
      <w:r>
        <w:rPr>
          <w:sz w:val="36"/>
          <w:szCs w:val="36"/>
        </w:rPr>
        <w:t xml:space="preserve"> crime </w:t>
      </w:r>
      <w:r w:rsidR="00050732">
        <w:rPr>
          <w:sz w:val="36"/>
          <w:szCs w:val="36"/>
        </w:rPr>
        <w:t>returns</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050732">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in Northern Ireland</w:t>
      </w:r>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Yongyu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Buil-Gil. G18 Humanities </w:t>
      </w:r>
      <w:proofErr w:type="spellStart"/>
      <w:r>
        <w:t>Bridgeford</w:t>
      </w:r>
      <w:proofErr w:type="spellEnd"/>
      <w:r>
        <w:t xml:space="preserve">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Guideline does not specify wordcount</w:t>
      </w:r>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398D0031" w14:textId="44CE7E32" w:rsidR="009235CB" w:rsidRDefault="00E20D9F" w:rsidP="00E20D9F">
      <w:pPr>
        <w:pStyle w:val="Heading1"/>
        <w:jc w:val="both"/>
      </w:pPr>
      <w:r w:rsidRPr="00E20D9F">
        <w:lastRenderedPageBreak/>
        <w:t>1.</w:t>
      </w:r>
      <w:r>
        <w:t xml:space="preserve"> </w:t>
      </w:r>
      <w:r w:rsidR="009235CB">
        <w:t>Introduction</w:t>
      </w:r>
    </w:p>
    <w:p w14:paraId="3FE91F99" w14:textId="4C380585"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(on 2</w:t>
      </w:r>
      <w:r w:rsidR="006A741D">
        <w:t>9</w:t>
      </w:r>
      <w:r w:rsidR="00C36C12" w:rsidRPr="00C36C12">
        <w:rPr>
          <w:vertAlign w:val="superscript"/>
        </w:rPr>
        <w:t>th</w:t>
      </w:r>
      <w:r w:rsidR="00C36C12">
        <w:t xml:space="preserve"> June 2021, the World Health Organization ha</w:t>
      </w:r>
      <w:r w:rsidR="006A741D">
        <w:t>d</w:t>
      </w:r>
      <w:r w:rsidR="00C36C12">
        <w:t xml:space="preserve"> recorded more than 1</w:t>
      </w:r>
      <w:r w:rsidR="006A741D">
        <w:t>81</w:t>
      </w:r>
      <w:r w:rsidR="00C36C12">
        <w:t xml:space="preserve"> million cases and almost 4 million deaths),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C36C12">
        <w:t>multiple social domains, including</w:t>
      </w:r>
      <w:r w:rsidR="002C0BAA">
        <w:t xml:space="preserve"> </w:t>
      </w:r>
      <w:r w:rsidR="00C36C12">
        <w:t>psychological wellbeing (</w:t>
      </w:r>
      <w:proofErr w:type="spellStart"/>
      <w:r w:rsidR="00AD3BA7">
        <w:t>Krendl</w:t>
      </w:r>
      <w:proofErr w:type="spellEnd"/>
      <w:r w:rsidR="00AD3BA7">
        <w:t xml:space="preserve"> and Perry, 2021; </w:t>
      </w:r>
      <w:r w:rsidR="00AD3BA7" w:rsidRPr="00AD3BA7">
        <w:t>Rajkumar</w:t>
      </w:r>
      <w:r w:rsidR="00AD3BA7">
        <w:t>, 2020</w:t>
      </w:r>
      <w:r w:rsidR="00C36C12">
        <w:t>), inequality (</w:t>
      </w:r>
      <w:r w:rsidR="00AD3BA7">
        <w:t xml:space="preserve">Abedi et al., 2021; </w:t>
      </w:r>
      <w:proofErr w:type="spellStart"/>
      <w:r w:rsidR="00AD3BA7">
        <w:t>Czymara</w:t>
      </w:r>
      <w:proofErr w:type="spellEnd"/>
      <w:r w:rsidR="00AD3BA7">
        <w:t xml:space="preserve"> et al., 2021</w:t>
      </w:r>
      <w:r w:rsidR="00C36C12">
        <w:t xml:space="preserve">), </w:t>
      </w:r>
      <w:r w:rsidR="00386474">
        <w:t>the subsistence of small</w:t>
      </w:r>
      <w:r w:rsidR="00225800">
        <w:t xml:space="preserve"> and medium</w:t>
      </w:r>
      <w:r w:rsidR="00386474">
        <w:t xml:space="preserve"> businesses</w:t>
      </w:r>
      <w:r w:rsidR="00C36C12">
        <w:t xml:space="preserve"> (</w:t>
      </w:r>
      <w:proofErr w:type="spellStart"/>
      <w:r w:rsidR="00FE56D5">
        <w:t>Bartik</w:t>
      </w:r>
      <w:proofErr w:type="spellEnd"/>
      <w:r w:rsidR="00FE56D5">
        <w:t xml:space="preserve"> et al., 2020</w:t>
      </w:r>
      <w:r w:rsidR="00C36C12">
        <w:t xml:space="preserve">) and crime </w:t>
      </w:r>
      <w:r w:rsidR="002C0BAA">
        <w:t xml:space="preserve">rates </w:t>
      </w:r>
      <w:r w:rsidR="00C36C12">
        <w:t>(</w:t>
      </w:r>
      <w:proofErr w:type="spellStart"/>
      <w:r w:rsidR="00FE56D5">
        <w:t>Nivette</w:t>
      </w:r>
      <w:proofErr w:type="spellEnd"/>
      <w:r w:rsidR="00FE56D5">
        <w:t xml:space="preserve"> et al., 2021</w:t>
      </w:r>
      <w:r w:rsidR="00C36C12">
        <w:t>).</w:t>
      </w:r>
    </w:p>
    <w:p w14:paraId="706FF81A" w14:textId="62E44CC9"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w:t>
      </w:r>
      <w:r w:rsidR="00C54311">
        <w:t>, Mexico (</w:t>
      </w:r>
      <w:proofErr w:type="spellStart"/>
      <w:r w:rsidR="00C54311">
        <w:t>Est</w:t>
      </w:r>
      <w:r w:rsidR="00C54311" w:rsidRPr="00C54311">
        <w:t>é</w:t>
      </w:r>
      <w:r w:rsidR="00C54311">
        <w:t>vez</w:t>
      </w:r>
      <w:proofErr w:type="spellEnd"/>
      <w:r w:rsidR="00C54311">
        <w:t>-Soto, 2021)</w:t>
      </w:r>
      <w:r>
        <w:t xml:space="preserve"> and many other countries (</w:t>
      </w:r>
      <w:proofErr w:type="spellStart"/>
      <w:r w:rsidR="004A2BA7">
        <w:t>Nivette</w:t>
      </w:r>
      <w:proofErr w:type="spellEnd"/>
      <w:r w:rsidR="004A2BA7">
        <w:t xml:space="preserv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proofErr w:type="spellStart"/>
      <w:r w:rsidR="00A57E48" w:rsidRPr="00A57E48">
        <w:t>Stechemesser</w:t>
      </w:r>
      <w:proofErr w:type="spellEnd"/>
      <w:r w:rsidR="00A57E48" w:rsidRPr="00A57E48">
        <w:t xml:space="preserve"> </w:t>
      </w:r>
      <w:r w:rsidR="00A57E48">
        <w:t>et al., 2020)</w:t>
      </w:r>
      <w:r>
        <w:t xml:space="preserve"> and </w:t>
      </w:r>
      <w:r w:rsidR="006F2495">
        <w:t xml:space="preserve">some forms of </w:t>
      </w:r>
      <w:r w:rsidR="00AF1CC7">
        <w:t>hacking</w:t>
      </w:r>
      <w:r>
        <w:t xml:space="preserve"> (</w:t>
      </w:r>
      <w:r w:rsidR="001C2614">
        <w:t>Buil-Gil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COVID</w:t>
      </w:r>
      <w:r w:rsidR="006F2495">
        <w:t>-19</w:t>
      </w:r>
      <w:r w:rsidR="00225800">
        <w:t xml:space="preserve"> </w:t>
      </w:r>
      <w:r w:rsidR="00EA673B">
        <w:t>pandemic, researchers noted that rates of traditional, offline crime started to bounce back to pre-COVID levels (</w:t>
      </w:r>
      <w:proofErr w:type="spellStart"/>
      <w:r w:rsidR="00C54311" w:rsidRPr="00C54311">
        <w:t>Balmori</w:t>
      </w:r>
      <w:proofErr w:type="spellEnd"/>
      <w:r w:rsidR="00C54311" w:rsidRPr="00C54311">
        <w:t xml:space="preserve"> de la </w:t>
      </w:r>
      <w:proofErr w:type="spellStart"/>
      <w:r w:rsidR="00C54311" w:rsidRPr="00C54311">
        <w:t>Miyar</w:t>
      </w:r>
      <w:proofErr w:type="spellEnd"/>
      <w:r w:rsidR="00C54311" w:rsidRPr="00C54311">
        <w:t xml:space="preserve"> et al.</w:t>
      </w:r>
      <w:r w:rsidR="00C54311">
        <w:t xml:space="preserve">, </w:t>
      </w:r>
      <w:r w:rsidR="00C54311" w:rsidRPr="00C54311">
        <w:t>2021</w:t>
      </w:r>
      <w:r w:rsidR="00C54311">
        <w:t xml:space="preserve">;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both offline and online crime, in Northern Ireland </w:t>
      </w:r>
      <w:r w:rsidR="007406D0">
        <w:t xml:space="preserve">during COVID-19 </w:t>
      </w:r>
      <w:r w:rsidR="00225800">
        <w:t>up until May 2021</w:t>
      </w:r>
      <w:r w:rsidR="007406D0">
        <w:t xml:space="preserve">,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2019).</w:t>
      </w:r>
    </w:p>
    <w:p w14:paraId="63BFDD75" w14:textId="58317C34" w:rsidR="00E25839" w:rsidRDefault="00E20D9F" w:rsidP="00362FF1">
      <w:pPr>
        <w:jc w:val="both"/>
      </w:pPr>
      <w:r>
        <w:t xml:space="preserve">The remainder of this paper is organised as follows: </w:t>
      </w:r>
      <w:r w:rsidR="008C2162">
        <w:t>Section 2 describes the main changes in routine activities seen during the COVID-19 pandemic</w:t>
      </w:r>
      <w:r w:rsidR="00AD7AC7">
        <w:t xml:space="preserve"> in Northern Ireland</w:t>
      </w:r>
      <w:r w:rsidR="006F2495">
        <w:t>.</w:t>
      </w:r>
      <w:r w:rsidR="008C2162">
        <w:t xml:space="preserve"> </w:t>
      </w:r>
      <w:r w:rsidR="00C257B0">
        <w:t xml:space="preserve">Section 3 describes </w:t>
      </w:r>
      <w:r w:rsidR="008C2162">
        <w:t xml:space="preserve">how </w:t>
      </w:r>
      <w:r w:rsidR="00C257B0">
        <w:t>changes in routine activities during COVID-19</w:t>
      </w:r>
      <w:r w:rsidR="008C2162">
        <w:t xml:space="preserve"> affected </w:t>
      </w:r>
      <w:r w:rsidR="006F2495">
        <w:t xml:space="preserve">crime </w:t>
      </w:r>
      <w:r w:rsidR="008C2162">
        <w:t xml:space="preserve">rates in different parts of the world. Section </w:t>
      </w:r>
      <w:r w:rsidR="00C257B0">
        <w:t>4</w:t>
      </w:r>
      <w:r w:rsidR="008C2162">
        <w:t xml:space="preserve"> introduces the data and analytical strategy. Section </w:t>
      </w:r>
      <w:r w:rsidR="006F2495">
        <w:t xml:space="preserve">5 </w:t>
      </w:r>
      <w:r w:rsidR="008C2162">
        <w:t xml:space="preserve">presents the results of the analysis, and Section </w:t>
      </w:r>
      <w:r w:rsidR="006F2495">
        <w:t>6</w:t>
      </w:r>
      <w:r w:rsidR="008C2162">
        <w:t xml:space="preserve"> presents the discussion and conclusions of the study. </w:t>
      </w:r>
    </w:p>
    <w:p w14:paraId="469DA941" w14:textId="5F9F178C" w:rsidR="00CF4591" w:rsidRDefault="00CF4591" w:rsidP="00CF4591">
      <w:pPr>
        <w:pStyle w:val="Heading1"/>
      </w:pPr>
      <w:r>
        <w:t>2. COVID-19 and changes in everyday life in Northern Ireland</w:t>
      </w:r>
    </w:p>
    <w:p w14:paraId="2088BF93" w14:textId="7E6875AC" w:rsidR="00CF4591" w:rsidRDefault="00CF4591" w:rsidP="00CF4591">
      <w:pPr>
        <w:jc w:val="both"/>
      </w:pPr>
      <w:r>
        <w:t>The timeline of the COVID-19 pandemic in Northern Ireland was similar to that of other parts of the UK and Europe. The first case of COVID-19 was detected in the town of Antrim on February 27</w:t>
      </w:r>
      <w:r w:rsidRPr="00A57E48">
        <w:rPr>
          <w:vertAlign w:val="superscript"/>
        </w:rPr>
        <w:t>th</w:t>
      </w:r>
      <w:r>
        <w:t xml:space="preserve"> 2020, and the number of cases rose steeply throughout March. In order to control the spread of the virus, the UK Government announced the first COVID national lockdown on March 23</w:t>
      </w:r>
      <w:r w:rsidRPr="00A57E48">
        <w:rPr>
          <w:vertAlign w:val="superscript"/>
        </w:rPr>
        <w:t>rd</w:t>
      </w:r>
      <w:r>
        <w:t>, which came into force three days later, on March 26</w:t>
      </w:r>
      <w:r w:rsidRPr="008D342F">
        <w:rPr>
          <w:vertAlign w:val="superscript"/>
        </w:rPr>
        <w:t>th</w:t>
      </w:r>
      <w:r>
        <w:t xml:space="preserve">. All non-essential social and business activity was restricted for weeks, and non-essential shops, schools and universities, businesses, pubs and other venues were </w:t>
      </w:r>
      <w:r>
        <w:lastRenderedPageBreak/>
        <w:t>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5C325032" w14:textId="034EB59F" w:rsidR="00A946C1" w:rsidRDefault="00A946C1" w:rsidP="00CF4591">
      <w:pPr>
        <w:jc w:val="both"/>
      </w:pPr>
    </w:p>
    <w:p w14:paraId="1304AC96" w14:textId="1FCBDB11" w:rsidR="007A702F" w:rsidRDefault="007A702F" w:rsidP="00CF4591">
      <w:pPr>
        <w:jc w:val="both"/>
      </w:pPr>
      <w:r>
        <w:rPr>
          <w:noProof/>
        </w:rPr>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Percent change from baseline in m</w:t>
      </w:r>
      <w:r>
        <w:rPr>
          <w:i/>
          <w:iCs/>
        </w:rPr>
        <w:t>obility indicators in Belfast (February 15</w:t>
      </w:r>
      <w:r w:rsidRPr="007C1100">
        <w:rPr>
          <w:i/>
          <w:iCs/>
          <w:vertAlign w:val="superscript"/>
        </w:rPr>
        <w:t>th</w:t>
      </w:r>
      <w:r w:rsidR="00A946C1">
        <w:rPr>
          <w:i/>
          <w:iCs/>
        </w:rPr>
        <w:t xml:space="preserve"> 2020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4" w:history="1">
        <w:r w:rsidRPr="0015475C">
          <w:rPr>
            <w:rStyle w:val="Hyperlink"/>
            <w:i/>
            <w:iCs/>
          </w:rPr>
          <w:t>https://www.google.com/covid19/mobility/index.html?hl=en</w:t>
        </w:r>
      </w:hyperlink>
      <w:r>
        <w:rPr>
          <w:i/>
          <w:iCs/>
        </w:rPr>
        <w:t>)</w:t>
      </w:r>
    </w:p>
    <w:p w14:paraId="626DF1BE" w14:textId="6E3788A7"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r>
        <w:t xml:space="preserve"> </w:t>
      </w:r>
      <w:r w:rsidRPr="004A14EE">
        <w:t>2020</w:t>
      </w:r>
      <w:r>
        <w:t>, which officially began on October 16</w:t>
      </w:r>
      <w:r w:rsidRPr="00176BF5">
        <w:rPr>
          <w:vertAlign w:val="superscript"/>
        </w:rPr>
        <w:t>th</w:t>
      </w:r>
      <w:r>
        <w:t>. This second lockdown involved the closure of schools, universities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COVID-19 lockdown. </w:t>
      </w:r>
      <w:r>
        <w:t>Further restriction</w:t>
      </w:r>
      <w:r w:rsidR="001A410E">
        <w:t>s, mostly related to the closure of</w:t>
      </w:r>
      <w:r>
        <w:t xml:space="preserve"> cafes, hospitality, non-essential shops and gyms</w:t>
      </w:r>
      <w:r w:rsidR="001A410E">
        <w:t>,</w:t>
      </w:r>
      <w:r>
        <w:t xml:space="preserve"> were introduced on November 27</w:t>
      </w:r>
      <w:r w:rsidRPr="004904E2">
        <w:rPr>
          <w:vertAlign w:val="superscript"/>
        </w:rPr>
        <w:t>th</w:t>
      </w:r>
      <w:r>
        <w:t xml:space="preserve">. The second Northern Ireland lockdown was mostly lifted by the second week of December. </w:t>
      </w:r>
    </w:p>
    <w:p w14:paraId="75573457" w14:textId="6E5681D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up over Christmas. </w:t>
      </w:r>
      <w:r w:rsidR="00CF4591">
        <w:t>Some mobility restrictions were later hardened on 8</w:t>
      </w:r>
      <w:r w:rsidR="00CF4591" w:rsidRPr="00176BF5">
        <w:rPr>
          <w:vertAlign w:val="superscript"/>
        </w:rPr>
        <w:t>th</w:t>
      </w:r>
      <w:r w:rsidR="00CF4591">
        <w:t xml:space="preserve"> January 2021, when a stay-at-home order came into force due to the </w:t>
      </w:r>
      <w:r w:rsidR="00CF4591">
        <w:lastRenderedPageBreak/>
        <w:t xml:space="preserve">spread of a new variant of the virus. This last lockdown meant that </w:t>
      </w:r>
      <w:r w:rsidR="00CF4591" w:rsidRPr="007406D0">
        <w:t xml:space="preserve">people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Christmas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 progressively to the pre-COVID baseline.</w:t>
      </w:r>
    </w:p>
    <w:p w14:paraId="07C12CDE" w14:textId="028E214B" w:rsidR="00AD7AC7" w:rsidRDefault="00AD7AC7" w:rsidP="00362FF1">
      <w:pPr>
        <w:jc w:val="both"/>
      </w:pPr>
      <w:r>
        <w:t xml:space="preserve">All </w:t>
      </w:r>
      <w:r w:rsidR="00C257B0">
        <w:t>these unprecedented changes in routine activities brought about by the COVID-19 lockdowns are expected to have short- and medium-term impacts in crime, as seen in other parts of the world (</w:t>
      </w:r>
      <w:proofErr w:type="spellStart"/>
      <w:r w:rsidR="00C257B0">
        <w:t>Nivette</w:t>
      </w:r>
      <w:proofErr w:type="spellEnd"/>
      <w:r w:rsidR="00C257B0">
        <w:t xml:space="preserve"> et al., 2021). More specifically, we will analyse changes in crime rates after the first lockdown (March 23</w:t>
      </w:r>
      <w:r w:rsidR="00C257B0" w:rsidRPr="00C257B0">
        <w:rPr>
          <w:vertAlign w:val="superscript"/>
        </w:rPr>
        <w:t>rd</w:t>
      </w:r>
      <w:r w:rsidR="00C257B0">
        <w:t xml:space="preserve"> 2020),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 in Northern Ireland.</w:t>
      </w:r>
    </w:p>
    <w:p w14:paraId="3EFE2B3D" w14:textId="13009422" w:rsidR="009235CB" w:rsidRDefault="00C257B0" w:rsidP="00362FF1">
      <w:pPr>
        <w:pStyle w:val="Heading1"/>
        <w:jc w:val="both"/>
      </w:pPr>
      <w:r>
        <w:t>3</w:t>
      </w:r>
      <w:r w:rsidR="00E20D9F">
        <w:t xml:space="preserve">. </w:t>
      </w:r>
      <w:r w:rsidR="006F2495">
        <w:t>Rapid s</w:t>
      </w:r>
      <w:r w:rsidR="009235CB">
        <w:t>ocial changes and crime: The COVID-19 case</w:t>
      </w:r>
    </w:p>
    <w:p w14:paraId="722FA835" w14:textId="779991B2"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w:t>
      </w:r>
      <w:r w:rsidR="00B135FA">
        <w:t>observed</w:t>
      </w:r>
      <w:r w:rsidR="00946297">
        <w:t xml:space="preserve"> that property and violent crime was increasing in the United Stated mainly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Routine Activity Approach has been applied to explain the effect </w:t>
      </w:r>
      <w:r w:rsidR="00BA2FAD">
        <w:t xml:space="preserve">of natural disasters on crime (Leitner et al., 2011), the impact </w:t>
      </w:r>
      <w:r w:rsidR="00946297">
        <w:t>of</w:t>
      </w:r>
      <w:r w:rsidR="00BA2FAD">
        <w:t xml:space="preserve"> </w:t>
      </w:r>
      <w:r w:rsidR="0010584D">
        <w:t xml:space="preserve">rapid </w:t>
      </w:r>
      <w:r w:rsidR="00980EE5">
        <w:t xml:space="preserve">structural </w:t>
      </w:r>
      <w:r w:rsidR="006213A8">
        <w:t>and political</w:t>
      </w:r>
      <w:r w:rsidR="00BA2FAD">
        <w:t xml:space="preserve"> changes related to</w:t>
      </w:r>
      <w:r w:rsidR="00946297">
        <w:t xml:space="preserve"> joining the European Union on crime </w:t>
      </w:r>
      <w:r w:rsidR="00BA2FAD">
        <w:t xml:space="preserve">in </w:t>
      </w:r>
      <w:r w:rsidR="00BA2FAD" w:rsidRPr="00BA2FAD">
        <w:t>Eastern Europe</w:t>
      </w:r>
      <w:r w:rsidR="00BA2FAD">
        <w:t xml:space="preserve"> (</w:t>
      </w:r>
      <w:proofErr w:type="spellStart"/>
      <w:r w:rsidR="00BA2FAD" w:rsidRPr="00BA2FAD">
        <w:t>Piatkowska</w:t>
      </w:r>
      <w:proofErr w:type="spellEnd"/>
      <w:r w:rsidR="00BA2FAD">
        <w:t xml:space="preserve"> et al., 2016), and </w:t>
      </w:r>
      <w:r w:rsidR="00980EE5">
        <w:t>changes in</w:t>
      </w:r>
      <w:r w:rsidR="00BA2FAD">
        <w:t xml:space="preserve"> crime during </w:t>
      </w:r>
      <w:r w:rsidR="008B3957">
        <w:t xml:space="preserve">US </w:t>
      </w:r>
      <w:r w:rsidR="00BA2FAD" w:rsidRPr="00BA2FAD">
        <w:t>National Football League</w:t>
      </w:r>
      <w:r w:rsidR="00BA2FAD">
        <w:t xml:space="preserve"> games (</w:t>
      </w:r>
      <w:proofErr w:type="spellStart"/>
      <w:r w:rsidR="00BA2FAD">
        <w:t>Kalist</w:t>
      </w:r>
      <w:proofErr w:type="spellEnd"/>
      <w:r w:rsidR="00BA2FAD">
        <w:t xml:space="preserve"> and Lee, 2014), to mention just some examples. However, no event in recent history has affected everyday routine activities as much as COVID-19 and the associated lockdown </w:t>
      </w:r>
      <w:r w:rsidR="00980EE5">
        <w:t>measures</w:t>
      </w:r>
      <w:r w:rsidR="00BA2FAD">
        <w:t>. Researchers from all over the world have presented evidence that changes in routine activities associated with stay-at-home orders had severe impacts on crime.</w:t>
      </w:r>
    </w:p>
    <w:p w14:paraId="4EF97A73" w14:textId="58DB5D99" w:rsidR="00C257B0" w:rsidRDefault="0056217D" w:rsidP="00362FF1">
      <w:pPr>
        <w:jc w:val="both"/>
      </w:pPr>
      <w:r>
        <w:t xml:space="preserve">After the first COVID-19 lockdowns were announces in </w:t>
      </w:r>
      <w:r w:rsidR="006213A8">
        <w:t>many</w:t>
      </w:r>
      <w:r>
        <w:t xml:space="preserve"> countries in March 2020, several researchers noted immediate changes in crime. </w:t>
      </w:r>
      <w:r w:rsidR="00E15EB6">
        <w:t xml:space="preserve">Mohler et al. (2020) analysed calls for police services in Los Angeles and Indianapolis between January and April 2020 and observed that burglary and robbery reports decreased immediately after the first COVID-19 </w:t>
      </w:r>
      <w:r w:rsidR="006213A8">
        <w:t>stay-at-home order</w:t>
      </w:r>
      <w:r w:rsidR="00E15EB6">
        <w:t>, but such reduction was more evident in Los Angeles than Indianapolis. Both cities</w:t>
      </w:r>
      <w:r w:rsidR="008B3957">
        <w:t xml:space="preserve"> </w:t>
      </w:r>
      <w:r w:rsidR="00E15EB6">
        <w:t xml:space="preserve">saw important decreases in traffic stops and increases in calls related to domestic violence. </w:t>
      </w:r>
      <w:r w:rsidR="00DD13DB">
        <w:t xml:space="preserve">Also using Los Angeles crime data, </w:t>
      </w:r>
      <w:proofErr w:type="spellStart"/>
      <w:r w:rsidR="00DD13DB">
        <w:t>Campedelli</w:t>
      </w:r>
      <w:proofErr w:type="spellEnd"/>
      <w:r w:rsidR="00DD13DB">
        <w:t xml:space="preserve"> et al. (2020</w:t>
      </w:r>
      <w:r w:rsidR="001641C1">
        <w:t>a</w:t>
      </w:r>
      <w:r w:rsidR="00DD13DB">
        <w:t>)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recorded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 though</w:t>
      </w:r>
      <w:r w:rsidR="00DD13DB">
        <w:t xml:space="preserve"> </w:t>
      </w:r>
      <w:r w:rsidR="006213A8">
        <w:t>such change did not happen in other cities.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 xml:space="preserve">there was a large decrease in shoplifting, theft, theft from vehicle, domestic abuse, assault and residential and non-residential burglary. Similar results were found in other countries, including </w:t>
      </w:r>
      <w:r w:rsidR="00465647">
        <w:lastRenderedPageBreak/>
        <w:t>Sweden, where assault, pickpocketing and burglary decreased</w:t>
      </w:r>
      <w:r w:rsidR="008B3957">
        <w:t>,</w:t>
      </w:r>
      <w:r w:rsidR="00465647">
        <w:t xml:space="preserve"> </w:t>
      </w:r>
      <w:r w:rsidR="008B3957">
        <w:t>but</w:t>
      </w:r>
      <w:r w:rsidR="00465647">
        <w:t xml:space="preserve"> robbery and drug crime did not </w:t>
      </w:r>
      <w:r w:rsidR="006213A8">
        <w:t xml:space="preserve">see changes </w:t>
      </w:r>
      <w:r w:rsidR="00465647">
        <w:t>(</w:t>
      </w:r>
      <w:proofErr w:type="spellStart"/>
      <w:r w:rsidR="00465647">
        <w:t>Gerell</w:t>
      </w:r>
      <w:proofErr w:type="spellEnd"/>
      <w:r w:rsidR="00465647">
        <w:t xml:space="preserve"> et al., 2020)</w:t>
      </w:r>
      <w:r w:rsidR="001641C1">
        <w:t>,</w:t>
      </w:r>
      <w:r w:rsidR="009570DE">
        <w:t xml:space="preserve"> and Australia, where all property crime</w:t>
      </w:r>
      <w:r w:rsidR="0010584D">
        <w:t>,</w:t>
      </w:r>
      <w:r w:rsidR="009570DE">
        <w:t xml:space="preserve"> </w:t>
      </w:r>
      <w:r w:rsidR="001641C1">
        <w:t>except</w:t>
      </w:r>
      <w:r w:rsidR="009570DE">
        <w:t xml:space="preserve"> fraud, decreased </w:t>
      </w:r>
      <w:r w:rsidR="006213A8">
        <w:t>after</w:t>
      </w:r>
      <w:r w:rsidR="009570DE">
        <w:t xml:space="preserve"> March 2020 (Payne et al., 2021)</w:t>
      </w:r>
      <w:r w:rsidR="001641C1">
        <w:t xml:space="preserve">. </w:t>
      </w:r>
      <w:proofErr w:type="spellStart"/>
      <w:r w:rsidR="001641C1">
        <w:t>Nivette</w:t>
      </w:r>
      <w:proofErr w:type="spellEnd"/>
      <w:r w:rsidR="001641C1">
        <w:t xml:space="preserve"> et al. (2021) recorded crime data from </w:t>
      </w:r>
      <w:r w:rsidR="001641C1" w:rsidRPr="001641C1">
        <w:t>27 cities across 23 countries</w:t>
      </w:r>
      <w:r w:rsidR="001641C1">
        <w:t xml:space="preserve"> and concluded that </w:t>
      </w:r>
      <w:r w:rsidR="001641C1" w:rsidRPr="001641C1">
        <w:t xml:space="preserve">stay-at-home </w:t>
      </w:r>
      <w:r w:rsidR="001641C1">
        <w:t>orders contributed to a</w:t>
      </w:r>
      <w:r w:rsidR="001641C1" w:rsidRPr="001641C1">
        <w:t xml:space="preserve"> considerable drop in urban crime</w:t>
      </w:r>
      <w:r w:rsidR="001641C1">
        <w:t xml:space="preserve"> in most cases. The immediate effect of lockdown measures on crime </w:t>
      </w:r>
      <w:r w:rsidR="006213A8">
        <w:t>varied</w:t>
      </w:r>
      <w:r w:rsidR="001641C1">
        <w:t xml:space="preserve"> across </w:t>
      </w:r>
      <w:r w:rsidR="0010584D">
        <w:t>geographic</w:t>
      </w:r>
      <w:r w:rsidR="001641C1">
        <w:t xml:space="preserve"> areas in each city (</w:t>
      </w:r>
      <w:proofErr w:type="spellStart"/>
      <w:r w:rsidR="001641C1">
        <w:t>Campedelli</w:t>
      </w:r>
      <w:proofErr w:type="spellEnd"/>
      <w:r w:rsidR="001641C1">
        <w:t xml:space="preserve"> et al., 2020b; </w:t>
      </w:r>
      <w:r w:rsidR="008B3957">
        <w:t xml:space="preserve">Payne et al., 2021; </w:t>
      </w:r>
      <w:r w:rsidR="001641C1">
        <w:t>Langton et al., 2021b</w:t>
      </w:r>
      <w:r w:rsidR="008B3957">
        <w:t>).</w:t>
      </w:r>
    </w:p>
    <w:p w14:paraId="179D5454" w14:textId="2BE5DC65"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COVID-19 lockdown</w:t>
      </w:r>
      <w:r w:rsidR="00AF1CC7">
        <w:t xml:space="preserve"> </w:t>
      </w:r>
      <w:r w:rsidR="00281E7C">
        <w:t xml:space="preserve">had </w:t>
      </w:r>
      <w:r w:rsidR="00AF1CC7">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May 2019 and May 2020</w:t>
      </w:r>
      <w:r w:rsidR="00AF1CC7">
        <w:t>, Buil-Gil et al. (2021) observed significant increases in</w:t>
      </w:r>
      <w:r w:rsidR="0010584D">
        <w:t xml:space="preserve"> some forms of</w:t>
      </w:r>
      <w:r w:rsidR="00AF1CC7">
        <w:t xml:space="preserve"> hacking and online shopping fraud after the first </w:t>
      </w:r>
      <w:r w:rsidR="00281E7C">
        <w:t>stay-at-home orders in the UK</w:t>
      </w:r>
      <w:r w:rsidR="00AF1CC7">
        <w:t xml:space="preserve">. </w:t>
      </w:r>
      <w:proofErr w:type="spellStart"/>
      <w:r w:rsidR="00281E7C">
        <w:t>Lallie</w:t>
      </w:r>
      <w:proofErr w:type="spellEnd"/>
      <w:r w:rsidR="00281E7C">
        <w:t xml:space="preserve"> et al. (2021) </w:t>
      </w:r>
      <w:r w:rsidR="001D4CB5">
        <w:t>searched</w:t>
      </w:r>
      <w:r w:rsidR="00281E7C">
        <w:t xml:space="preserve"> </w:t>
      </w:r>
      <w:r w:rsidR="001D4CB5">
        <w:t>for</w:t>
      </w:r>
      <w:r w:rsidR="00281E7C">
        <w:t xml:space="preserve"> cyber-attacks </w:t>
      </w:r>
      <w:r w:rsidR="001D4CB5">
        <w:t>reported globally through online search engines and observed an increase in frequency of cybersecurity incidents such as phishing, malware and cyber-enabled fraud</w:t>
      </w:r>
      <w:r w:rsidR="00EE71EC">
        <w:t xml:space="preserve"> after February 2020</w:t>
      </w:r>
      <w:r w:rsidR="001D4CB5">
        <w:t xml:space="preserve">. Kemp et al. (2021) analysed reports of fraud and cybercrime </w:t>
      </w:r>
      <w:r w:rsidR="0010584D">
        <w:t xml:space="preserve">made </w:t>
      </w:r>
      <w:r w:rsidR="001D4CB5">
        <w:t>to</w:t>
      </w:r>
      <w:r w:rsidR="00EE71EC">
        <w:t xml:space="preserve"> the UK</w:t>
      </w:r>
      <w:r w:rsidR="001D4CB5">
        <w:t xml:space="preserve"> Action Fraud 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imposed by governments to control the virus</w:t>
      </w:r>
      <w:r w:rsidR="00EE71EC">
        <w:t xml:space="preserve"> contributed to an immediate </w:t>
      </w:r>
      <w:r w:rsidR="00185A7E">
        <w:t>spike</w:t>
      </w:r>
      <w:r w:rsidR="00EE71EC">
        <w:t xml:space="preserve"> in internet use for entertainment, including online gaming, streaming content and watching TV, </w:t>
      </w:r>
      <w:r w:rsidR="00185A7E">
        <w:t xml:space="preserve">teleworking, </w:t>
      </w:r>
      <w:r w:rsidR="00EE71EC">
        <w:t>socialising with family and friends through videocalls, buying products and services, and</w:t>
      </w:r>
      <w:r w:rsidR="00185A7E">
        <w:t xml:space="preserve"> meeting new people, thus increasing the amount of valuable crime targets in online environments, which created new opportunities for cybercrime. Other forms of crime </w:t>
      </w:r>
      <w:r w:rsidR="00633879">
        <w:t>enabled</w:t>
      </w:r>
      <w:r w:rsidR="00185A7E">
        <w:t xml:space="preserve"> by the internet also increased, for example, </w:t>
      </w:r>
      <w:proofErr w:type="spellStart"/>
      <w:r w:rsidR="00EE71EC" w:rsidRPr="00EE71EC">
        <w:t>Stechemesser</w:t>
      </w:r>
      <w:proofErr w:type="spellEnd"/>
      <w:r w:rsidR="00EE71EC">
        <w:t xml:space="preserve"> et al. (2020) recorded Tweets with anti-Chinese racist content between January and April 2020 and observed a large spike in online hate speech during March 2020</w:t>
      </w:r>
      <w:r w:rsidR="00185A7E">
        <w:t xml:space="preserve">. Interestingly, while it is likely that more people tried to acquire drugs through online </w:t>
      </w:r>
      <w:r w:rsidR="0010584D">
        <w:t xml:space="preserve">dark </w:t>
      </w:r>
      <w:r w:rsidR="00185A7E">
        <w:t xml:space="preserve">markets during the early stages of the pandemic, </w:t>
      </w:r>
      <w:r w:rsidR="00185A7E" w:rsidRPr="00185A7E">
        <w:t>Bergeron et al.</w:t>
      </w:r>
      <w:r w:rsidR="00185A7E">
        <w:t xml:space="preserve"> (</w:t>
      </w:r>
      <w:r w:rsidR="00185A7E" w:rsidRPr="00185A7E">
        <w:t>2020</w:t>
      </w:r>
      <w:r w:rsidR="00185A7E">
        <w:t xml:space="preserve">) observed an important </w:t>
      </w:r>
      <w:r w:rsidR="00671E67">
        <w:t>decrease</w:t>
      </w:r>
      <w:r w:rsidR="00185A7E">
        <w:t xml:space="preserve"> in successful deliveries of drug packages</w:t>
      </w:r>
      <w:r w:rsidR="00633879">
        <w:t>, which was</w:t>
      </w:r>
      <w:r w:rsidR="008B2CE6">
        <w:t xml:space="preserve"> explained by the impact of stay-at-home order on supply chains.</w:t>
      </w:r>
    </w:p>
    <w:p w14:paraId="400EEBD5" w14:textId="203AA3F3" w:rsidR="00FB41AC" w:rsidRDefault="00670C06" w:rsidP="00362FF1">
      <w:pPr>
        <w:jc w:val="both"/>
      </w:pPr>
      <w:r>
        <w:t xml:space="preserve">All this </w:t>
      </w:r>
      <w:r w:rsidR="000C1175">
        <w:t>body of literature</w:t>
      </w:r>
      <w:r>
        <w:t xml:space="preserve"> contributes to understanding the effect of large-scale</w:t>
      </w:r>
      <w:r w:rsidR="00671E67">
        <w:t>,</w:t>
      </w:r>
      <w:r>
        <w:t xml:space="preserv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(2021a) showed that, after the first COVID-19 lockdown in the UK, crime started to bounce back to pre-COVID levels. </w:t>
      </w:r>
      <w:r w:rsidR="00C9305B">
        <w:t xml:space="preserve">Similar results were </w:t>
      </w:r>
      <w:r w:rsidR="006B2E5A">
        <w:t>found</w:t>
      </w:r>
      <w:r w:rsidR="00C9305B">
        <w:t xml:space="preserve"> by </w:t>
      </w:r>
      <w:proofErr w:type="spellStart"/>
      <w:r w:rsidR="00C9305B" w:rsidRPr="00C9305B">
        <w:t>Balmori</w:t>
      </w:r>
      <w:proofErr w:type="spellEnd"/>
      <w:r w:rsidR="00C9305B" w:rsidRPr="00C9305B">
        <w:t xml:space="preserve"> de la </w:t>
      </w:r>
      <w:proofErr w:type="spellStart"/>
      <w:r w:rsidR="00C9305B" w:rsidRPr="00C9305B">
        <w:t>Miyar</w:t>
      </w:r>
      <w:proofErr w:type="spellEnd"/>
      <w:r w:rsidR="00C9305B">
        <w:t xml:space="preserve"> et al. (2021) using data recorded in Mexico. </w:t>
      </w:r>
      <w:r w:rsidR="002A78EF">
        <w:t xml:space="preserve">Nix and Richards (2021) observed that while domestic violence calls for services increased during the first stay-at-home order in six police jurisdictions in the US, </w:t>
      </w:r>
      <w:r w:rsidR="00671E67">
        <w:t>calls for police services</w:t>
      </w:r>
      <w:r w:rsidR="002A78EF">
        <w:t xml:space="preserve"> </w:t>
      </w:r>
      <w:r w:rsidR="00671E67">
        <w:t>returned</w:t>
      </w:r>
      <w:r w:rsidR="002A78EF">
        <w:t xml:space="preserve"> to pre-COVID levels when lockdown restrictions were lifted.</w:t>
      </w:r>
      <w:r w:rsidR="000C1175">
        <w:t xml:space="preserve"> </w:t>
      </w:r>
    </w:p>
    <w:p w14:paraId="42EEF01A" w14:textId="4C53385C" w:rsidR="009235CB" w:rsidRDefault="000C1175" w:rsidP="00362FF1">
      <w:pPr>
        <w:jc w:val="both"/>
      </w:pPr>
      <w:r>
        <w:t xml:space="preserve">Existent research appears to indicate that the quick changes in </w:t>
      </w:r>
      <w:r w:rsidR="00633879">
        <w:t xml:space="preserve">offline </w:t>
      </w:r>
      <w:r>
        <w:t xml:space="preserve">crime </w:t>
      </w:r>
      <w:proofErr w:type="spellStart"/>
      <w:r>
        <w:t>seen</w:t>
      </w:r>
      <w:proofErr w:type="spellEnd"/>
      <w:r>
        <w:t xml:space="preserve"> immediately after the first COVID-19 lockdown </w:t>
      </w:r>
      <w:r w:rsidR="00671E67">
        <w:t>were</w:t>
      </w:r>
      <w:r w:rsidR="006B2E5A">
        <w:t xml:space="preserve"> </w:t>
      </w:r>
      <w:r>
        <w:t xml:space="preserve">temporary, and crime trends </w:t>
      </w:r>
      <w:r w:rsidR="00633879">
        <w:t xml:space="preserve">progressively </w:t>
      </w:r>
      <w:r>
        <w:t>return</w:t>
      </w:r>
      <w:r w:rsidR="00671E67">
        <w:t>ed</w:t>
      </w:r>
      <w:r>
        <w:t xml:space="preserve"> to pre-COVID levels after social distancing restrictions are 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w:t>
      </w:r>
      <w:r w:rsidR="00671E67">
        <w:t xml:space="preserve">online </w:t>
      </w:r>
      <w:r w:rsidR="00DA45E8">
        <w:t>everyday practices may not be restricted to the pandemi</w:t>
      </w:r>
      <w:r w:rsidR="00671E67">
        <w:t>c</w:t>
      </w:r>
      <w:r w:rsidR="006B2E5A">
        <w:t xml:space="preserve"> </w:t>
      </w:r>
      <w:r w:rsidR="00DA45E8">
        <w:t>and may have</w:t>
      </w:r>
      <w:r w:rsidR="00671E67">
        <w:t xml:space="preserve"> a</w:t>
      </w:r>
      <w:r w:rsidR="00DA45E8">
        <w:t xml:space="preserve"> long term effect on cybercrime. </w:t>
      </w:r>
      <w:r w:rsidR="009403F2">
        <w:t>O</w:t>
      </w:r>
      <w:r w:rsidR="00DA45E8">
        <w:t>nline 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w:t>
      </w:r>
      <w:r w:rsidR="00DA45E8" w:rsidRPr="00CA1CF2">
        <w:lastRenderedPageBreak/>
        <w:t>National Statistics, 2021)</w:t>
      </w:r>
      <w:r w:rsidR="00671E67">
        <w:t>. T</w:t>
      </w:r>
      <w:r w:rsidR="009403F2" w:rsidRPr="00CA1CF2">
        <w:t>here is also an expected</w:t>
      </w:r>
      <w:r w:rsidR="009403F2">
        <w:t xml:space="preserve"> </w:t>
      </w:r>
      <w:r w:rsidR="006B2E5A">
        <w:t xml:space="preserve">long-term post-pandemic </w:t>
      </w:r>
      <w:r w:rsidR="009403F2">
        <w:t>upward use of online gaming, social media</w:t>
      </w:r>
      <w:r w:rsidR="006B2E5A">
        <w:t xml:space="preserve">, </w:t>
      </w:r>
      <w:r w:rsidR="004B72B5">
        <w:t xml:space="preserve">teleworking, </w:t>
      </w:r>
      <w:r w:rsidR="006B2E5A">
        <w:t>online food delivery</w:t>
      </w:r>
      <w:r w:rsidR="00633879">
        <w:t>, online conference platforms</w:t>
      </w:r>
      <w:r w:rsidR="009403F2">
        <w:t xml:space="preserve"> and online </w:t>
      </w:r>
      <w:r w:rsidR="009403F2" w:rsidRPr="006213A8">
        <w:t>dating (</w:t>
      </w:r>
      <w:r w:rsidR="004B72B5">
        <w:t xml:space="preserve">Nurse et al., 2021; </w:t>
      </w:r>
      <w:r w:rsidR="009403F2" w:rsidRPr="006213A8">
        <w:t>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 </w:t>
      </w:r>
      <w:r w:rsidR="006B2E5A">
        <w:t>For instance, Buil-Gil and Zeng (2021) observed that reports of cyber-enabled romance fraud in the UK continued growing nine months after the first COVID-19 lockdown.</w:t>
      </w:r>
      <w:r w:rsidR="00FB41AC">
        <w:t xml:space="preserve"> This research uses data recorded by the </w:t>
      </w:r>
      <w:r w:rsidR="00FB41AC" w:rsidRPr="00FB41AC">
        <w:t>Police Service of Northern Ireland between April 2015 and May 2021</w:t>
      </w:r>
      <w:r w:rsidR="00FB41AC">
        <w:t xml:space="preserve"> to analyse the effect of the first, second and third </w:t>
      </w:r>
      <w:r w:rsidR="00633879">
        <w:t xml:space="preserve">COVID-19 </w:t>
      </w:r>
      <w:r w:rsidR="00FB41AC">
        <w:t xml:space="preserve">lockdowns on short- and medium-term trends in crime, </w:t>
      </w:r>
      <w:r w:rsidR="00633879">
        <w:t xml:space="preserve">both </w:t>
      </w:r>
      <w:r w:rsidR="00FB41AC">
        <w:t>offline and online.</w:t>
      </w:r>
    </w:p>
    <w:p w14:paraId="6F1E2E89" w14:textId="55FCBF2E" w:rsidR="009235CB" w:rsidRDefault="00FB41AC" w:rsidP="00362FF1">
      <w:pPr>
        <w:pStyle w:val="Heading1"/>
        <w:jc w:val="both"/>
      </w:pPr>
      <w:r>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4C62D33D"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and downloaded from</w:t>
      </w:r>
      <w:r>
        <w:t xml:space="preserve"> the </w:t>
      </w:r>
      <w:r w:rsidR="00B32E43">
        <w:t>crime open data portal</w:t>
      </w:r>
      <w:r>
        <w:t xml:space="preserve"> of the police</w:t>
      </w:r>
      <w:r w:rsidR="00B32E43">
        <w:t xml:space="preserve"> </w:t>
      </w:r>
      <w:r w:rsidR="00BA0654">
        <w:t>(</w:t>
      </w:r>
      <w:hyperlink r:id="rId15"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6"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the impact of the COVID-19 lockdowns on both crime types</w:t>
      </w:r>
      <w:r>
        <w:t>. More specifically, we will analyse the following types of crime</w:t>
      </w:r>
      <w:r w:rsidR="00F031EC">
        <w:t xml:space="preserve"> aggregated in months</w:t>
      </w:r>
      <w:r>
        <w:t>:</w:t>
      </w:r>
    </w:p>
    <w:p w14:paraId="118B9FCE" w14:textId="0AF58221" w:rsidR="0011468F" w:rsidRDefault="0011468F" w:rsidP="0011468F">
      <w:pPr>
        <w:pStyle w:val="ListParagraph"/>
        <w:numPr>
          <w:ilvl w:val="0"/>
          <w:numId w:val="3"/>
        </w:numPr>
        <w:jc w:val="both"/>
      </w:pPr>
      <w:r>
        <w:t xml:space="preserve">Violence and sexual crime: including violence with injury, violence without injury, sexual offences, and </w:t>
      </w:r>
      <w:r w:rsidR="00CB328F">
        <w:t>robbery</w:t>
      </w:r>
      <w:r>
        <w:t>.</w:t>
      </w:r>
    </w:p>
    <w:p w14:paraId="58DCBECA" w14:textId="07CA45DA" w:rsidR="0011468F" w:rsidRDefault="0011468F" w:rsidP="0011468F">
      <w:pPr>
        <w:pStyle w:val="ListParagraph"/>
        <w:numPr>
          <w:ilvl w:val="0"/>
          <w:numId w:val="3"/>
        </w:numPr>
        <w:jc w:val="both"/>
      </w:pPr>
      <w:r w:rsidRPr="0011468F">
        <w:t>Drug crimes, damage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114C6B02" w:rsidR="0011468F" w:rsidRDefault="0011468F" w:rsidP="0011468F">
      <w:pPr>
        <w:pStyle w:val="ListParagraph"/>
        <w:numPr>
          <w:ilvl w:val="0"/>
          <w:numId w:val="3"/>
        </w:numPr>
        <w:jc w:val="both"/>
      </w:pPr>
      <w:r>
        <w:t xml:space="preserve">Theft and robbery: including theft from person, bicycle theft, theft of </w:t>
      </w:r>
      <w:r w:rsidR="00D21DC4">
        <w:t xml:space="preserve">or from </w:t>
      </w:r>
      <w:r>
        <w:t>vehicle,</w:t>
      </w:r>
      <w:r w:rsidR="00CB328F">
        <w:t xml:space="preserve"> and</w:t>
      </w:r>
      <w:r>
        <w:t xml:space="preserve"> shoplifting.</w:t>
      </w:r>
    </w:p>
    <w:p w14:paraId="2DD2322F" w14:textId="2CF07BE9" w:rsidR="0011468F" w:rsidRDefault="0011468F" w:rsidP="00F15B9A">
      <w:pPr>
        <w:pStyle w:val="ListParagraph"/>
        <w:numPr>
          <w:ilvl w:val="0"/>
          <w:numId w:val="3"/>
        </w:numPr>
        <w:jc w:val="both"/>
      </w:pPr>
      <w:r>
        <w:t xml:space="preserve">Fraud and cybercrime: including </w:t>
      </w:r>
      <w:r w:rsidR="00CB328F">
        <w:t>investment and advance fee fraud (</w:t>
      </w:r>
      <w:r w:rsidR="00CB328F" w:rsidRPr="0011468F">
        <w:t xml:space="preserve">when victims </w:t>
      </w:r>
      <w:r w:rsidR="00CB328F">
        <w:t xml:space="preserve">are asked </w:t>
      </w:r>
      <w:r w:rsidR="00CB328F" w:rsidRPr="0011468F">
        <w:t>to make upfront payments for goods</w:t>
      </w:r>
      <w:r w:rsidR="00CB328F">
        <w:t>,</w:t>
      </w:r>
      <w:r w:rsidR="00CB328F" w:rsidRPr="0011468F">
        <w:t xml:space="preserve"> services</w:t>
      </w:r>
      <w:r w:rsidR="00CB328F">
        <w:t>, schemes or products</w:t>
      </w:r>
      <w:r w:rsidR="00CB328F" w:rsidRPr="0011468F">
        <w:t xml:space="preserve"> that do not materialise</w:t>
      </w:r>
      <w:r w:rsidR="00CB328F">
        <w:t>; for example, fraud recovery scams, inheritance fraud, lender loan fraud, ‘419’ frauds</w:t>
      </w:r>
      <w:r w:rsidR="00671E67">
        <w:t>,</w:t>
      </w:r>
      <w:r w:rsidR="00CB328F">
        <w:t xml:space="preserve"> rental frauds, Pyramid schemes, pension scams or boiler room fraud), consumer fraud offline (for example, doorstep fraud and consumer non-investment fraud), consumer fraud o</w:t>
      </w:r>
      <w:r w:rsidR="00F15B9A">
        <w:t>n</w:t>
      </w:r>
      <w:r w:rsidR="00CB328F">
        <w:t>line (for example, online shopping fraud, computer software service fraud and consumer phone fraud)</w:t>
      </w:r>
      <w:r w:rsidR="00F15B9A">
        <w:t xml:space="preserve">, other types of fraud (for example, fraud by abuse of trust, corporate employee fraud, credit card fraud, driving licence fraud, charity fraud, false accounting or business trading fraud), </w:t>
      </w:r>
      <w:r w:rsidR="004C6E6E">
        <w:t>and cyber-enabled crime (crimes that can only take place online, such as hacking, denial of service attacks and computer viruses)</w:t>
      </w:r>
      <w:r w:rsidR="007768E1">
        <w:t>.</w:t>
      </w:r>
    </w:p>
    <w:p w14:paraId="3AAC7305" w14:textId="429586B1" w:rsidR="0011468F" w:rsidRDefault="007768E1" w:rsidP="00362FF1">
      <w:pPr>
        <w:jc w:val="both"/>
      </w:pPr>
      <w:r>
        <w:t xml:space="preserve">Thus, we analyse a variety of crime types that </w:t>
      </w:r>
      <w:r w:rsidR="00671E67">
        <w:t>could be</w:t>
      </w:r>
      <w:r w:rsidR="00C54311">
        <w:t xml:space="preserve"> </w:t>
      </w:r>
      <w:r>
        <w:t xml:space="preserve">affected in different ways by the mobility restrictions of the three COVID-19 lockdowns. </w:t>
      </w:r>
      <w:r w:rsidR="00A77B60">
        <w:t>For example, o</w:t>
      </w:r>
      <w:r>
        <w:t>pportunities for violence offences and theft are found mostly in ‘public places’ and thus were likely to decrease during stay-at-home orders</w:t>
      </w:r>
      <w:r w:rsidR="00A77B60">
        <w:t xml:space="preserve"> and return to normal levels after each lockdown</w:t>
      </w:r>
      <w:r>
        <w:t xml:space="preserve">. While residential burglary opportunities </w:t>
      </w:r>
      <w:r w:rsidR="00671E67">
        <w:t>were likely to</w:t>
      </w:r>
      <w:r>
        <w:t xml:space="preserve"> decrease </w:t>
      </w:r>
      <w:r w:rsidR="00C54311">
        <w:t xml:space="preserve">during lockdown </w:t>
      </w:r>
      <w:r>
        <w:t>due to the increase of ‘capable guardians’ at home, this may not be the case for non-residential burglaries</w:t>
      </w:r>
      <w:r w:rsidR="002E727F">
        <w:t xml:space="preserve"> (Felson et al., 2020)</w:t>
      </w:r>
      <w:r>
        <w:t xml:space="preserve">. Some fraud types are clearly cyber-enabled, such as online shopping fraud, and thus their opportunities were likely to increase with the </w:t>
      </w:r>
      <w:r>
        <w:lastRenderedPageBreak/>
        <w:t>increased</w:t>
      </w:r>
      <w:r w:rsidR="002E727F">
        <w:t xml:space="preserve"> of internet</w:t>
      </w:r>
      <w:r>
        <w:t xml:space="preserve"> use </w:t>
      </w:r>
      <w:r w:rsidR="00A77B60">
        <w:t>both during and after lockdown</w:t>
      </w:r>
      <w:r>
        <w:t xml:space="preserve">, while other fraud categories may be </w:t>
      </w:r>
      <w:r w:rsidR="00D564E1">
        <w:t>include both offline and online incidents</w:t>
      </w:r>
      <w:r>
        <w:t xml:space="preserve"> (for example, in the cas</w:t>
      </w:r>
      <w:r w:rsidR="00F15B9A">
        <w:t>e of investment and advance free fraud, Pyramid schemes or ‘419’ fraud</w:t>
      </w:r>
      <w:r w:rsidR="00D564E1">
        <w:t>s</w:t>
      </w:r>
      <w:r w:rsidR="00F15B9A">
        <w:t xml:space="preserve"> can be enabled by the internet in some cases, but they can also be committed offline</w:t>
      </w:r>
      <w:r w:rsidR="00935A52">
        <w:t>). Cyber-dependent crimes can only take place online. Moreover, while some of these crime types are typically seasonal and tend to increase during summer and decrease in winter (e.g., bicycle theft, criminal damage, violence)</w:t>
      </w:r>
      <w:r w:rsidR="00A77B60">
        <w:t>,</w:t>
      </w:r>
      <w:r w:rsidR="00935A52">
        <w:t xml:space="preserve"> others are less affected by seasonality (e.g., shoplifting, online shopping fraud, burglary</w:t>
      </w:r>
      <w:r w:rsidR="002E727F">
        <w:t>, cyber-dependent crime</w:t>
      </w:r>
      <w:r w:rsidR="00935A52">
        <w:t xml:space="preserve">), which will also enable us to foreground potential disruptions in seasonal </w:t>
      </w:r>
      <w:r w:rsidR="00A77B60">
        <w:t xml:space="preserve">crime </w:t>
      </w:r>
      <w:r w:rsidR="00F031EC">
        <w:t>patterns.</w:t>
      </w:r>
    </w:p>
    <w:p w14:paraId="56ACB371" w14:textId="78C06F2B" w:rsidR="009235CB" w:rsidRDefault="00FB41AC" w:rsidP="00362FF1">
      <w:pPr>
        <w:pStyle w:val="Heading2"/>
        <w:jc w:val="both"/>
      </w:pPr>
      <w:r>
        <w:t>4</w:t>
      </w:r>
      <w:r w:rsidR="00E20D9F">
        <w:t xml:space="preserve">.2 </w:t>
      </w:r>
      <w:r w:rsidR="009235CB">
        <w:t>Analytical approach</w:t>
      </w:r>
    </w:p>
    <w:p w14:paraId="1EDD02CD" w14:textId="26D09F98" w:rsidR="00F031EC" w:rsidRDefault="00F031EC" w:rsidP="00362FF1">
      <w:pPr>
        <w:jc w:val="both"/>
      </w:pPr>
      <w:r>
        <w:t>In order to analyse the immediate effect of each COVID-19 lockdown on crime, but also the medium-term changes in crime after each lockdown, we will utilise ITS analysis based on segmented linear regressions. The ITS</w:t>
      </w:r>
      <w:r w:rsidR="00C54311">
        <w:t xml:space="preserve"> segmented linear</w:t>
      </w:r>
      <w:r>
        <w:t xml:space="preserve">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65B76AA" w:rsidR="00B32E43" w:rsidRDefault="00F031EC" w:rsidP="00362FF1">
      <w:pPr>
        <w:jc w:val="both"/>
      </w:pPr>
      <w:r>
        <w:t>where</w:t>
      </w:r>
      <m:oMath>
        <m:r>
          <w:rPr>
            <w:rFonts w:ascii="Cambria Math" w:hAnsi="Cambria Math"/>
          </w:rPr>
          <m:t xml:space="preserve"> Y</m:t>
        </m:r>
      </m:oMath>
      <w:r>
        <w:t xml:space="preserve"> is the value of crime in a given month, </w:t>
      </w:r>
      <m:oMath>
        <m:r>
          <w:rPr>
            <w:rFonts w:ascii="Cambria Math" w:hAnsi="Cambria Math"/>
          </w:rPr>
          <m:t>T</m:t>
        </m:r>
      </m:oMath>
      <w:r w:rsidR="00B32E43">
        <w:t xml:space="preserve"> represents time</w:t>
      </w:r>
      <w:r w:rsidR="00763218">
        <w:t xml:space="preserve"> </w:t>
      </w:r>
      <w:r>
        <w:t>(in months) from 1 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In order to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024CDDC5" w14:textId="3CD59031" w:rsidR="00A77B60" w:rsidRDefault="00EA68AA" w:rsidP="00362FF1">
      <w:pPr>
        <w:jc w:val="both"/>
      </w:pPr>
      <w:r>
        <w:t>With a few e</w:t>
      </w:r>
      <w:r w:rsidR="00A77B60">
        <w:t>xceptions</w:t>
      </w:r>
      <w:r w:rsidR="00012A71">
        <w:t xml:space="preserve"> (e.g., Fei et al., 2020; </w:t>
      </w:r>
      <w:r w:rsidR="00012A71" w:rsidRPr="00012A71">
        <w:t>Humphreys</w:t>
      </w:r>
      <w:r w:rsidR="00012A71">
        <w:t xml:space="preserve"> et al., 2013; Martin et al., 2018; </w:t>
      </w:r>
      <w:r w:rsidR="00012A71" w:rsidRPr="00012A71">
        <w:t>Steinbach</w:t>
      </w:r>
      <w:r w:rsidR="00012A71">
        <w:t xml:space="preserve"> et al., 2015), this approach </w:t>
      </w:r>
      <w:r>
        <w:t xml:space="preserve">has been rarely applied in crime research, but its application is widespread in epidemiology, economics, education and other fields. </w:t>
      </w:r>
      <w:r w:rsidR="0014433D">
        <w:t xml:space="preserve">We present </w:t>
      </w:r>
      <w:r w:rsidR="00D564E1">
        <w:t>the</w:t>
      </w:r>
      <w:r w:rsidR="0014433D">
        <w:t xml:space="preserve"> model results </w:t>
      </w:r>
      <w:r w:rsidR="00D564E1">
        <w:t>using tables and</w:t>
      </w:r>
      <w:r w:rsidR="0014433D">
        <w:t xml:space="preserve"> visualisations in the following section.</w:t>
      </w:r>
    </w:p>
    <w:p w14:paraId="3D7A3235" w14:textId="2E8B4AC8" w:rsidR="00FA6F14" w:rsidRDefault="00EA68AA" w:rsidP="00362FF1">
      <w:pPr>
        <w:jc w:val="both"/>
      </w:pP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w:t>
      </w:r>
      <w:r w:rsidR="00A90599">
        <w:t xml:space="preserve">) at one point in time is correlated with the scores at another points (i.e., there may be ‘serial autocorrelation’). Moreover, the </w:t>
      </w:r>
      <w:r w:rsidR="00A90599" w:rsidRPr="00A90599">
        <w:t>segmented linear regression</w:t>
      </w:r>
      <w:r w:rsidR="00A90599">
        <w:t xml:space="preserve"> proposed here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w:t>
      </w:r>
      <w:r w:rsidR="00D564E1" w:rsidRPr="00D564E1">
        <w:t xml:space="preserve"> </w:t>
      </w:r>
      <w:r w:rsidR="00D564E1">
        <w:t>beyond stay-at-home orders</w:t>
      </w:r>
      <w:r w:rsidR="00A90599">
        <w:t xml:space="preserve"> (e.g., the second lockdown began in October</w:t>
      </w:r>
      <w:r w:rsidR="008C49C9">
        <w:t xml:space="preserve"> 2020,</w:t>
      </w:r>
      <w:r w:rsidR="00A90599">
        <w:t xml:space="preserve"> after summer, when crime </w:t>
      </w:r>
      <w:r w:rsidR="002E727F">
        <w:t>could</w:t>
      </w:r>
      <w:r w:rsidR="00A90599">
        <w:t xml:space="preserve"> decrease due to seasonal crime variation).</w:t>
      </w:r>
      <w:r w:rsidR="008C49C9">
        <w:t xml:space="preserve"> In order to account for</w:t>
      </w:r>
      <w:r w:rsidR="0024525D">
        <w:t xml:space="preserve"> both</w:t>
      </w:r>
      <w:r w:rsidR="008C49C9">
        <w:t xml:space="preserve"> </w:t>
      </w:r>
      <w:r w:rsidR="0024525D">
        <w:t>these</w:t>
      </w:r>
      <w:r w:rsidR="008C49C9">
        <w:t xml:space="preserve"> threats to the validity of our results, we also estimate multivariate linear regressions with </w:t>
      </w:r>
      <w:r w:rsidR="008C49C9" w:rsidRPr="008C49C9">
        <w:t>Auto Regressive Integrated Moving Average</w:t>
      </w:r>
      <w:r w:rsidR="008C49C9">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Hyndman-</w:t>
      </w:r>
      <w:proofErr w:type="spellStart"/>
      <w:r w:rsidR="0024525D" w:rsidRPr="0024525D">
        <w:t>Khandakar</w:t>
      </w:r>
      <w:proofErr w:type="spellEnd"/>
      <w:r w:rsidR="0024525D" w:rsidRPr="0024525D">
        <w:t xml:space="preserve"> algorithm (Hyndman </w:t>
      </w:r>
      <w:r w:rsidR="0024525D">
        <w:t>and</w:t>
      </w:r>
      <w:r w:rsidR="0024525D" w:rsidRPr="0024525D">
        <w:t xml:space="preserve"> </w:t>
      </w:r>
      <w:proofErr w:type="spellStart"/>
      <w:r w:rsidR="0024525D" w:rsidRPr="0024525D">
        <w:t>Khandakar</w:t>
      </w:r>
      <w:proofErr w:type="spellEnd"/>
      <w:r w:rsidR="0024525D" w:rsidRPr="0024525D">
        <w:t>, 2008)</w:t>
      </w:r>
      <w:r w:rsidR="0024525D">
        <w:t xml:space="preserve"> to</w:t>
      </w:r>
      <w:r w:rsidR="008C49C9">
        <w:t xml:space="preserve"> </w:t>
      </w:r>
      <w:r w:rsidR="0024525D">
        <w:t xml:space="preserve">select the </w:t>
      </w:r>
      <w:r w:rsidR="000E4671">
        <w:t xml:space="preserve">multivariate ARIMA error </w:t>
      </w:r>
      <w:r w:rsidR="0024525D">
        <w:t>model with the best goodness-of-fit</w:t>
      </w:r>
      <w:r w:rsidR="008C78D9">
        <w:t xml:space="preserve"> for each crime type</w:t>
      </w:r>
      <w:r w:rsidR="00AB1226">
        <w:t xml:space="preserve">. This approach is </w:t>
      </w:r>
      <w:r w:rsidR="00D564E1">
        <w:t>used</w:t>
      </w:r>
      <w:r w:rsidR="00AB1226">
        <w:t xml:space="preserve"> for a</w:t>
      </w:r>
      <w:r w:rsidR="0024525D">
        <w:t xml:space="preserve"> </w:t>
      </w:r>
      <w:r w:rsidR="005060AC">
        <w:t>data-driven</w:t>
      </w:r>
      <w:r w:rsidR="0014433D">
        <w:t xml:space="preserve"> selection of the</w:t>
      </w:r>
      <w:r w:rsidR="008C49C9">
        <w:t xml:space="preserve"> components </w:t>
      </w:r>
      <m:oMath>
        <m:r>
          <w:rPr>
            <w:rFonts w:ascii="Cambria Math" w:hAnsi="Cambria Math"/>
          </w:rPr>
          <m:t>p</m:t>
        </m:r>
      </m:oMath>
      <w:r w:rsidR="008C49C9" w:rsidRPr="008C49C9">
        <w:t xml:space="preserve"> (order of the auto regressive model), </w:t>
      </w:r>
      <m:oMath>
        <m:r>
          <w:rPr>
            <w:rFonts w:ascii="Cambria Math" w:hAnsi="Cambria Math"/>
          </w:rPr>
          <m:t>d</m:t>
        </m:r>
      </m:oMath>
      <w:r w:rsidR="008C49C9" w:rsidRPr="008C49C9">
        <w:t xml:space="preserve"> (order of differencing) and </w:t>
      </w:r>
      <m:oMath>
        <m:r>
          <w:rPr>
            <w:rFonts w:ascii="Cambria Math" w:hAnsi="Cambria Math"/>
          </w:rPr>
          <m:t>q</m:t>
        </m:r>
      </m:oMath>
      <w:r w:rsidR="008C49C9" w:rsidRPr="008C49C9">
        <w:t xml:space="preserve"> (order of moving average)</w:t>
      </w:r>
      <w:r w:rsidR="00AB1226">
        <w:t xml:space="preserve">, and </w:t>
      </w:r>
      <m:oMath>
        <m:r>
          <w:rPr>
            <w:rFonts w:ascii="Cambria Math" w:hAnsi="Cambria Math"/>
          </w:rPr>
          <m:t>P</m:t>
        </m:r>
      </m:oMath>
      <w:r w:rsidR="00AB1226">
        <w:t xml:space="preserve">, </w:t>
      </w:r>
      <m:oMath>
        <m:r>
          <w:rPr>
            <w:rFonts w:ascii="Cambria Math" w:hAnsi="Cambria Math"/>
          </w:rPr>
          <m:t>D</m:t>
        </m:r>
      </m:oMath>
      <w:r w:rsidR="00AB1226">
        <w:t xml:space="preserve"> and </w:t>
      </w:r>
      <m:oMath>
        <m:r>
          <w:rPr>
            <w:rFonts w:ascii="Cambria Math" w:hAnsi="Cambria Math"/>
          </w:rPr>
          <m:t>Q</m:t>
        </m:r>
      </m:oMath>
      <w:r w:rsidR="00AB1226">
        <w:t>, the seasonal components,</w:t>
      </w:r>
      <w:r w:rsidR="008C49C9" w:rsidRPr="008C49C9">
        <w:t xml:space="preserve"> of </w:t>
      </w:r>
      <w:r w:rsidR="0024525D">
        <w:t>the model</w:t>
      </w:r>
      <w:r w:rsidR="0014433D">
        <w:t xml:space="preserve">, thus finding the model that adjust best to the data in each case. </w:t>
      </w:r>
      <w:r w:rsidR="00D564E1">
        <w:t xml:space="preserve">We evaluated the models selected using the Durbin-Watson test and </w:t>
      </w:r>
      <w:r w:rsidR="008C78D9">
        <w:t xml:space="preserve">the </w:t>
      </w:r>
      <w:proofErr w:type="spellStart"/>
      <w:r w:rsidR="00D564E1">
        <w:t>Ljung</w:t>
      </w:r>
      <w:proofErr w:type="spellEnd"/>
      <w:r w:rsidR="00D564E1">
        <w:t>-Box test to assess the autocorrelation of the residuals, and the KPSS</w:t>
      </w:r>
      <w:r w:rsidR="002E727F">
        <w:t xml:space="preserve"> test</w:t>
      </w:r>
      <w:r w:rsidR="00D564E1">
        <w:t xml:space="preserve"> to assess the stationarity of fitted values. In some cases, the components of the </w:t>
      </w:r>
      <w:r w:rsidR="008C78D9">
        <w:t>model</w:t>
      </w:r>
      <w:r w:rsidR="00D564E1">
        <w:t xml:space="preserve"> had to be adjusted manually to ensure that model assumptions were met. </w:t>
      </w:r>
      <w:r w:rsidR="0014433D">
        <w:t xml:space="preserve">We will use the results of the </w:t>
      </w:r>
      <w:r w:rsidR="0014433D">
        <w:lastRenderedPageBreak/>
        <w:t>multivariate ARIMA error</w:t>
      </w:r>
      <w:r w:rsidR="000E4671">
        <w:t xml:space="preserve"> models</w:t>
      </w:r>
      <w:r w:rsidR="0014433D">
        <w:t xml:space="preserve"> as a sensitivity check on our results.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w:t>
      </w:r>
    </w:p>
    <w:p w14:paraId="3DDDE2CB" w14:textId="5827A47A" w:rsidR="00BF0B59" w:rsidRPr="00C1485C" w:rsidRDefault="00763218" w:rsidP="00362FF1">
      <w:pPr>
        <w:jc w:val="both"/>
      </w:pPr>
      <w:r>
        <w:t>The analysis has been conducted in R software (R Core Team, 2021)</w:t>
      </w:r>
      <w:r w:rsidR="0014433D">
        <w:t xml:space="preserve"> with the assistan</w:t>
      </w:r>
      <w:r w:rsidR="002E727F">
        <w:t>ce</w:t>
      </w:r>
      <w:r w:rsidR="0014433D">
        <w:t xml:space="preserve"> of the </w:t>
      </w:r>
      <w:r w:rsidR="0014433D" w:rsidRPr="0014433D">
        <w:t>‘forecast’ package (Hyndman</w:t>
      </w:r>
      <w:r w:rsidR="003072BE">
        <w:t xml:space="preserve"> et al.</w:t>
      </w:r>
      <w:r w:rsidR="0014433D" w:rsidRPr="0014433D">
        <w:t>, 2020)</w:t>
      </w:r>
      <w:r>
        <w:t xml:space="preserve">, and all data and codes are available from a </w:t>
      </w:r>
      <w:proofErr w:type="spellStart"/>
      <w:r>
        <w:t>Github</w:t>
      </w:r>
      <w:proofErr w:type="spellEnd"/>
      <w:r>
        <w:t xml:space="preserve"> repository (</w:t>
      </w:r>
      <w:r w:rsidR="004160CD">
        <w:t xml:space="preserve">anonymised repository: </w:t>
      </w:r>
      <w:r w:rsidR="00C1485C" w:rsidRPr="00C1485C">
        <w:rPr>
          <w:highlight w:val="yellow"/>
        </w:rPr>
        <w:t>ADD URL</w:t>
      </w:r>
      <w:r>
        <w:t>)</w:t>
      </w:r>
      <w:r w:rsidR="00EC78D7">
        <w:t>.</w:t>
      </w:r>
    </w:p>
    <w:p w14:paraId="74D68CF6" w14:textId="06969E32" w:rsidR="009235CB" w:rsidRDefault="00FB41AC" w:rsidP="00362FF1">
      <w:pPr>
        <w:pStyle w:val="Heading1"/>
        <w:jc w:val="both"/>
      </w:pPr>
      <w:r>
        <w:t>5</w:t>
      </w:r>
      <w:r w:rsidR="00E20D9F">
        <w:t xml:space="preserve">. </w:t>
      </w:r>
      <w:r w:rsidR="009235CB">
        <w:t>Results</w:t>
      </w:r>
    </w:p>
    <w:p w14:paraId="775A68B3" w14:textId="39615684" w:rsidR="00FA1B69" w:rsidRDefault="002E727F" w:rsidP="007907D6">
      <w:pPr>
        <w:jc w:val="both"/>
      </w:pPr>
      <w:r>
        <w:t>Th</w:t>
      </w:r>
      <w:r w:rsidR="007907D6">
        <w:t>is</w:t>
      </w:r>
      <w:r>
        <w:t xml:space="preserve"> section presents the results of the ITS</w:t>
      </w:r>
      <w:r w:rsidRPr="002E727F">
        <w:t xml:space="preserve"> </w:t>
      </w:r>
      <w:r>
        <w:t>analysis based on segmented linear regressions</w:t>
      </w:r>
      <w:r w:rsidR="0010686C">
        <w:t>. Results are presented</w:t>
      </w:r>
      <w:r>
        <w:t xml:space="preserve"> for different types of crimes</w:t>
      </w:r>
      <w:r w:rsidR="00FA1B69">
        <w:t>. T</w:t>
      </w:r>
      <w:r w:rsidR="007907D6">
        <w:t xml:space="preserve">he results of the multivariate models with ARIMA errors are </w:t>
      </w:r>
      <w:r w:rsidR="0010686C">
        <w:t>presented</w:t>
      </w:r>
      <w:r w:rsidR="007907D6">
        <w:t xml:space="preserve"> in the Appendix as a sensitivity check.</w:t>
      </w:r>
    </w:p>
    <w:p w14:paraId="64844C5D" w14:textId="48A9C2E6" w:rsidR="00BC233A" w:rsidRDefault="007907D6" w:rsidP="007907D6">
      <w:pPr>
        <w:jc w:val="both"/>
      </w:pPr>
      <w:r>
        <w:t>Overall, as shown in Figure 2, crime suffered an important decrease after the first and third lockdown</w:t>
      </w:r>
      <w:r w:rsidR="00FA1B69">
        <w:t>s in Northern Ireland</w:t>
      </w:r>
      <w:r>
        <w:t xml:space="preserve">, while the effect of the second lockdown was less evident. Crime </w:t>
      </w:r>
      <w:r w:rsidR="0010686C">
        <w:t>records</w:t>
      </w:r>
      <w:r>
        <w:t xml:space="preserve"> </w:t>
      </w:r>
      <w:r w:rsidR="00FA1B69">
        <w:t>progressively returned</w:t>
      </w:r>
      <w:r>
        <w:t xml:space="preserve"> to </w:t>
      </w:r>
      <w:r w:rsidR="00FA1B69">
        <w:t>pre-COVID</w:t>
      </w:r>
      <w:r>
        <w:t xml:space="preserve"> </w:t>
      </w:r>
      <w:r w:rsidR="0010686C">
        <w:t>levels</w:t>
      </w:r>
      <w:r>
        <w:t xml:space="preserve"> after each lockdown.</w:t>
      </w:r>
      <w:r w:rsidR="00FA1B69">
        <w:t xml:space="preserve"> However, as described above in the literature review, this is likely to mask huge differences between crime types</w:t>
      </w:r>
      <w:r w:rsidR="0010686C">
        <w:t>, and may be affected by seasonal patterns in crime that affect some offences more than others</w:t>
      </w:r>
      <w:r w:rsidR="00FA1B69">
        <w:t>. The following subsections analyse crime trends for each crime type.</w:t>
      </w:r>
    </w:p>
    <w:p w14:paraId="2936443D" w14:textId="5044556C" w:rsidR="002A4380" w:rsidRDefault="002A4380" w:rsidP="005629C6">
      <w:r>
        <w:rPr>
          <w:noProof/>
        </w:rPr>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8903AD6" w14:textId="3ADB9C2E" w:rsidR="0007082B" w:rsidRPr="00763218" w:rsidRDefault="0007082B" w:rsidP="0076321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1CBCF859" w14:textId="77777777" w:rsidR="0007082B" w:rsidRPr="005629C6" w:rsidRDefault="0007082B" w:rsidP="005629C6"/>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3934B326" w14:textId="312AE5BC" w:rsidR="002A4380" w:rsidRPr="0010686C" w:rsidRDefault="0010686C" w:rsidP="008F379E">
      <w:pPr>
        <w:jc w:val="both"/>
      </w:pPr>
      <w:r w:rsidRPr="0010686C">
        <w:t>Th</w:t>
      </w:r>
      <w:r>
        <w:t>e result</w:t>
      </w:r>
      <w:r w:rsidR="00627D46">
        <w:t>s</w:t>
      </w:r>
      <w:r>
        <w:t xml:space="preserve"> of the ITS analysis of violence and sexual crimes, </w:t>
      </w:r>
      <w:r w:rsidR="00627D46">
        <w:t>including</w:t>
      </w:r>
      <w:r>
        <w:t xml:space="preserve"> </w:t>
      </w:r>
      <w:r w:rsidR="00627D46">
        <w:t xml:space="preserve">violence with injury, violence without injury, sexual offences and robbery, </w:t>
      </w:r>
      <w:r>
        <w:t xml:space="preserve">show that </w:t>
      </w:r>
      <w:r w:rsidR="00627D46">
        <w:t xml:space="preserve">crime levels decreased immediately after each COVID-19 lockdown, and rapidly returned to pre-COVID levels after each lockdown (see Figure 3). The results of the ITS models, presented in Table 1, further reinforce this finding, showing that: (a) the decrease in crime resulting from the first COVID-19 lockdown was statistically significant in all four cases; (b) the increase in crime after the first lockdown is statistically significant in the case of violence with and without injury and sex crime, but not robbery; (c) violent crime with and without injury significantly decreased immediately after the third lockdown, and returned to pre-COVID levels during the next months as lockdown restrictions were lifted. The results of the multivariate models with ARIMA errors, shown in the Appendix, show remarkably similar results, but </w:t>
      </w:r>
      <w:r w:rsidR="008F379E">
        <w:t xml:space="preserve">they also </w:t>
      </w:r>
      <w:r w:rsidR="008F379E">
        <w:lastRenderedPageBreak/>
        <w:t>indicate that, in the case of robbery, the effect of the second lockdown (negative), time since second lockdown (positive), and third lockdown (negative) on crime was likely to be statistically significant.</w:t>
      </w:r>
    </w:p>
    <w:p w14:paraId="354FB1D4" w14:textId="1A06124E" w:rsidR="009669C3" w:rsidRDefault="009669C3" w:rsidP="009235CB">
      <w:pPr>
        <w:rPr>
          <w:lang w:val="es-ES"/>
        </w:rPr>
      </w:pPr>
      <w:r>
        <w:rPr>
          <w:noProof/>
        </w:rPr>
        <w:drawing>
          <wp:inline distT="0" distB="0" distL="0" distR="0" wp14:anchorId="669700FC" wp14:editId="23C1C74A">
            <wp:extent cx="5731510" cy="338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58CC6E89" w:rsidR="00B14E43" w:rsidRDefault="00C174F0" w:rsidP="009E69EE">
            <w:pPr>
              <w:jc w:val="center"/>
            </w:pPr>
            <w:r>
              <w:t>Robbery</w:t>
            </w:r>
          </w:p>
        </w:tc>
      </w:tr>
      <w:tr w:rsidR="00C174F0" w14:paraId="4AB1A535" w14:textId="77777777" w:rsidTr="006B47E2">
        <w:tc>
          <w:tcPr>
            <w:tcW w:w="1803" w:type="dxa"/>
            <w:tcBorders>
              <w:top w:val="single" w:sz="4" w:space="0" w:color="auto"/>
            </w:tcBorders>
            <w:vAlign w:val="center"/>
          </w:tcPr>
          <w:p w14:paraId="54504788" w14:textId="649B72D8" w:rsidR="00C174F0" w:rsidRDefault="00C174F0" w:rsidP="00C174F0">
            <w:r>
              <w:t>(Intercept)</w:t>
            </w:r>
          </w:p>
        </w:tc>
        <w:tc>
          <w:tcPr>
            <w:tcW w:w="1803" w:type="dxa"/>
            <w:tcBorders>
              <w:top w:val="single" w:sz="4" w:space="0" w:color="auto"/>
            </w:tcBorders>
            <w:vAlign w:val="center"/>
          </w:tcPr>
          <w:p w14:paraId="26D51036" w14:textId="1C915094" w:rsidR="00C174F0" w:rsidRPr="00C174F0" w:rsidRDefault="00C174F0" w:rsidP="00C174F0">
            <w:pPr>
              <w:tabs>
                <w:tab w:val="decimal" w:pos="632"/>
              </w:tabs>
            </w:pPr>
            <w:r w:rsidRPr="00C174F0">
              <w:t>1243.3***</w:t>
            </w:r>
          </w:p>
        </w:tc>
        <w:tc>
          <w:tcPr>
            <w:tcW w:w="1803" w:type="dxa"/>
            <w:tcBorders>
              <w:top w:val="single" w:sz="4" w:space="0" w:color="auto"/>
            </w:tcBorders>
            <w:vAlign w:val="center"/>
          </w:tcPr>
          <w:p w14:paraId="56DBBF5B" w14:textId="62461E6A" w:rsidR="00C174F0" w:rsidRPr="00C174F0" w:rsidRDefault="00C174F0" w:rsidP="00C174F0">
            <w:pPr>
              <w:tabs>
                <w:tab w:val="decimal" w:pos="816"/>
              </w:tabs>
            </w:pPr>
            <w:r w:rsidRPr="00C174F0">
              <w:t>1401.2***</w:t>
            </w:r>
          </w:p>
        </w:tc>
        <w:tc>
          <w:tcPr>
            <w:tcW w:w="1803" w:type="dxa"/>
            <w:tcBorders>
              <w:top w:val="single" w:sz="4" w:space="0" w:color="auto"/>
            </w:tcBorders>
            <w:vAlign w:val="center"/>
          </w:tcPr>
          <w:p w14:paraId="4748FACC" w14:textId="0FF13B84" w:rsidR="00C174F0" w:rsidRPr="00C174F0" w:rsidRDefault="00C174F0" w:rsidP="00C174F0">
            <w:pPr>
              <w:tabs>
                <w:tab w:val="decimal" w:pos="708"/>
              </w:tabs>
            </w:pPr>
            <w:r w:rsidRPr="00C174F0">
              <w:t>249.5***</w:t>
            </w:r>
          </w:p>
        </w:tc>
        <w:tc>
          <w:tcPr>
            <w:tcW w:w="1804" w:type="dxa"/>
            <w:tcBorders>
              <w:top w:val="single" w:sz="4" w:space="0" w:color="auto"/>
            </w:tcBorders>
            <w:vAlign w:val="center"/>
          </w:tcPr>
          <w:p w14:paraId="55CA3DCC" w14:textId="554AC033" w:rsidR="00C174F0" w:rsidRPr="00C174F0" w:rsidRDefault="00C174F0" w:rsidP="00C174F0">
            <w:pPr>
              <w:tabs>
                <w:tab w:val="decimal" w:pos="696"/>
              </w:tabs>
            </w:pPr>
            <w:r w:rsidRPr="00C174F0">
              <w:t>58.0***</w:t>
            </w:r>
          </w:p>
        </w:tc>
      </w:tr>
      <w:tr w:rsidR="00C174F0" w14:paraId="7EA56972" w14:textId="77777777" w:rsidTr="006B47E2">
        <w:tc>
          <w:tcPr>
            <w:tcW w:w="1803" w:type="dxa"/>
            <w:vAlign w:val="center"/>
          </w:tcPr>
          <w:p w14:paraId="4E8EB45D" w14:textId="21D52838" w:rsidR="00C174F0" w:rsidRDefault="00C174F0" w:rsidP="00C174F0">
            <w:r>
              <w:t>Time</w:t>
            </w:r>
          </w:p>
        </w:tc>
        <w:tc>
          <w:tcPr>
            <w:tcW w:w="1803" w:type="dxa"/>
            <w:vAlign w:val="center"/>
          </w:tcPr>
          <w:p w14:paraId="53AA4500" w14:textId="026BAB75" w:rsidR="00C174F0" w:rsidRPr="00C174F0" w:rsidRDefault="00C174F0" w:rsidP="00C174F0">
            <w:pPr>
              <w:tabs>
                <w:tab w:val="decimal" w:pos="632"/>
              </w:tabs>
            </w:pPr>
            <w:r w:rsidRPr="00C174F0">
              <w:t>-2.1*</w:t>
            </w:r>
          </w:p>
        </w:tc>
        <w:tc>
          <w:tcPr>
            <w:tcW w:w="1803" w:type="dxa"/>
            <w:vAlign w:val="center"/>
          </w:tcPr>
          <w:p w14:paraId="4625FC72" w14:textId="4556F066" w:rsidR="00C174F0" w:rsidRPr="00C174F0" w:rsidRDefault="00C174F0" w:rsidP="00C174F0">
            <w:pPr>
              <w:tabs>
                <w:tab w:val="decimal" w:pos="816"/>
              </w:tabs>
            </w:pPr>
            <w:r w:rsidRPr="00C174F0">
              <w:t>0.5</w:t>
            </w:r>
          </w:p>
        </w:tc>
        <w:tc>
          <w:tcPr>
            <w:tcW w:w="1803" w:type="dxa"/>
            <w:vAlign w:val="center"/>
          </w:tcPr>
          <w:p w14:paraId="3A528D63" w14:textId="785468AB" w:rsidR="00C174F0" w:rsidRPr="00C174F0" w:rsidRDefault="00C174F0" w:rsidP="00C174F0">
            <w:pPr>
              <w:tabs>
                <w:tab w:val="decimal" w:pos="708"/>
              </w:tabs>
            </w:pPr>
            <w:r w:rsidRPr="00C174F0">
              <w:t>1.0***</w:t>
            </w:r>
          </w:p>
        </w:tc>
        <w:tc>
          <w:tcPr>
            <w:tcW w:w="1804" w:type="dxa"/>
            <w:vAlign w:val="center"/>
          </w:tcPr>
          <w:p w14:paraId="0C06DEFE" w14:textId="6D977E18" w:rsidR="00C174F0" w:rsidRPr="00C174F0" w:rsidRDefault="00C174F0" w:rsidP="00C174F0">
            <w:pPr>
              <w:tabs>
                <w:tab w:val="decimal" w:pos="696"/>
              </w:tabs>
            </w:pPr>
            <w:r w:rsidRPr="00C174F0">
              <w:t>-0.1</w:t>
            </w:r>
            <w:r w:rsidRPr="00C174F0">
              <w:rPr>
                <w:vertAlign w:val="superscript"/>
              </w:rPr>
              <w:t>+</w:t>
            </w:r>
          </w:p>
        </w:tc>
      </w:tr>
      <w:tr w:rsidR="00C174F0" w14:paraId="01950A1F" w14:textId="77777777" w:rsidTr="006B47E2">
        <w:tc>
          <w:tcPr>
            <w:tcW w:w="1803" w:type="dxa"/>
            <w:vAlign w:val="center"/>
          </w:tcPr>
          <w:p w14:paraId="2ACB3CF1" w14:textId="38D6C1CA" w:rsidR="00C174F0" w:rsidRDefault="00C174F0" w:rsidP="00C174F0">
            <w:r>
              <w:t>First lockdown</w:t>
            </w:r>
          </w:p>
        </w:tc>
        <w:tc>
          <w:tcPr>
            <w:tcW w:w="1803" w:type="dxa"/>
            <w:vAlign w:val="center"/>
          </w:tcPr>
          <w:p w14:paraId="51EDAD36" w14:textId="403305C3" w:rsidR="00C174F0" w:rsidRPr="00C174F0" w:rsidRDefault="00C174F0" w:rsidP="00C174F0">
            <w:pPr>
              <w:tabs>
                <w:tab w:val="decimal" w:pos="632"/>
              </w:tabs>
            </w:pPr>
            <w:r w:rsidRPr="00C174F0">
              <w:t>-253.5**</w:t>
            </w:r>
          </w:p>
        </w:tc>
        <w:tc>
          <w:tcPr>
            <w:tcW w:w="1803" w:type="dxa"/>
            <w:vAlign w:val="center"/>
          </w:tcPr>
          <w:p w14:paraId="261ACB48" w14:textId="3309E66E" w:rsidR="00C174F0" w:rsidRPr="00C174F0" w:rsidRDefault="00C174F0" w:rsidP="00C174F0">
            <w:pPr>
              <w:tabs>
                <w:tab w:val="decimal" w:pos="816"/>
              </w:tabs>
            </w:pPr>
            <w:r w:rsidRPr="00C174F0">
              <w:t>-297.1**</w:t>
            </w:r>
          </w:p>
        </w:tc>
        <w:tc>
          <w:tcPr>
            <w:tcW w:w="1803" w:type="dxa"/>
            <w:vAlign w:val="center"/>
          </w:tcPr>
          <w:p w14:paraId="6CF55AC0" w14:textId="7F7D4CB3" w:rsidR="00C174F0" w:rsidRPr="00C174F0" w:rsidRDefault="00C174F0" w:rsidP="00C174F0">
            <w:pPr>
              <w:tabs>
                <w:tab w:val="decimal" w:pos="708"/>
              </w:tabs>
            </w:pPr>
            <w:r w:rsidRPr="00C174F0">
              <w:t>-83.7**</w:t>
            </w:r>
          </w:p>
        </w:tc>
        <w:tc>
          <w:tcPr>
            <w:tcW w:w="1804" w:type="dxa"/>
            <w:vAlign w:val="center"/>
          </w:tcPr>
          <w:p w14:paraId="1BA77089" w14:textId="340BA982" w:rsidR="00C174F0" w:rsidRPr="00C174F0" w:rsidRDefault="00C174F0" w:rsidP="00C174F0">
            <w:pPr>
              <w:tabs>
                <w:tab w:val="decimal" w:pos="696"/>
              </w:tabs>
            </w:pPr>
            <w:r>
              <w:t>-19.4*</w:t>
            </w:r>
          </w:p>
        </w:tc>
      </w:tr>
      <w:tr w:rsidR="00C174F0" w14:paraId="4C3D6022" w14:textId="77777777" w:rsidTr="006B47E2">
        <w:tc>
          <w:tcPr>
            <w:tcW w:w="1803" w:type="dxa"/>
            <w:vAlign w:val="center"/>
          </w:tcPr>
          <w:p w14:paraId="4DB1EC47" w14:textId="6822D498" w:rsidR="00C174F0" w:rsidRDefault="00C174F0" w:rsidP="00C174F0">
            <w:r>
              <w:t>Time since first lockdown</w:t>
            </w:r>
          </w:p>
        </w:tc>
        <w:tc>
          <w:tcPr>
            <w:tcW w:w="1803" w:type="dxa"/>
            <w:vAlign w:val="center"/>
          </w:tcPr>
          <w:p w14:paraId="3DC22F4B" w14:textId="266412A6" w:rsidR="00C174F0" w:rsidRPr="00C174F0" w:rsidRDefault="00C174F0" w:rsidP="00C174F0">
            <w:pPr>
              <w:tabs>
                <w:tab w:val="decimal" w:pos="632"/>
              </w:tabs>
            </w:pPr>
            <w:r w:rsidRPr="00C174F0">
              <w:t>47.7*</w:t>
            </w:r>
          </w:p>
        </w:tc>
        <w:tc>
          <w:tcPr>
            <w:tcW w:w="1803" w:type="dxa"/>
            <w:vAlign w:val="center"/>
          </w:tcPr>
          <w:p w14:paraId="5D9D2AD5" w14:textId="5A4E2887" w:rsidR="00C174F0" w:rsidRPr="00C174F0" w:rsidRDefault="00C174F0" w:rsidP="00C174F0">
            <w:pPr>
              <w:tabs>
                <w:tab w:val="decimal" w:pos="816"/>
              </w:tabs>
            </w:pPr>
            <w:r w:rsidRPr="00C174F0">
              <w:t>53.4*</w:t>
            </w:r>
          </w:p>
        </w:tc>
        <w:tc>
          <w:tcPr>
            <w:tcW w:w="1803" w:type="dxa"/>
            <w:vAlign w:val="center"/>
          </w:tcPr>
          <w:p w14:paraId="71811E5E" w14:textId="571894C2" w:rsidR="00C174F0" w:rsidRPr="008F379E" w:rsidRDefault="00C174F0" w:rsidP="00C174F0">
            <w:pPr>
              <w:tabs>
                <w:tab w:val="decimal" w:pos="708"/>
              </w:tabs>
            </w:pPr>
            <w:r w:rsidRPr="008F379E">
              <w:t>12.6*</w:t>
            </w:r>
          </w:p>
        </w:tc>
        <w:tc>
          <w:tcPr>
            <w:tcW w:w="1804" w:type="dxa"/>
            <w:vAlign w:val="center"/>
          </w:tcPr>
          <w:p w14:paraId="0176F90F" w14:textId="53444071" w:rsidR="00C174F0" w:rsidRPr="008F379E" w:rsidRDefault="00C174F0" w:rsidP="00C174F0">
            <w:pPr>
              <w:tabs>
                <w:tab w:val="decimal" w:pos="696"/>
              </w:tabs>
            </w:pPr>
            <w:r w:rsidRPr="008F379E">
              <w:t>2.0</w:t>
            </w:r>
          </w:p>
        </w:tc>
      </w:tr>
      <w:tr w:rsidR="00C174F0" w14:paraId="521665DB" w14:textId="77777777" w:rsidTr="006B47E2">
        <w:tc>
          <w:tcPr>
            <w:tcW w:w="1803" w:type="dxa"/>
            <w:vAlign w:val="center"/>
          </w:tcPr>
          <w:p w14:paraId="699DCE38" w14:textId="7C9590A7" w:rsidR="00C174F0" w:rsidRDefault="00C174F0" w:rsidP="00C174F0">
            <w:r>
              <w:t>Second lockdown</w:t>
            </w:r>
          </w:p>
        </w:tc>
        <w:tc>
          <w:tcPr>
            <w:tcW w:w="1803" w:type="dxa"/>
            <w:vAlign w:val="center"/>
          </w:tcPr>
          <w:p w14:paraId="65FD25CA" w14:textId="2DABFE8E" w:rsidR="00C174F0" w:rsidRPr="00C174F0" w:rsidRDefault="00C174F0" w:rsidP="00C174F0">
            <w:pPr>
              <w:tabs>
                <w:tab w:val="decimal" w:pos="632"/>
              </w:tabs>
            </w:pPr>
            <w:r w:rsidRPr="00C174F0">
              <w:t>-215.5</w:t>
            </w:r>
          </w:p>
        </w:tc>
        <w:tc>
          <w:tcPr>
            <w:tcW w:w="1803" w:type="dxa"/>
            <w:vAlign w:val="center"/>
          </w:tcPr>
          <w:p w14:paraId="3B9FA25B" w14:textId="30A5CE3E" w:rsidR="00C174F0" w:rsidRPr="00C174F0" w:rsidRDefault="00C174F0" w:rsidP="00C174F0">
            <w:pPr>
              <w:tabs>
                <w:tab w:val="decimal" w:pos="816"/>
              </w:tabs>
            </w:pPr>
            <w:r w:rsidRPr="00C174F0">
              <w:t>-73.0</w:t>
            </w:r>
          </w:p>
        </w:tc>
        <w:tc>
          <w:tcPr>
            <w:tcW w:w="1803" w:type="dxa"/>
            <w:vAlign w:val="center"/>
          </w:tcPr>
          <w:p w14:paraId="76244D14" w14:textId="113F8F0A" w:rsidR="00C174F0" w:rsidRPr="008F379E" w:rsidRDefault="00C174F0" w:rsidP="00C174F0">
            <w:pPr>
              <w:tabs>
                <w:tab w:val="decimal" w:pos="708"/>
              </w:tabs>
            </w:pPr>
            <w:r w:rsidRPr="008F379E">
              <w:t>-56.9</w:t>
            </w:r>
          </w:p>
        </w:tc>
        <w:tc>
          <w:tcPr>
            <w:tcW w:w="1804" w:type="dxa"/>
            <w:vAlign w:val="center"/>
          </w:tcPr>
          <w:p w14:paraId="69ADF82A" w14:textId="74BBDB92" w:rsidR="00C174F0" w:rsidRPr="008F379E" w:rsidRDefault="00C174F0" w:rsidP="00C174F0">
            <w:pPr>
              <w:tabs>
                <w:tab w:val="decimal" w:pos="696"/>
              </w:tabs>
            </w:pPr>
            <w:r w:rsidRPr="008F379E">
              <w:t>-14.5</w:t>
            </w:r>
          </w:p>
        </w:tc>
      </w:tr>
      <w:tr w:rsidR="00C174F0" w14:paraId="77B8A3B5" w14:textId="77777777" w:rsidTr="002A4380">
        <w:tc>
          <w:tcPr>
            <w:tcW w:w="1803" w:type="dxa"/>
            <w:vAlign w:val="center"/>
          </w:tcPr>
          <w:p w14:paraId="404E7367" w14:textId="3EF9E91C" w:rsidR="00C174F0" w:rsidRDefault="00C174F0" w:rsidP="00C174F0">
            <w:r>
              <w:t>Time since second lockdown</w:t>
            </w:r>
          </w:p>
        </w:tc>
        <w:tc>
          <w:tcPr>
            <w:tcW w:w="1803" w:type="dxa"/>
            <w:vAlign w:val="center"/>
          </w:tcPr>
          <w:p w14:paraId="1CADFF07" w14:textId="2E3369EA" w:rsidR="00C174F0" w:rsidRPr="00C174F0" w:rsidRDefault="00C174F0" w:rsidP="00C174F0">
            <w:pPr>
              <w:tabs>
                <w:tab w:val="decimal" w:pos="632"/>
              </w:tabs>
            </w:pPr>
            <w:r w:rsidRPr="00C174F0">
              <w:t>18.6</w:t>
            </w:r>
          </w:p>
        </w:tc>
        <w:tc>
          <w:tcPr>
            <w:tcW w:w="1803" w:type="dxa"/>
            <w:vAlign w:val="center"/>
          </w:tcPr>
          <w:p w14:paraId="5A1D6364" w14:textId="6773A3BA" w:rsidR="00C174F0" w:rsidRPr="00C174F0" w:rsidRDefault="00C174F0" w:rsidP="00C174F0">
            <w:pPr>
              <w:tabs>
                <w:tab w:val="decimal" w:pos="816"/>
              </w:tabs>
            </w:pPr>
            <w:r w:rsidRPr="00C174F0">
              <w:t>18.5</w:t>
            </w:r>
          </w:p>
        </w:tc>
        <w:tc>
          <w:tcPr>
            <w:tcW w:w="1803" w:type="dxa"/>
            <w:vAlign w:val="center"/>
          </w:tcPr>
          <w:p w14:paraId="347AE7D8" w14:textId="00A56E22" w:rsidR="00C174F0" w:rsidRPr="008F379E" w:rsidRDefault="00C174F0" w:rsidP="00C174F0">
            <w:pPr>
              <w:tabs>
                <w:tab w:val="decimal" w:pos="708"/>
              </w:tabs>
            </w:pPr>
            <w:r w:rsidRPr="008F379E">
              <w:t>1.5</w:t>
            </w:r>
          </w:p>
        </w:tc>
        <w:tc>
          <w:tcPr>
            <w:tcW w:w="1804" w:type="dxa"/>
            <w:vAlign w:val="center"/>
          </w:tcPr>
          <w:p w14:paraId="6A1D0E40" w14:textId="45DF7B11" w:rsidR="00C174F0" w:rsidRPr="008F379E" w:rsidRDefault="00C174F0" w:rsidP="00C174F0">
            <w:pPr>
              <w:tabs>
                <w:tab w:val="decimal" w:pos="696"/>
              </w:tabs>
            </w:pPr>
            <w:r w:rsidRPr="008F379E">
              <w:t>6.6</w:t>
            </w:r>
          </w:p>
        </w:tc>
      </w:tr>
      <w:tr w:rsidR="00C174F0" w14:paraId="637C7441" w14:textId="77777777" w:rsidTr="002A4380">
        <w:tc>
          <w:tcPr>
            <w:tcW w:w="1803" w:type="dxa"/>
            <w:vAlign w:val="center"/>
          </w:tcPr>
          <w:p w14:paraId="536C2837" w14:textId="4C95689F" w:rsidR="00C174F0" w:rsidRDefault="00C174F0" w:rsidP="00C174F0">
            <w:r>
              <w:t>Third lockdown</w:t>
            </w:r>
          </w:p>
        </w:tc>
        <w:tc>
          <w:tcPr>
            <w:tcW w:w="1803" w:type="dxa"/>
            <w:vAlign w:val="center"/>
          </w:tcPr>
          <w:p w14:paraId="774FA7C2" w14:textId="66012809" w:rsidR="00C174F0" w:rsidRPr="00C174F0" w:rsidRDefault="00C174F0" w:rsidP="00C174F0">
            <w:pPr>
              <w:tabs>
                <w:tab w:val="decimal" w:pos="632"/>
              </w:tabs>
            </w:pPr>
            <w:r w:rsidRPr="00C174F0">
              <w:t>-450.0***</w:t>
            </w:r>
          </w:p>
        </w:tc>
        <w:tc>
          <w:tcPr>
            <w:tcW w:w="1803" w:type="dxa"/>
            <w:vAlign w:val="center"/>
          </w:tcPr>
          <w:p w14:paraId="45E3BF41" w14:textId="6EBE84FC" w:rsidR="00C174F0" w:rsidRPr="00C174F0" w:rsidRDefault="00C174F0" w:rsidP="00C174F0">
            <w:pPr>
              <w:tabs>
                <w:tab w:val="decimal" w:pos="816"/>
              </w:tabs>
            </w:pPr>
            <w:r w:rsidRPr="00C174F0">
              <w:t>-496.3***</w:t>
            </w:r>
          </w:p>
        </w:tc>
        <w:tc>
          <w:tcPr>
            <w:tcW w:w="1803" w:type="dxa"/>
            <w:vAlign w:val="center"/>
          </w:tcPr>
          <w:p w14:paraId="4D2CEB2B" w14:textId="72F49435" w:rsidR="00C174F0" w:rsidRPr="008F379E" w:rsidRDefault="00C174F0" w:rsidP="00C174F0">
            <w:pPr>
              <w:tabs>
                <w:tab w:val="decimal" w:pos="708"/>
              </w:tabs>
            </w:pPr>
            <w:r w:rsidRPr="008F379E">
              <w:t>-50.4</w:t>
            </w:r>
          </w:p>
        </w:tc>
        <w:tc>
          <w:tcPr>
            <w:tcW w:w="1804" w:type="dxa"/>
            <w:vAlign w:val="center"/>
          </w:tcPr>
          <w:p w14:paraId="4F46A032" w14:textId="575A0FB7" w:rsidR="00C174F0" w:rsidRPr="008F379E" w:rsidRDefault="00C174F0" w:rsidP="00C174F0">
            <w:pPr>
              <w:tabs>
                <w:tab w:val="decimal" w:pos="696"/>
              </w:tabs>
            </w:pPr>
            <w:r w:rsidRPr="008F379E">
              <w:t>-15.3</w:t>
            </w:r>
          </w:p>
        </w:tc>
      </w:tr>
      <w:tr w:rsidR="00C174F0" w14:paraId="1B3CFB2D" w14:textId="77777777" w:rsidTr="006B47E2">
        <w:tc>
          <w:tcPr>
            <w:tcW w:w="1803" w:type="dxa"/>
            <w:tcBorders>
              <w:bottom w:val="single" w:sz="4" w:space="0" w:color="auto"/>
            </w:tcBorders>
            <w:vAlign w:val="center"/>
          </w:tcPr>
          <w:p w14:paraId="110D58EE" w14:textId="23E5C866" w:rsidR="00C174F0" w:rsidRDefault="00C174F0" w:rsidP="00C174F0">
            <w:r>
              <w:t>Time since third lockdown</w:t>
            </w:r>
          </w:p>
        </w:tc>
        <w:tc>
          <w:tcPr>
            <w:tcW w:w="1803" w:type="dxa"/>
            <w:tcBorders>
              <w:bottom w:val="single" w:sz="4" w:space="0" w:color="auto"/>
            </w:tcBorders>
            <w:vAlign w:val="center"/>
          </w:tcPr>
          <w:p w14:paraId="481950C4" w14:textId="0E8F191B" w:rsidR="00C174F0" w:rsidRPr="00C174F0" w:rsidRDefault="00C174F0" w:rsidP="00C174F0">
            <w:pPr>
              <w:tabs>
                <w:tab w:val="decimal" w:pos="632"/>
              </w:tabs>
            </w:pPr>
            <w:r w:rsidRPr="00C174F0">
              <w:t>109.1**</w:t>
            </w:r>
          </w:p>
        </w:tc>
        <w:tc>
          <w:tcPr>
            <w:tcW w:w="1803" w:type="dxa"/>
            <w:tcBorders>
              <w:bottom w:val="single" w:sz="4" w:space="0" w:color="auto"/>
            </w:tcBorders>
            <w:vAlign w:val="center"/>
          </w:tcPr>
          <w:p w14:paraId="0E3C52C9" w14:textId="79547187" w:rsidR="00C174F0" w:rsidRPr="00C174F0" w:rsidRDefault="00C174F0" w:rsidP="00C174F0">
            <w:pPr>
              <w:tabs>
                <w:tab w:val="decimal" w:pos="816"/>
              </w:tabs>
            </w:pPr>
            <w:r w:rsidRPr="00C174F0">
              <w:t>151.8***</w:t>
            </w:r>
          </w:p>
        </w:tc>
        <w:tc>
          <w:tcPr>
            <w:tcW w:w="1803" w:type="dxa"/>
            <w:tcBorders>
              <w:bottom w:val="single" w:sz="4" w:space="0" w:color="auto"/>
            </w:tcBorders>
            <w:vAlign w:val="center"/>
          </w:tcPr>
          <w:p w14:paraId="3B40ABDB" w14:textId="0103C939" w:rsidR="00C174F0" w:rsidRPr="00C174F0" w:rsidRDefault="00C174F0" w:rsidP="00C174F0">
            <w:pPr>
              <w:tabs>
                <w:tab w:val="decimal" w:pos="708"/>
              </w:tabs>
            </w:pPr>
            <w:r w:rsidRPr="00C174F0">
              <w:t>13.13</w:t>
            </w:r>
          </w:p>
        </w:tc>
        <w:tc>
          <w:tcPr>
            <w:tcW w:w="1804" w:type="dxa"/>
            <w:tcBorders>
              <w:bottom w:val="single" w:sz="4" w:space="0" w:color="auto"/>
            </w:tcBorders>
            <w:vAlign w:val="center"/>
          </w:tcPr>
          <w:p w14:paraId="3B0DCB4C" w14:textId="39BFA2BD" w:rsidR="00C174F0" w:rsidRPr="00C174F0" w:rsidRDefault="00C174F0" w:rsidP="00C174F0">
            <w:pPr>
              <w:tabs>
                <w:tab w:val="decimal" w:pos="696"/>
              </w:tabs>
            </w:pPr>
            <w:r>
              <w:t>0.5</w:t>
            </w:r>
          </w:p>
        </w:tc>
      </w:tr>
      <w:tr w:rsidR="00C174F0" w14:paraId="7063E101" w14:textId="77777777" w:rsidTr="006B47E2">
        <w:tc>
          <w:tcPr>
            <w:tcW w:w="1803" w:type="dxa"/>
            <w:tcBorders>
              <w:top w:val="single" w:sz="4" w:space="0" w:color="auto"/>
              <w:bottom w:val="single" w:sz="4" w:space="0" w:color="auto"/>
            </w:tcBorders>
            <w:vAlign w:val="center"/>
          </w:tcPr>
          <w:p w14:paraId="0430E594" w14:textId="04037840" w:rsidR="00C174F0" w:rsidRDefault="00C174F0" w:rsidP="00C174F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C174F0" w:rsidRPr="00C174F0" w:rsidRDefault="00C174F0" w:rsidP="00C174F0">
            <w:pPr>
              <w:tabs>
                <w:tab w:val="decimal" w:pos="632"/>
              </w:tabs>
            </w:pPr>
            <w:r w:rsidRPr="00C174F0">
              <w:t>0.42</w:t>
            </w:r>
          </w:p>
        </w:tc>
        <w:tc>
          <w:tcPr>
            <w:tcW w:w="1803" w:type="dxa"/>
            <w:tcBorders>
              <w:top w:val="single" w:sz="4" w:space="0" w:color="auto"/>
              <w:bottom w:val="single" w:sz="4" w:space="0" w:color="auto"/>
            </w:tcBorders>
            <w:vAlign w:val="center"/>
          </w:tcPr>
          <w:p w14:paraId="64D2ECB7" w14:textId="0C8AC20D" w:rsidR="00C174F0" w:rsidRPr="00C174F0" w:rsidRDefault="00C174F0" w:rsidP="00C174F0">
            <w:pPr>
              <w:tabs>
                <w:tab w:val="decimal" w:pos="816"/>
              </w:tabs>
            </w:pPr>
            <w:r w:rsidRPr="00C174F0">
              <w:t>0.24</w:t>
            </w:r>
          </w:p>
        </w:tc>
        <w:tc>
          <w:tcPr>
            <w:tcW w:w="1803" w:type="dxa"/>
            <w:tcBorders>
              <w:top w:val="single" w:sz="4" w:space="0" w:color="auto"/>
              <w:bottom w:val="single" w:sz="4" w:space="0" w:color="auto"/>
            </w:tcBorders>
            <w:vAlign w:val="center"/>
          </w:tcPr>
          <w:p w14:paraId="0AD02205" w14:textId="3313EC3D" w:rsidR="00C174F0" w:rsidRPr="00C174F0" w:rsidRDefault="00C174F0" w:rsidP="00C174F0">
            <w:pPr>
              <w:tabs>
                <w:tab w:val="decimal" w:pos="708"/>
              </w:tabs>
            </w:pPr>
            <w:r w:rsidRPr="00C174F0">
              <w:t>0.28</w:t>
            </w:r>
          </w:p>
        </w:tc>
        <w:tc>
          <w:tcPr>
            <w:tcW w:w="1804" w:type="dxa"/>
            <w:tcBorders>
              <w:top w:val="single" w:sz="4" w:space="0" w:color="auto"/>
              <w:bottom w:val="single" w:sz="4" w:space="0" w:color="auto"/>
            </w:tcBorders>
            <w:vAlign w:val="center"/>
          </w:tcPr>
          <w:p w14:paraId="6DB5BEC1" w14:textId="4A9A67DF" w:rsidR="00C174F0" w:rsidRPr="00C174F0" w:rsidRDefault="00C174F0" w:rsidP="00C174F0">
            <w:pPr>
              <w:tabs>
                <w:tab w:val="decimal" w:pos="696"/>
              </w:tabs>
            </w:pPr>
            <w:r>
              <w:t>0.3</w:t>
            </w:r>
            <w:r w:rsidR="00B15CC3">
              <w:t>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damage</w:t>
      </w:r>
      <w:r w:rsidR="00F46100" w:rsidRPr="00F46100">
        <w:t xml:space="preserve"> and public o</w:t>
      </w:r>
      <w:r w:rsidR="00F46100">
        <w:t>rder</w:t>
      </w:r>
    </w:p>
    <w:p w14:paraId="12C8176F" w14:textId="6F25C1E4" w:rsidR="002A4380" w:rsidRDefault="00265F5B" w:rsidP="006702C5">
      <w:pPr>
        <w:jc w:val="both"/>
      </w:pPr>
      <w:r>
        <w:t>Drug</w:t>
      </w:r>
      <w:r w:rsidR="00364EB7">
        <w:t>-related</w:t>
      </w:r>
      <w:r>
        <w:t xml:space="preserve"> </w:t>
      </w:r>
      <w:r w:rsidR="00364EB7">
        <w:t>crime</w:t>
      </w:r>
      <w:r>
        <w:t>s and public order/</w:t>
      </w:r>
      <w:r w:rsidR="00364EB7">
        <w:t xml:space="preserve">criminal </w:t>
      </w:r>
      <w:r>
        <w:t xml:space="preserve">damage </w:t>
      </w:r>
      <w:r w:rsidR="00364EB7">
        <w:t>offence</w:t>
      </w:r>
      <w:r>
        <w:t xml:space="preserve">s show </w:t>
      </w:r>
      <w:r w:rsidR="008F379E">
        <w:t xml:space="preserve">remarkably different </w:t>
      </w:r>
      <w:r>
        <w:t>trends</w:t>
      </w:r>
      <w:r w:rsidR="008F379E">
        <w:t xml:space="preserve">. One the one hand, drug crimes show a similar pattern to that of violence offences, with crime levels decreasing immediately after each COVID-19 lockdown and returning progressively to pre-COVID levels during the following months. On the other hand, </w:t>
      </w:r>
      <w:r w:rsidR="008A6291">
        <w:t>ITS analysis of public order and criminal damage show</w:t>
      </w:r>
      <w:r>
        <w:t>s</w:t>
      </w:r>
      <w:r w:rsidR="008A6291">
        <w:t xml:space="preserve"> that crime decrease</w:t>
      </w:r>
      <w:r>
        <w:t>d</w:t>
      </w:r>
      <w:r w:rsidR="008A6291">
        <w:t xml:space="preserve"> immediate after the first and third lockdowns, and </w:t>
      </w:r>
      <w:r>
        <w:t xml:space="preserve">it </w:t>
      </w:r>
      <w:r w:rsidR="008A6291">
        <w:t xml:space="preserve">then </w:t>
      </w:r>
      <w:r w:rsidR="008A6291">
        <w:lastRenderedPageBreak/>
        <w:t>return</w:t>
      </w:r>
      <w:r>
        <w:t>ed</w:t>
      </w:r>
      <w:r w:rsidR="008A6291">
        <w:t xml:space="preserve"> to the overall linear trend</w:t>
      </w:r>
      <w:r>
        <w:t>line</w:t>
      </w:r>
      <w:r w:rsidR="008A6291">
        <w:t xml:space="preserve">, but the </w:t>
      </w:r>
      <w:r>
        <w:t>observed</w:t>
      </w:r>
      <w:r w:rsidR="008A6291">
        <w:t xml:space="preserve"> effect of the second lockdown was different</w:t>
      </w:r>
      <w:r>
        <w:t xml:space="preserve"> to those seen above</w:t>
      </w:r>
      <w:r w:rsidR="008A6291">
        <w:t>, showing a decrease in crime after October 2020. This can be seen both in Figure 4 and Table 2. However, as can be seen in Figure 4, the trend</w:t>
      </w:r>
      <w:r>
        <w:t>s of</w:t>
      </w:r>
      <w:r w:rsidR="008A6291">
        <w:t xml:space="preserve"> public order and criminal damage</w:t>
      </w:r>
      <w:r>
        <w:t xml:space="preserve"> </w:t>
      </w:r>
      <w:r w:rsidR="008A6291">
        <w:t xml:space="preserve">during the pandemic follow remarkably similar </w:t>
      </w:r>
      <w:r w:rsidR="00364EB7">
        <w:t>patterns</w:t>
      </w:r>
      <w:r w:rsidR="008A6291">
        <w:t xml:space="preserve"> to those seen before COVID-19, with increases in crime during summer and lower levels in winter. Thus, </w:t>
      </w:r>
      <w:r>
        <w:t>we need to be cautious when trying to establish links between COVID-19 lockdowns and crime, since changes in crime may simply be driven by crime seasonality. It can also be highlighted that drug trafficking offences are clearly larger during COVID-19 than before.</w:t>
      </w:r>
    </w:p>
    <w:p w14:paraId="6AC76F05" w14:textId="60E95C98" w:rsidR="00CB328F" w:rsidRDefault="00CB328F" w:rsidP="00F46100">
      <w:r>
        <w:rPr>
          <w:noProof/>
        </w:rPr>
        <w:drawing>
          <wp:inline distT="0" distB="0" distL="0" distR="0" wp14:anchorId="55E22DEA" wp14:editId="0FBD0AAE">
            <wp:extent cx="5731510" cy="338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C423FA3" w14:textId="48A01F1A" w:rsidR="00763218" w:rsidRDefault="0059522B" w:rsidP="00C90C4C">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damage and public order</w:t>
      </w:r>
    </w:p>
    <w:p w14:paraId="41D6165E" w14:textId="77777777" w:rsidR="00C90C4C" w:rsidRPr="00C90C4C" w:rsidRDefault="00C90C4C" w:rsidP="00C90C4C">
      <w:pPr>
        <w:jc w:val="center"/>
        <w:rPr>
          <w:i/>
          <w:iCs/>
        </w:rPr>
      </w:pPr>
    </w:p>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damage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Pr="00B15CC3" w:rsidRDefault="0059522B" w:rsidP="009A3523"/>
        </w:tc>
        <w:tc>
          <w:tcPr>
            <w:tcW w:w="1803" w:type="dxa"/>
            <w:tcBorders>
              <w:top w:val="single" w:sz="4" w:space="0" w:color="auto"/>
              <w:bottom w:val="single" w:sz="4" w:space="0" w:color="auto"/>
            </w:tcBorders>
            <w:vAlign w:val="center"/>
          </w:tcPr>
          <w:p w14:paraId="179D8E70" w14:textId="2FF6B509" w:rsidR="0059522B" w:rsidRPr="00B15CC3" w:rsidRDefault="0059522B" w:rsidP="009E69EE">
            <w:pPr>
              <w:jc w:val="center"/>
            </w:pPr>
            <w:r w:rsidRPr="00B15CC3">
              <w:t>Possession of drugs</w:t>
            </w:r>
          </w:p>
        </w:tc>
        <w:tc>
          <w:tcPr>
            <w:tcW w:w="1803" w:type="dxa"/>
            <w:tcBorders>
              <w:top w:val="single" w:sz="4" w:space="0" w:color="auto"/>
              <w:bottom w:val="single" w:sz="4" w:space="0" w:color="auto"/>
            </w:tcBorders>
            <w:vAlign w:val="center"/>
          </w:tcPr>
          <w:p w14:paraId="126E1E74" w14:textId="4CAE62AF" w:rsidR="0059522B" w:rsidRPr="00B15CC3" w:rsidRDefault="0059522B" w:rsidP="009E69EE">
            <w:pPr>
              <w:jc w:val="center"/>
            </w:pPr>
            <w:r w:rsidRPr="00B15CC3">
              <w:t>Drug trafficking</w:t>
            </w:r>
          </w:p>
        </w:tc>
        <w:tc>
          <w:tcPr>
            <w:tcW w:w="1803" w:type="dxa"/>
            <w:tcBorders>
              <w:top w:val="single" w:sz="4" w:space="0" w:color="auto"/>
              <w:bottom w:val="single" w:sz="4" w:space="0" w:color="auto"/>
            </w:tcBorders>
            <w:vAlign w:val="center"/>
          </w:tcPr>
          <w:p w14:paraId="259311B9" w14:textId="572A001F" w:rsidR="0059522B" w:rsidRPr="00B15CC3" w:rsidRDefault="0059522B" w:rsidP="009E69EE">
            <w:pPr>
              <w:jc w:val="center"/>
            </w:pPr>
            <w:r w:rsidRPr="00B15CC3">
              <w:t>Public order and possession of weapons</w:t>
            </w:r>
          </w:p>
        </w:tc>
        <w:tc>
          <w:tcPr>
            <w:tcW w:w="1804" w:type="dxa"/>
            <w:tcBorders>
              <w:top w:val="single" w:sz="4" w:space="0" w:color="auto"/>
              <w:bottom w:val="single" w:sz="4" w:space="0" w:color="auto"/>
            </w:tcBorders>
            <w:vAlign w:val="center"/>
          </w:tcPr>
          <w:p w14:paraId="161BA7EC" w14:textId="2A79A53D" w:rsidR="0059522B" w:rsidRPr="00B15CC3" w:rsidRDefault="0059522B" w:rsidP="009E69EE">
            <w:pPr>
              <w:jc w:val="center"/>
            </w:pPr>
            <w:r w:rsidRPr="00B15CC3">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Pr="00B15CC3" w:rsidRDefault="001924AD" w:rsidP="001924AD">
            <w:r w:rsidRPr="00B15CC3">
              <w:t>(Intercept)</w:t>
            </w:r>
          </w:p>
        </w:tc>
        <w:tc>
          <w:tcPr>
            <w:tcW w:w="1803" w:type="dxa"/>
            <w:tcBorders>
              <w:top w:val="single" w:sz="4" w:space="0" w:color="auto"/>
            </w:tcBorders>
            <w:vAlign w:val="center"/>
          </w:tcPr>
          <w:p w14:paraId="26A87A8C" w14:textId="212AE245" w:rsidR="001924AD" w:rsidRPr="00B15CC3" w:rsidRDefault="001924AD" w:rsidP="001924AD">
            <w:pPr>
              <w:tabs>
                <w:tab w:val="decimal" w:pos="648"/>
              </w:tabs>
            </w:pPr>
            <w:r w:rsidRPr="00B15CC3">
              <w:t>333.8***</w:t>
            </w:r>
          </w:p>
        </w:tc>
        <w:tc>
          <w:tcPr>
            <w:tcW w:w="1803" w:type="dxa"/>
            <w:tcBorders>
              <w:top w:val="single" w:sz="4" w:space="0" w:color="auto"/>
            </w:tcBorders>
            <w:vAlign w:val="center"/>
          </w:tcPr>
          <w:p w14:paraId="287207D4" w14:textId="45012459" w:rsidR="001924AD" w:rsidRPr="00B15CC3" w:rsidRDefault="001924AD" w:rsidP="001924AD">
            <w:pPr>
              <w:tabs>
                <w:tab w:val="decimal" w:pos="660"/>
              </w:tabs>
            </w:pPr>
            <w:r w:rsidRPr="00B15CC3">
              <w:t>67.4***</w:t>
            </w:r>
          </w:p>
        </w:tc>
        <w:tc>
          <w:tcPr>
            <w:tcW w:w="1803" w:type="dxa"/>
            <w:tcBorders>
              <w:top w:val="single" w:sz="4" w:space="0" w:color="auto"/>
            </w:tcBorders>
            <w:vAlign w:val="center"/>
          </w:tcPr>
          <w:p w14:paraId="39A327FB" w14:textId="4E8BE74C" w:rsidR="001924AD" w:rsidRPr="00B15CC3" w:rsidRDefault="001924AD" w:rsidP="001924AD">
            <w:pPr>
              <w:tabs>
                <w:tab w:val="decimal" w:pos="780"/>
              </w:tabs>
            </w:pPr>
            <w:r w:rsidRPr="00B15CC3">
              <w:t>187.3***</w:t>
            </w:r>
          </w:p>
        </w:tc>
        <w:tc>
          <w:tcPr>
            <w:tcW w:w="1804" w:type="dxa"/>
            <w:tcBorders>
              <w:top w:val="single" w:sz="4" w:space="0" w:color="auto"/>
            </w:tcBorders>
            <w:vAlign w:val="center"/>
          </w:tcPr>
          <w:p w14:paraId="4341AB77" w14:textId="16D2DCBD" w:rsidR="001924AD" w:rsidRPr="00B15CC3" w:rsidRDefault="001924AD" w:rsidP="001924AD">
            <w:pPr>
              <w:tabs>
                <w:tab w:val="decimal" w:pos="792"/>
              </w:tabs>
            </w:pPr>
            <w:r w:rsidRPr="00B15CC3">
              <w:t>1715.9***</w:t>
            </w:r>
          </w:p>
        </w:tc>
      </w:tr>
      <w:tr w:rsidR="001924AD" w14:paraId="0A096E36" w14:textId="77777777" w:rsidTr="006B47E2">
        <w:tc>
          <w:tcPr>
            <w:tcW w:w="1803" w:type="dxa"/>
            <w:vAlign w:val="center"/>
          </w:tcPr>
          <w:p w14:paraId="601D4FCF" w14:textId="77777777" w:rsidR="001924AD" w:rsidRPr="00B15CC3" w:rsidRDefault="001924AD" w:rsidP="001924AD">
            <w:r w:rsidRPr="00B15CC3">
              <w:t>Time</w:t>
            </w:r>
          </w:p>
        </w:tc>
        <w:tc>
          <w:tcPr>
            <w:tcW w:w="1803" w:type="dxa"/>
            <w:vAlign w:val="center"/>
          </w:tcPr>
          <w:p w14:paraId="5F8B8F44" w14:textId="272F4000" w:rsidR="001924AD" w:rsidRPr="00B15CC3" w:rsidRDefault="001924AD" w:rsidP="001924AD">
            <w:pPr>
              <w:tabs>
                <w:tab w:val="decimal" w:pos="648"/>
              </w:tabs>
            </w:pPr>
            <w:r w:rsidRPr="00B15CC3">
              <w:t>4.4***</w:t>
            </w:r>
          </w:p>
        </w:tc>
        <w:tc>
          <w:tcPr>
            <w:tcW w:w="1803" w:type="dxa"/>
            <w:vAlign w:val="center"/>
          </w:tcPr>
          <w:p w14:paraId="08040018" w14:textId="57DC4047" w:rsidR="001924AD" w:rsidRPr="00B15CC3" w:rsidRDefault="001924AD" w:rsidP="001924AD">
            <w:pPr>
              <w:tabs>
                <w:tab w:val="decimal" w:pos="660"/>
              </w:tabs>
            </w:pPr>
            <w:r w:rsidRPr="00B15CC3">
              <w:t>0.2*</w:t>
            </w:r>
          </w:p>
        </w:tc>
        <w:tc>
          <w:tcPr>
            <w:tcW w:w="1803" w:type="dxa"/>
            <w:vAlign w:val="center"/>
          </w:tcPr>
          <w:p w14:paraId="1C844AC6" w14:textId="5B16D9C5" w:rsidR="001924AD" w:rsidRPr="00B15CC3" w:rsidRDefault="001924AD" w:rsidP="001924AD">
            <w:pPr>
              <w:tabs>
                <w:tab w:val="decimal" w:pos="780"/>
              </w:tabs>
            </w:pPr>
            <w:r w:rsidRPr="00B15CC3">
              <w:t>-0.1</w:t>
            </w:r>
          </w:p>
        </w:tc>
        <w:tc>
          <w:tcPr>
            <w:tcW w:w="1804" w:type="dxa"/>
            <w:vAlign w:val="center"/>
          </w:tcPr>
          <w:p w14:paraId="1A354E4C" w14:textId="01747323" w:rsidR="001924AD" w:rsidRPr="00B15CC3" w:rsidRDefault="001924AD" w:rsidP="001924AD">
            <w:pPr>
              <w:tabs>
                <w:tab w:val="decimal" w:pos="792"/>
              </w:tabs>
            </w:pPr>
            <w:r w:rsidRPr="00B15CC3">
              <w:t>-4.5***</w:t>
            </w:r>
          </w:p>
        </w:tc>
      </w:tr>
      <w:tr w:rsidR="001924AD" w14:paraId="284C3B9A" w14:textId="77777777" w:rsidTr="006B47E2">
        <w:tc>
          <w:tcPr>
            <w:tcW w:w="1803" w:type="dxa"/>
            <w:vAlign w:val="center"/>
          </w:tcPr>
          <w:p w14:paraId="26D5D4BA" w14:textId="77777777" w:rsidR="001924AD" w:rsidRPr="00B15CC3" w:rsidRDefault="001924AD" w:rsidP="001924AD">
            <w:r w:rsidRPr="00B15CC3">
              <w:t>First lockdown</w:t>
            </w:r>
          </w:p>
        </w:tc>
        <w:tc>
          <w:tcPr>
            <w:tcW w:w="1803" w:type="dxa"/>
            <w:vAlign w:val="center"/>
          </w:tcPr>
          <w:p w14:paraId="744EA581" w14:textId="4F748B20" w:rsidR="001924AD" w:rsidRPr="00B15CC3" w:rsidRDefault="001924AD" w:rsidP="001924AD">
            <w:pPr>
              <w:tabs>
                <w:tab w:val="decimal" w:pos="648"/>
              </w:tabs>
            </w:pPr>
            <w:r w:rsidRPr="00B15CC3">
              <w:t>-75.5</w:t>
            </w:r>
            <w:r w:rsidRPr="00B15CC3">
              <w:rPr>
                <w:vertAlign w:val="superscript"/>
              </w:rPr>
              <w:t>+</w:t>
            </w:r>
          </w:p>
        </w:tc>
        <w:tc>
          <w:tcPr>
            <w:tcW w:w="1803" w:type="dxa"/>
            <w:vAlign w:val="center"/>
          </w:tcPr>
          <w:p w14:paraId="08304013" w14:textId="379ABB63" w:rsidR="001924AD" w:rsidRPr="00B15CC3" w:rsidRDefault="001924AD" w:rsidP="001924AD">
            <w:pPr>
              <w:tabs>
                <w:tab w:val="decimal" w:pos="660"/>
              </w:tabs>
            </w:pPr>
            <w:r w:rsidRPr="00B15CC3">
              <w:t>-21.0*</w:t>
            </w:r>
          </w:p>
        </w:tc>
        <w:tc>
          <w:tcPr>
            <w:tcW w:w="1803" w:type="dxa"/>
            <w:vAlign w:val="center"/>
          </w:tcPr>
          <w:p w14:paraId="3E16D645" w14:textId="62A85EC3" w:rsidR="001924AD" w:rsidRPr="0097073C" w:rsidRDefault="001924AD" w:rsidP="001924AD">
            <w:pPr>
              <w:tabs>
                <w:tab w:val="decimal" w:pos="780"/>
              </w:tabs>
            </w:pPr>
            <w:r w:rsidRPr="0097073C">
              <w:t>-30.5</w:t>
            </w:r>
          </w:p>
        </w:tc>
        <w:tc>
          <w:tcPr>
            <w:tcW w:w="1804" w:type="dxa"/>
            <w:vAlign w:val="center"/>
          </w:tcPr>
          <w:p w14:paraId="0D26E5D8" w14:textId="5BF2E58E" w:rsidR="001924AD" w:rsidRPr="00B15CC3" w:rsidRDefault="001924AD" w:rsidP="001924AD">
            <w:pPr>
              <w:tabs>
                <w:tab w:val="decimal" w:pos="792"/>
              </w:tabs>
            </w:pPr>
            <w:r w:rsidRPr="00B15CC3">
              <w:t>-245.2</w:t>
            </w:r>
            <w:r w:rsidRPr="00B15CC3">
              <w:rPr>
                <w:vertAlign w:val="superscript"/>
              </w:rPr>
              <w:t>+</w:t>
            </w:r>
          </w:p>
        </w:tc>
      </w:tr>
      <w:tr w:rsidR="001924AD" w14:paraId="1375829E" w14:textId="77777777" w:rsidTr="006B47E2">
        <w:tc>
          <w:tcPr>
            <w:tcW w:w="1803" w:type="dxa"/>
            <w:vAlign w:val="center"/>
          </w:tcPr>
          <w:p w14:paraId="0F975C43" w14:textId="77777777" w:rsidR="001924AD" w:rsidRPr="00B15CC3" w:rsidRDefault="001924AD" w:rsidP="001924AD">
            <w:r w:rsidRPr="00B15CC3">
              <w:t>Time since first lockdown</w:t>
            </w:r>
          </w:p>
        </w:tc>
        <w:tc>
          <w:tcPr>
            <w:tcW w:w="1803" w:type="dxa"/>
            <w:vAlign w:val="center"/>
          </w:tcPr>
          <w:p w14:paraId="3CBB3D99" w14:textId="72889C59" w:rsidR="001924AD" w:rsidRPr="00B15CC3" w:rsidRDefault="001924AD" w:rsidP="001924AD">
            <w:pPr>
              <w:tabs>
                <w:tab w:val="decimal" w:pos="648"/>
              </w:tabs>
            </w:pPr>
            <w:r w:rsidRPr="00B15CC3">
              <w:t>4.4</w:t>
            </w:r>
          </w:p>
        </w:tc>
        <w:tc>
          <w:tcPr>
            <w:tcW w:w="1803" w:type="dxa"/>
            <w:vAlign w:val="center"/>
          </w:tcPr>
          <w:p w14:paraId="7636E674" w14:textId="46138567" w:rsidR="001924AD" w:rsidRPr="00B15CC3" w:rsidRDefault="001924AD" w:rsidP="001924AD">
            <w:pPr>
              <w:tabs>
                <w:tab w:val="decimal" w:pos="660"/>
              </w:tabs>
            </w:pPr>
            <w:r w:rsidRPr="00B15CC3">
              <w:t>5.1*</w:t>
            </w:r>
          </w:p>
        </w:tc>
        <w:tc>
          <w:tcPr>
            <w:tcW w:w="1803" w:type="dxa"/>
            <w:vAlign w:val="center"/>
          </w:tcPr>
          <w:p w14:paraId="3333E21C" w14:textId="5AA53AAA" w:rsidR="001924AD" w:rsidRPr="0097073C" w:rsidRDefault="001924AD" w:rsidP="001924AD">
            <w:pPr>
              <w:tabs>
                <w:tab w:val="decimal" w:pos="780"/>
              </w:tabs>
            </w:pPr>
            <w:r w:rsidRPr="0097073C">
              <w:t>11.8*</w:t>
            </w:r>
          </w:p>
        </w:tc>
        <w:tc>
          <w:tcPr>
            <w:tcW w:w="1804" w:type="dxa"/>
            <w:vAlign w:val="center"/>
          </w:tcPr>
          <w:p w14:paraId="68760A49" w14:textId="2234BC04" w:rsidR="001924AD" w:rsidRPr="00B15CC3" w:rsidRDefault="001924AD" w:rsidP="001924AD">
            <w:pPr>
              <w:tabs>
                <w:tab w:val="decimal" w:pos="792"/>
              </w:tabs>
            </w:pPr>
            <w:r w:rsidRPr="00B15CC3">
              <w:t>66.1*</w:t>
            </w:r>
          </w:p>
        </w:tc>
      </w:tr>
      <w:tr w:rsidR="001924AD" w14:paraId="18BAEC44" w14:textId="77777777" w:rsidTr="006B47E2">
        <w:tc>
          <w:tcPr>
            <w:tcW w:w="1803" w:type="dxa"/>
            <w:vAlign w:val="center"/>
          </w:tcPr>
          <w:p w14:paraId="127AC254" w14:textId="43B5378B" w:rsidR="001924AD" w:rsidRPr="00B15CC3" w:rsidRDefault="001924AD" w:rsidP="001924AD">
            <w:r w:rsidRPr="00B15CC3">
              <w:t>Second lockdown</w:t>
            </w:r>
          </w:p>
        </w:tc>
        <w:tc>
          <w:tcPr>
            <w:tcW w:w="1803" w:type="dxa"/>
            <w:vAlign w:val="center"/>
          </w:tcPr>
          <w:p w14:paraId="0A7DBB4E" w14:textId="3E57957B" w:rsidR="001924AD" w:rsidRPr="00B15CC3" w:rsidRDefault="001924AD" w:rsidP="001924AD">
            <w:pPr>
              <w:tabs>
                <w:tab w:val="decimal" w:pos="648"/>
              </w:tabs>
            </w:pPr>
            <w:r w:rsidRPr="00B15CC3">
              <w:t>-46.4</w:t>
            </w:r>
          </w:p>
        </w:tc>
        <w:tc>
          <w:tcPr>
            <w:tcW w:w="1803" w:type="dxa"/>
            <w:vAlign w:val="center"/>
          </w:tcPr>
          <w:p w14:paraId="148747F3" w14:textId="75F1A259" w:rsidR="001924AD" w:rsidRPr="00B15CC3" w:rsidRDefault="001924AD" w:rsidP="001924AD">
            <w:pPr>
              <w:tabs>
                <w:tab w:val="decimal" w:pos="660"/>
              </w:tabs>
            </w:pPr>
            <w:r w:rsidRPr="00B15CC3">
              <w:t>3.2</w:t>
            </w:r>
          </w:p>
        </w:tc>
        <w:tc>
          <w:tcPr>
            <w:tcW w:w="1803" w:type="dxa"/>
            <w:vAlign w:val="center"/>
          </w:tcPr>
          <w:p w14:paraId="24DFF9FD" w14:textId="6AAD6411" w:rsidR="001924AD" w:rsidRPr="0097073C" w:rsidRDefault="001924AD" w:rsidP="001924AD">
            <w:pPr>
              <w:tabs>
                <w:tab w:val="decimal" w:pos="780"/>
              </w:tabs>
            </w:pPr>
            <w:r w:rsidRPr="0097073C">
              <w:t>37.8</w:t>
            </w:r>
          </w:p>
        </w:tc>
        <w:tc>
          <w:tcPr>
            <w:tcW w:w="1804" w:type="dxa"/>
            <w:vAlign w:val="center"/>
          </w:tcPr>
          <w:p w14:paraId="3F86280A" w14:textId="5FB3AB7D" w:rsidR="001924AD" w:rsidRPr="00B15CC3" w:rsidRDefault="001924AD" w:rsidP="001924AD">
            <w:pPr>
              <w:tabs>
                <w:tab w:val="decimal" w:pos="792"/>
              </w:tabs>
            </w:pPr>
            <w:r w:rsidRPr="00B15CC3">
              <w:t>426.3</w:t>
            </w:r>
            <w:r w:rsidRPr="00B15CC3">
              <w:rPr>
                <w:vertAlign w:val="superscript"/>
              </w:rPr>
              <w:t>+</w:t>
            </w:r>
          </w:p>
        </w:tc>
      </w:tr>
      <w:tr w:rsidR="001924AD" w14:paraId="0CB21858" w14:textId="77777777" w:rsidTr="006B47E2">
        <w:tc>
          <w:tcPr>
            <w:tcW w:w="1803" w:type="dxa"/>
            <w:vAlign w:val="center"/>
          </w:tcPr>
          <w:p w14:paraId="38CE7374" w14:textId="1A20B45A" w:rsidR="001924AD" w:rsidRPr="00B15CC3" w:rsidRDefault="001924AD" w:rsidP="001924AD">
            <w:r w:rsidRPr="00B15CC3">
              <w:t>Time since second lockdown</w:t>
            </w:r>
          </w:p>
        </w:tc>
        <w:tc>
          <w:tcPr>
            <w:tcW w:w="1803" w:type="dxa"/>
            <w:vAlign w:val="center"/>
          </w:tcPr>
          <w:p w14:paraId="633007FF" w14:textId="79D0192B" w:rsidR="001924AD" w:rsidRPr="00364EB7" w:rsidRDefault="001924AD" w:rsidP="001924AD">
            <w:pPr>
              <w:tabs>
                <w:tab w:val="decimal" w:pos="648"/>
              </w:tabs>
            </w:pPr>
            <w:r w:rsidRPr="00364EB7">
              <w:t>31.1</w:t>
            </w:r>
          </w:p>
        </w:tc>
        <w:tc>
          <w:tcPr>
            <w:tcW w:w="1803" w:type="dxa"/>
            <w:vAlign w:val="center"/>
          </w:tcPr>
          <w:p w14:paraId="44AFC031" w14:textId="51EE19AE" w:rsidR="001924AD" w:rsidRPr="00B15CC3" w:rsidRDefault="001924AD" w:rsidP="001924AD">
            <w:pPr>
              <w:tabs>
                <w:tab w:val="decimal" w:pos="660"/>
              </w:tabs>
            </w:pPr>
            <w:r w:rsidRPr="00B15CC3">
              <w:t>5.3</w:t>
            </w:r>
          </w:p>
        </w:tc>
        <w:tc>
          <w:tcPr>
            <w:tcW w:w="1803" w:type="dxa"/>
            <w:vAlign w:val="center"/>
          </w:tcPr>
          <w:p w14:paraId="256CE9A0" w14:textId="6AB64364" w:rsidR="001924AD" w:rsidRPr="0097073C" w:rsidRDefault="001924AD" w:rsidP="001924AD">
            <w:pPr>
              <w:tabs>
                <w:tab w:val="decimal" w:pos="780"/>
              </w:tabs>
            </w:pPr>
            <w:r w:rsidRPr="0097073C">
              <w:t>-8.4</w:t>
            </w:r>
          </w:p>
        </w:tc>
        <w:tc>
          <w:tcPr>
            <w:tcW w:w="1804" w:type="dxa"/>
            <w:vAlign w:val="center"/>
          </w:tcPr>
          <w:p w14:paraId="5E4B6016" w14:textId="48995B07" w:rsidR="001924AD" w:rsidRPr="00B15CC3" w:rsidRDefault="001924AD" w:rsidP="001924AD">
            <w:pPr>
              <w:tabs>
                <w:tab w:val="decimal" w:pos="792"/>
              </w:tabs>
            </w:pPr>
            <w:r w:rsidRPr="00B15CC3">
              <w:t>-181.5</w:t>
            </w:r>
            <w:r w:rsidRPr="00B15CC3">
              <w:rPr>
                <w:vertAlign w:val="superscript"/>
              </w:rPr>
              <w:t>+</w:t>
            </w:r>
          </w:p>
        </w:tc>
      </w:tr>
      <w:tr w:rsidR="001924AD" w14:paraId="61344B1A" w14:textId="77777777" w:rsidTr="006B47E2">
        <w:tc>
          <w:tcPr>
            <w:tcW w:w="1803" w:type="dxa"/>
            <w:vAlign w:val="center"/>
          </w:tcPr>
          <w:p w14:paraId="1E2090B0" w14:textId="1B235AA9" w:rsidR="001924AD" w:rsidRPr="00B15CC3" w:rsidRDefault="001924AD" w:rsidP="001924AD">
            <w:r w:rsidRPr="00B15CC3">
              <w:t>Third lockdown</w:t>
            </w:r>
          </w:p>
        </w:tc>
        <w:tc>
          <w:tcPr>
            <w:tcW w:w="1803" w:type="dxa"/>
            <w:vAlign w:val="center"/>
          </w:tcPr>
          <w:p w14:paraId="625B66A2" w14:textId="19E90389" w:rsidR="001924AD" w:rsidRPr="00364EB7" w:rsidRDefault="001924AD" w:rsidP="001924AD">
            <w:pPr>
              <w:tabs>
                <w:tab w:val="decimal" w:pos="648"/>
              </w:tabs>
            </w:pPr>
            <w:r w:rsidRPr="00364EB7">
              <w:t>-93.7</w:t>
            </w:r>
            <w:r w:rsidRPr="00364EB7">
              <w:rPr>
                <w:vertAlign w:val="superscript"/>
              </w:rPr>
              <w:t>+</w:t>
            </w:r>
          </w:p>
        </w:tc>
        <w:tc>
          <w:tcPr>
            <w:tcW w:w="1803" w:type="dxa"/>
            <w:vAlign w:val="center"/>
          </w:tcPr>
          <w:p w14:paraId="677D459E" w14:textId="365C1109" w:rsidR="001924AD" w:rsidRPr="00B15CC3" w:rsidRDefault="001924AD" w:rsidP="001924AD">
            <w:pPr>
              <w:tabs>
                <w:tab w:val="decimal" w:pos="660"/>
              </w:tabs>
            </w:pPr>
            <w:r w:rsidRPr="00B15CC3">
              <w:t>-10.5</w:t>
            </w:r>
          </w:p>
        </w:tc>
        <w:tc>
          <w:tcPr>
            <w:tcW w:w="1803" w:type="dxa"/>
            <w:vAlign w:val="center"/>
          </w:tcPr>
          <w:p w14:paraId="4BE4A666" w14:textId="6DBCF734" w:rsidR="001924AD" w:rsidRPr="0097073C" w:rsidRDefault="001924AD" w:rsidP="001924AD">
            <w:pPr>
              <w:tabs>
                <w:tab w:val="decimal" w:pos="780"/>
              </w:tabs>
            </w:pPr>
            <w:r w:rsidRPr="0097073C">
              <w:t>-19.0</w:t>
            </w:r>
          </w:p>
        </w:tc>
        <w:tc>
          <w:tcPr>
            <w:tcW w:w="1804" w:type="dxa"/>
            <w:vAlign w:val="center"/>
          </w:tcPr>
          <w:p w14:paraId="1DD07564" w14:textId="6B601477" w:rsidR="001924AD" w:rsidRPr="00364EB7" w:rsidRDefault="001924AD" w:rsidP="001924AD">
            <w:pPr>
              <w:tabs>
                <w:tab w:val="decimal" w:pos="792"/>
              </w:tabs>
            </w:pPr>
            <w:r w:rsidRPr="00364EB7">
              <w:t>-200.1</w:t>
            </w:r>
          </w:p>
        </w:tc>
      </w:tr>
      <w:tr w:rsidR="001924AD" w14:paraId="560CA293" w14:textId="77777777" w:rsidTr="006B47E2">
        <w:tc>
          <w:tcPr>
            <w:tcW w:w="1803" w:type="dxa"/>
            <w:tcBorders>
              <w:bottom w:val="single" w:sz="4" w:space="0" w:color="auto"/>
            </w:tcBorders>
            <w:vAlign w:val="center"/>
          </w:tcPr>
          <w:p w14:paraId="2E32131E" w14:textId="50BE41EF" w:rsidR="001924AD" w:rsidRPr="00B15CC3" w:rsidRDefault="001924AD" w:rsidP="001924AD">
            <w:r w:rsidRPr="00B15CC3">
              <w:t>Time since third lockdown</w:t>
            </w:r>
          </w:p>
        </w:tc>
        <w:tc>
          <w:tcPr>
            <w:tcW w:w="1803" w:type="dxa"/>
            <w:tcBorders>
              <w:bottom w:val="single" w:sz="4" w:space="0" w:color="auto"/>
            </w:tcBorders>
            <w:vAlign w:val="center"/>
          </w:tcPr>
          <w:p w14:paraId="5214243D" w14:textId="13E6E17E" w:rsidR="001924AD" w:rsidRPr="00364EB7" w:rsidRDefault="001924AD" w:rsidP="001924AD">
            <w:pPr>
              <w:tabs>
                <w:tab w:val="decimal" w:pos="648"/>
              </w:tabs>
            </w:pPr>
            <w:r w:rsidRPr="00364EB7">
              <w:t>20.7</w:t>
            </w:r>
          </w:p>
        </w:tc>
        <w:tc>
          <w:tcPr>
            <w:tcW w:w="1803" w:type="dxa"/>
            <w:tcBorders>
              <w:bottom w:val="single" w:sz="4" w:space="0" w:color="auto"/>
            </w:tcBorders>
            <w:vAlign w:val="center"/>
          </w:tcPr>
          <w:p w14:paraId="69BF16CB" w14:textId="05066489" w:rsidR="001924AD" w:rsidRPr="00B15CC3" w:rsidRDefault="001924AD" w:rsidP="001924AD">
            <w:pPr>
              <w:tabs>
                <w:tab w:val="decimal" w:pos="660"/>
              </w:tabs>
            </w:pPr>
            <w:r w:rsidRPr="00B15CC3">
              <w:t>7.6*</w:t>
            </w:r>
          </w:p>
        </w:tc>
        <w:tc>
          <w:tcPr>
            <w:tcW w:w="1803" w:type="dxa"/>
            <w:tcBorders>
              <w:bottom w:val="single" w:sz="4" w:space="0" w:color="auto"/>
            </w:tcBorders>
            <w:vAlign w:val="center"/>
          </w:tcPr>
          <w:p w14:paraId="62DA5365" w14:textId="351F0E2E" w:rsidR="001924AD" w:rsidRPr="00B15CC3" w:rsidRDefault="001924AD" w:rsidP="001924AD">
            <w:pPr>
              <w:tabs>
                <w:tab w:val="decimal" w:pos="780"/>
              </w:tabs>
            </w:pPr>
            <w:r w:rsidRPr="00B15CC3">
              <w:t>9.3</w:t>
            </w:r>
          </w:p>
        </w:tc>
        <w:tc>
          <w:tcPr>
            <w:tcW w:w="1804" w:type="dxa"/>
            <w:tcBorders>
              <w:bottom w:val="single" w:sz="4" w:space="0" w:color="auto"/>
            </w:tcBorders>
            <w:vAlign w:val="center"/>
          </w:tcPr>
          <w:p w14:paraId="6CBE27E0" w14:textId="704A173D" w:rsidR="001924AD" w:rsidRPr="00364EB7" w:rsidRDefault="001924AD" w:rsidP="001924AD">
            <w:pPr>
              <w:tabs>
                <w:tab w:val="decimal" w:pos="792"/>
              </w:tabs>
            </w:pPr>
            <w:r w:rsidRPr="00364EB7">
              <w:t>78.8</w:t>
            </w:r>
            <w:r w:rsidRPr="00364EB7">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Pr="00B15CC3" w:rsidRDefault="001924AD" w:rsidP="001924AD">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A085904" w14:textId="6AABB0BF" w:rsidR="001924AD" w:rsidRPr="00B15CC3" w:rsidRDefault="001924AD" w:rsidP="001924AD">
            <w:pPr>
              <w:tabs>
                <w:tab w:val="decimal" w:pos="648"/>
              </w:tabs>
            </w:pPr>
            <w:r w:rsidRPr="00B15CC3">
              <w:t>0.76</w:t>
            </w:r>
          </w:p>
        </w:tc>
        <w:tc>
          <w:tcPr>
            <w:tcW w:w="1803" w:type="dxa"/>
            <w:tcBorders>
              <w:top w:val="single" w:sz="4" w:space="0" w:color="auto"/>
              <w:bottom w:val="single" w:sz="4" w:space="0" w:color="auto"/>
            </w:tcBorders>
            <w:vAlign w:val="center"/>
          </w:tcPr>
          <w:p w14:paraId="5D4BD421" w14:textId="614B7C36" w:rsidR="001924AD" w:rsidRPr="00B15CC3" w:rsidRDefault="001924AD" w:rsidP="001924AD">
            <w:pPr>
              <w:tabs>
                <w:tab w:val="decimal" w:pos="660"/>
              </w:tabs>
            </w:pPr>
            <w:r w:rsidRPr="00B15CC3">
              <w:t>0.29</w:t>
            </w:r>
          </w:p>
        </w:tc>
        <w:tc>
          <w:tcPr>
            <w:tcW w:w="1803" w:type="dxa"/>
            <w:tcBorders>
              <w:top w:val="single" w:sz="4" w:space="0" w:color="auto"/>
              <w:bottom w:val="single" w:sz="4" w:space="0" w:color="auto"/>
            </w:tcBorders>
            <w:vAlign w:val="center"/>
          </w:tcPr>
          <w:p w14:paraId="4115E27C" w14:textId="42547BA3" w:rsidR="001924AD" w:rsidRPr="00B15CC3" w:rsidRDefault="001924AD" w:rsidP="001924AD">
            <w:pPr>
              <w:tabs>
                <w:tab w:val="decimal" w:pos="780"/>
              </w:tabs>
            </w:pPr>
            <w:r w:rsidRPr="00B15CC3">
              <w:t>0.0</w:t>
            </w:r>
            <w:r w:rsidR="00B15CC3" w:rsidRPr="00B15CC3">
              <w:t>6</w:t>
            </w:r>
          </w:p>
        </w:tc>
        <w:tc>
          <w:tcPr>
            <w:tcW w:w="1804" w:type="dxa"/>
            <w:tcBorders>
              <w:top w:val="single" w:sz="4" w:space="0" w:color="auto"/>
              <w:bottom w:val="single" w:sz="4" w:space="0" w:color="auto"/>
            </w:tcBorders>
            <w:vAlign w:val="center"/>
          </w:tcPr>
          <w:p w14:paraId="7F9E897B" w14:textId="48AFCA4F" w:rsidR="001924AD" w:rsidRPr="00B15CC3" w:rsidRDefault="001924AD" w:rsidP="001924AD">
            <w:pPr>
              <w:tabs>
                <w:tab w:val="decimal" w:pos="792"/>
              </w:tabs>
            </w:pPr>
            <w:r w:rsidRPr="00B15CC3">
              <w:t>0.28</w:t>
            </w:r>
          </w:p>
        </w:tc>
      </w:tr>
    </w:tbl>
    <w:p w14:paraId="16EDED62" w14:textId="168C43D6" w:rsidR="0059522B" w:rsidRDefault="0059522B" w:rsidP="0059522B">
      <w:pPr>
        <w:spacing w:after="0" w:line="240" w:lineRule="auto"/>
      </w:pPr>
      <w:r>
        <w:t xml:space="preserve">***p-value&lt;0.001, **p-value&lt;0.01, *p-value&lt;0.05, </w:t>
      </w:r>
      <w:r w:rsidRPr="00BA0654">
        <w:rPr>
          <w:vertAlign w:val="superscript"/>
        </w:rPr>
        <w:t>+</w:t>
      </w:r>
      <w:r>
        <w:t>p-value&lt;0.1</w:t>
      </w:r>
    </w:p>
    <w:p w14:paraId="1E1333E6" w14:textId="7E8F568A" w:rsidR="006702C5" w:rsidRDefault="006702C5" w:rsidP="0059522B">
      <w:pPr>
        <w:spacing w:after="0" w:line="240" w:lineRule="auto"/>
      </w:pPr>
    </w:p>
    <w:p w14:paraId="21DF9FDE" w14:textId="10E9653E" w:rsidR="0059522B" w:rsidRDefault="006702C5" w:rsidP="006702C5">
      <w:pPr>
        <w:jc w:val="both"/>
      </w:pPr>
      <w:r>
        <w:lastRenderedPageBreak/>
        <w:t>The results of the segmented linear models (Table 2) are very similar to that of the multivariate regression models with ARIMA errors (Appendix), but there are not notable differences regarding the statistical significance of some variables. For instance, the multivariate ARIMA error model shows that the negative effect of the first lockdown on crime was also statistically significant in the case of public order and possession of weapon offences, the effect of time since the second and third lockdowns is also significant in the case of possession of drug crimes (while the immediate negative effect of the third lockdown on possession of drugs may not be significant), and the negative effect of the third lockdown on criminal damage may be statistically significant. We also see that the directionality of the effect of time since the second lockdown and third lockdown on public order and possession of drugs is the opposite in the multivariate ARIMA error model, but it is non-significant in both the segmented linear and the multivariate ARIMA error models.</w:t>
      </w:r>
    </w:p>
    <w:p w14:paraId="780432E9" w14:textId="4089A346" w:rsidR="00F46100" w:rsidRDefault="00FB41AC" w:rsidP="00F46100">
      <w:pPr>
        <w:pStyle w:val="Heading2"/>
      </w:pPr>
      <w:r>
        <w:t>5</w:t>
      </w:r>
      <w:r w:rsidR="00E20D9F">
        <w:t>.</w:t>
      </w:r>
      <w:r w:rsidR="00C257B0">
        <w:t>3</w:t>
      </w:r>
      <w:r w:rsidR="00E20D9F">
        <w:t xml:space="preserve"> </w:t>
      </w:r>
      <w:r w:rsidR="00F46100">
        <w:t>Burglary</w:t>
      </w:r>
    </w:p>
    <w:p w14:paraId="025977B7" w14:textId="0DBD99CC" w:rsidR="002A4380" w:rsidRDefault="00C90C4C" w:rsidP="00C90C4C">
      <w:pPr>
        <w:jc w:val="both"/>
      </w:pPr>
      <w:r>
        <w:t>The</w:t>
      </w:r>
      <w:r w:rsidR="006702C5">
        <w:t xml:space="preserve"> effect of the COVID-19 pandemic </w:t>
      </w:r>
      <w:r>
        <w:t xml:space="preserve">on burglary </w:t>
      </w:r>
      <w:r w:rsidR="0097073C">
        <w:t xml:space="preserve">trends </w:t>
      </w:r>
      <w:r>
        <w:t xml:space="preserve">in Northern Ireland was clearly different </w:t>
      </w:r>
      <w:r w:rsidR="0097073C">
        <w:t xml:space="preserve">depending on whether the crime happened in a household or non-residential building. </w:t>
      </w:r>
      <w:r>
        <w:t>While residential burglary decreased after March 2020 and remained</w:t>
      </w:r>
      <w:r w:rsidR="0097073C">
        <w:t xml:space="preserve"> well</w:t>
      </w:r>
      <w:r>
        <w:t xml:space="preserve"> below pre-COVID levels since then, non-residential burglary was not affected</w:t>
      </w:r>
      <w:r w:rsidR="0097073C">
        <w:t xml:space="preserve"> in any significant way</w:t>
      </w:r>
      <w:r>
        <w:t xml:space="preserve"> by any of the COVID-19 lockdowns (see Figure 5). None of the lockdowns, nor the time since each lockdown</w:t>
      </w:r>
      <w:r w:rsidR="0097073C">
        <w:t>,</w:t>
      </w:r>
      <w:r>
        <w:t xml:space="preserve"> ha</w:t>
      </w:r>
      <w:r w:rsidR="0097073C">
        <w:t>d</w:t>
      </w:r>
      <w:r>
        <w:t xml:space="preserve"> significant effects on non-residential </w:t>
      </w:r>
      <w:r w:rsidR="0097073C">
        <w:t>burglary</w:t>
      </w:r>
      <w:r>
        <w:t>. In the case of residential crime, the segmented linear model results indicate that crime decreased immediately after the first and third lockdowns</w:t>
      </w:r>
      <w:r w:rsidR="0097073C">
        <w:t>, and these changes were statistically significant</w:t>
      </w:r>
      <w:r>
        <w:t xml:space="preserve"> (Table 3), but the multivariate ARIMA error model indicate</w:t>
      </w:r>
      <w:r w:rsidR="0097073C">
        <w:t>s</w:t>
      </w:r>
      <w:r>
        <w:t xml:space="preserve"> that only the effect of the first lockdown was statistically significant.</w:t>
      </w:r>
    </w:p>
    <w:p w14:paraId="2952530F" w14:textId="7A9FDF32" w:rsidR="00CB328F" w:rsidRDefault="00CB328F" w:rsidP="0059522B">
      <w:r>
        <w:rPr>
          <w:noProof/>
        </w:rPr>
        <w:drawing>
          <wp:inline distT="0" distB="0" distL="0" distR="0" wp14:anchorId="105B4651" wp14:editId="39FD167B">
            <wp:extent cx="573151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765D217E" w14:textId="6DDAD562" w:rsidR="00C90C4C" w:rsidRPr="00C90C4C" w:rsidRDefault="0059522B" w:rsidP="00C90C4C">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Pr="0097073C" w:rsidRDefault="001924AD" w:rsidP="001924AD">
            <w:pPr>
              <w:tabs>
                <w:tab w:val="decimal" w:pos="1308"/>
              </w:tabs>
            </w:pPr>
            <w:r w:rsidRPr="0097073C">
              <w:t>2.9</w:t>
            </w:r>
          </w:p>
        </w:tc>
        <w:tc>
          <w:tcPr>
            <w:tcW w:w="3260" w:type="dxa"/>
            <w:vAlign w:val="center"/>
          </w:tcPr>
          <w:p w14:paraId="792BC2A4" w14:textId="0F848F87" w:rsidR="001924AD" w:rsidRPr="0097073C" w:rsidRDefault="0049544B" w:rsidP="001924AD">
            <w:pPr>
              <w:tabs>
                <w:tab w:val="decimal" w:pos="1476"/>
              </w:tabs>
            </w:pPr>
            <w:r w:rsidRPr="0097073C">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Pr="0097073C" w:rsidRDefault="001924AD" w:rsidP="001924AD">
            <w:pPr>
              <w:tabs>
                <w:tab w:val="decimal" w:pos="1308"/>
              </w:tabs>
            </w:pPr>
            <w:r w:rsidRPr="0097073C">
              <w:t>-11.5</w:t>
            </w:r>
          </w:p>
        </w:tc>
        <w:tc>
          <w:tcPr>
            <w:tcW w:w="3260" w:type="dxa"/>
            <w:vAlign w:val="center"/>
          </w:tcPr>
          <w:p w14:paraId="703D6E37" w14:textId="6F6934D1" w:rsidR="001924AD" w:rsidRPr="0097073C" w:rsidRDefault="0049544B" w:rsidP="001924AD">
            <w:pPr>
              <w:tabs>
                <w:tab w:val="decimal" w:pos="1476"/>
              </w:tabs>
            </w:pPr>
            <w:r w:rsidRPr="0097073C">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Pr="0097073C" w:rsidRDefault="001924AD" w:rsidP="001924AD">
            <w:pPr>
              <w:tabs>
                <w:tab w:val="decimal" w:pos="1308"/>
              </w:tabs>
            </w:pPr>
            <w:r w:rsidRPr="0097073C">
              <w:t>-15.3</w:t>
            </w:r>
          </w:p>
        </w:tc>
        <w:tc>
          <w:tcPr>
            <w:tcW w:w="3260" w:type="dxa"/>
            <w:vAlign w:val="center"/>
          </w:tcPr>
          <w:p w14:paraId="46D73BA7" w14:textId="12382E80" w:rsidR="001924AD" w:rsidRPr="0097073C" w:rsidRDefault="0049544B" w:rsidP="001924AD">
            <w:pPr>
              <w:tabs>
                <w:tab w:val="decimal" w:pos="1476"/>
              </w:tabs>
            </w:pPr>
            <w:r w:rsidRPr="0097073C">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Pr="0097073C" w:rsidRDefault="0049544B" w:rsidP="001924AD">
            <w:pPr>
              <w:tabs>
                <w:tab w:val="decimal" w:pos="1308"/>
              </w:tabs>
            </w:pPr>
            <w:r w:rsidRPr="0097073C">
              <w:t>-124.1*</w:t>
            </w:r>
          </w:p>
        </w:tc>
        <w:tc>
          <w:tcPr>
            <w:tcW w:w="3260" w:type="dxa"/>
            <w:vAlign w:val="center"/>
          </w:tcPr>
          <w:p w14:paraId="4AE4C949" w14:textId="1CA14D3D" w:rsidR="001924AD" w:rsidRPr="0097073C" w:rsidRDefault="0049544B" w:rsidP="001924AD">
            <w:pPr>
              <w:tabs>
                <w:tab w:val="decimal" w:pos="1476"/>
              </w:tabs>
            </w:pPr>
            <w:r w:rsidRPr="0097073C">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36EB7868" w:rsidR="001924AD" w:rsidRDefault="0049544B" w:rsidP="001924AD">
            <w:pPr>
              <w:tabs>
                <w:tab w:val="decimal" w:pos="1308"/>
              </w:tabs>
            </w:pPr>
            <w:r>
              <w:t>0.6</w:t>
            </w:r>
            <w:r w:rsidR="00B15CC3">
              <w:t>3</w:t>
            </w:r>
          </w:p>
        </w:tc>
        <w:tc>
          <w:tcPr>
            <w:tcW w:w="3260" w:type="dxa"/>
            <w:tcBorders>
              <w:top w:val="single" w:sz="4" w:space="0" w:color="auto"/>
              <w:bottom w:val="single" w:sz="4" w:space="0" w:color="auto"/>
            </w:tcBorders>
            <w:vAlign w:val="center"/>
          </w:tcPr>
          <w:p w14:paraId="0C7A3970" w14:textId="2B581157" w:rsidR="001924AD" w:rsidRDefault="0049544B" w:rsidP="001924AD">
            <w:pPr>
              <w:tabs>
                <w:tab w:val="decimal" w:pos="1476"/>
              </w:tabs>
            </w:pPr>
            <w:r>
              <w:t>0.8</w:t>
            </w:r>
            <w:r w:rsidR="00B15CC3">
              <w:t>4</w:t>
            </w:r>
          </w:p>
        </w:tc>
      </w:tr>
    </w:tbl>
    <w:p w14:paraId="71CCD823" w14:textId="3DC1EAC5" w:rsidR="00F46100" w:rsidRDefault="0059522B" w:rsidP="0097073C">
      <w:pPr>
        <w:spacing w:after="0" w:line="240" w:lineRule="auto"/>
      </w:pPr>
      <w:r>
        <w:t xml:space="preserve">***p-value&lt;0.001, **p-value&lt;0.01, *p-value&lt;0.05, </w:t>
      </w:r>
      <w:r w:rsidRPr="00BA0654">
        <w:rPr>
          <w:vertAlign w:val="superscript"/>
        </w:rPr>
        <w:t>+</w:t>
      </w:r>
      <w:r>
        <w:t>p-value&lt;0.1</w:t>
      </w:r>
    </w:p>
    <w:p w14:paraId="60022D31" w14:textId="00BD4309" w:rsidR="00F46100" w:rsidRDefault="00FB41AC" w:rsidP="00F46100">
      <w:pPr>
        <w:pStyle w:val="Heading2"/>
      </w:pPr>
      <w:r>
        <w:lastRenderedPageBreak/>
        <w:t>5</w:t>
      </w:r>
      <w:r w:rsidR="00E20D9F">
        <w:t xml:space="preserve">.4 </w:t>
      </w:r>
      <w:r w:rsidR="00F46100">
        <w:t>Theft</w:t>
      </w:r>
    </w:p>
    <w:p w14:paraId="217EEA90" w14:textId="5C31A885" w:rsidR="00DB0B5B" w:rsidRDefault="0097073C" w:rsidP="005B2DA5">
      <w:pPr>
        <w:jc w:val="both"/>
      </w:pPr>
      <w:r>
        <w:t xml:space="preserve">We distinguish four different types of theft: theft from the person, bicycle theft, theft of/from motor vehicle, and shoplifting. </w:t>
      </w:r>
      <w:r w:rsidR="00F00937">
        <w:t>As can be observed in Figure 6 and Table 4, t</w:t>
      </w:r>
      <w:r>
        <w:t>here are important differences in trends across these types of theft. First, reports of theft from person decreased significantly after each COVID-19 lockdown</w:t>
      </w:r>
      <w:r w:rsidR="00F00937">
        <w:t xml:space="preserve">, and started to return to pre-COVID levels progressively after lockdown restrictions were lifted in each case. While the ITS model in Table 4 indicates that the drops in crime observed after each lockdown were statistically significant, </w:t>
      </w:r>
      <w:r w:rsidR="001D3935">
        <w:t xml:space="preserve">the results of the multivariate model with ARIMA errors show that </w:t>
      </w:r>
      <w:r w:rsidR="00F00937">
        <w:t xml:space="preserve">none of those changes are statistically significant </w:t>
      </w:r>
      <w:r w:rsidR="001D3935">
        <w:t>(see Appendix)</w:t>
      </w:r>
      <w:r w:rsidR="00F00937">
        <w:t xml:space="preserve">. Second, the changes in bicycle theft during the pandemic appear to follow pre-COVID seasonal patterns, with </w:t>
      </w:r>
      <w:r w:rsidR="001D3935">
        <w:t xml:space="preserve">large </w:t>
      </w:r>
      <w:r w:rsidR="00F00937">
        <w:t xml:space="preserve">increases in crime during summer and </w:t>
      </w:r>
      <w:r w:rsidR="001D3935">
        <w:t>fewer</w:t>
      </w:r>
      <w:r w:rsidR="00F00937">
        <w:t xml:space="preserve"> crime</w:t>
      </w:r>
      <w:r w:rsidR="001D3935">
        <w:t>s</w:t>
      </w:r>
      <w:r w:rsidR="00F00937">
        <w:t xml:space="preserve"> during winter</w:t>
      </w:r>
      <w:r w:rsidR="0067461D">
        <w:t xml:space="preserve">. We note, however, that the decrease in bicycle theft seen immediately after the third lockdown provoked the lowest level in crime registered since April 2015, and as such this decrease is statistically significant both in the segmented linear model (Table 4) and the multivariate ARIMA error model (Appendix). Third, </w:t>
      </w:r>
      <w:r w:rsidR="00DE22F1">
        <w:t xml:space="preserve">the trend of </w:t>
      </w:r>
      <w:r w:rsidR="0067461D">
        <w:t xml:space="preserve">theft of/from vehicle during the pandemic follows the </w:t>
      </w:r>
      <w:r w:rsidR="00DE22F1">
        <w:t>steady</w:t>
      </w:r>
      <w:r w:rsidR="0067461D">
        <w:t xml:space="preserve"> decreasing trend seen before COVID-19, and </w:t>
      </w:r>
      <w:r w:rsidR="00DE22F1">
        <w:t xml:space="preserve">none of the changes observed since March 2020 </w:t>
      </w:r>
      <w:r w:rsidR="001D3935">
        <w:t>are</w:t>
      </w:r>
      <w:r w:rsidR="00DE22F1">
        <w:t xml:space="preserve"> statistically significant (the multivariate ARIMA </w:t>
      </w:r>
      <w:r w:rsidR="001D3935">
        <w:t xml:space="preserve">error </w:t>
      </w:r>
      <w:r w:rsidR="00DE22F1">
        <w:t xml:space="preserve">model indicates that the decrease in </w:t>
      </w:r>
      <w:r w:rsidR="001D3935">
        <w:t>crime</w:t>
      </w:r>
      <w:r w:rsidR="00DE22F1">
        <w:t xml:space="preserve"> after the third lockdown may be statistically significant). And fourth, we observe that shoplifting </w:t>
      </w:r>
      <w:r w:rsidR="00465C51">
        <w:t xml:space="preserve">experienced an </w:t>
      </w:r>
      <w:r w:rsidR="005B2DA5">
        <w:t>extensive</w:t>
      </w:r>
      <w:r w:rsidR="00465C51">
        <w:t xml:space="preserve"> decrease</w:t>
      </w:r>
      <w:r w:rsidR="00DE22F1">
        <w:t xml:space="preserve"> after the first and third lockdowns, and it started to bounce back to pre-COVID levels after these </w:t>
      </w:r>
      <w:r w:rsidR="00465C51">
        <w:t>stay-at-home orders</w:t>
      </w:r>
      <w:r w:rsidR="005B2DA5">
        <w:t xml:space="preserve">. </w:t>
      </w:r>
      <w:r w:rsidR="00465C51">
        <w:t>Model results also show that, in this case, there was a decrease in crime records instead of an increase d</w:t>
      </w:r>
      <w:r w:rsidR="001D3935">
        <w:t>uring the months following the second lockdown</w:t>
      </w:r>
      <w:r w:rsidR="005B2DA5">
        <w:t>, and this does not appear to be attributed to</w:t>
      </w:r>
      <w:r w:rsidR="00465C51">
        <w:t xml:space="preserve"> pre-COVID</w:t>
      </w:r>
      <w:r w:rsidR="005B2DA5">
        <w:t xml:space="preserve"> seasonal trends. All these changes are statistically significant both in the ITS and multivariate ARIMA error models.</w:t>
      </w:r>
    </w:p>
    <w:p w14:paraId="3B53B64D" w14:textId="0A415822" w:rsidR="00465C51" w:rsidRDefault="001D3935" w:rsidP="00465C51">
      <w:pPr>
        <w:jc w:val="both"/>
      </w:pPr>
      <w:r>
        <w:t>In this regard, the changes in trends of theft from person resemble the trends in violence offences seen above, while bicycle theft trends resemble public order and criminal damage trends, and changes in theft of/from vehicle trends are quite similar to that of non-residential burglary. Changes in shoplifting, however, do not equate any of the other crime types analysed before.</w:t>
      </w:r>
    </w:p>
    <w:p w14:paraId="036001BC" w14:textId="425662AC" w:rsidR="00CB328F" w:rsidRDefault="00CB328F" w:rsidP="00F46100">
      <w:r>
        <w:rPr>
          <w:noProof/>
        </w:rPr>
        <w:drawing>
          <wp:inline distT="0" distB="0" distL="0" distR="0" wp14:anchorId="53D58C9B" wp14:editId="58D501E8">
            <wp:extent cx="5731510" cy="3382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77777777" w:rsidR="002F23A7" w:rsidRDefault="002F23A7" w:rsidP="002F23A7"/>
    <w:p w14:paraId="0C5A8A97" w14:textId="6D8A04B6" w:rsid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5CC3" w:rsidRPr="00B15CC3" w14:paraId="1AEF3B53" w14:textId="77777777" w:rsidTr="008B3B0F">
        <w:tc>
          <w:tcPr>
            <w:tcW w:w="1803" w:type="dxa"/>
            <w:tcBorders>
              <w:top w:val="single" w:sz="4" w:space="0" w:color="auto"/>
              <w:bottom w:val="single" w:sz="4" w:space="0" w:color="auto"/>
            </w:tcBorders>
            <w:vAlign w:val="center"/>
          </w:tcPr>
          <w:p w14:paraId="54DFE577" w14:textId="77777777" w:rsidR="00B15CC3" w:rsidRPr="00B15CC3" w:rsidRDefault="00B15CC3" w:rsidP="00B15CC3"/>
        </w:tc>
        <w:tc>
          <w:tcPr>
            <w:tcW w:w="1803" w:type="dxa"/>
            <w:tcBorders>
              <w:top w:val="single" w:sz="4" w:space="0" w:color="auto"/>
              <w:bottom w:val="single" w:sz="4" w:space="0" w:color="auto"/>
            </w:tcBorders>
          </w:tcPr>
          <w:p w14:paraId="2C72F221" w14:textId="014E6F48" w:rsidR="00B15CC3" w:rsidRPr="00B15CC3" w:rsidRDefault="00B15CC3" w:rsidP="00B15CC3">
            <w:pPr>
              <w:jc w:val="center"/>
            </w:pPr>
            <w:r w:rsidRPr="00B15CC3">
              <w:t>Theft from person</w:t>
            </w:r>
          </w:p>
        </w:tc>
        <w:tc>
          <w:tcPr>
            <w:tcW w:w="1803" w:type="dxa"/>
            <w:tcBorders>
              <w:top w:val="single" w:sz="4" w:space="0" w:color="auto"/>
              <w:bottom w:val="single" w:sz="4" w:space="0" w:color="auto"/>
            </w:tcBorders>
          </w:tcPr>
          <w:p w14:paraId="50BFA50B" w14:textId="2BEF491E" w:rsidR="00B15CC3" w:rsidRPr="00B15CC3" w:rsidRDefault="00B15CC3" w:rsidP="00B15CC3">
            <w:pPr>
              <w:jc w:val="center"/>
            </w:pPr>
            <w:r w:rsidRPr="00B15CC3">
              <w:t>Bicycle theft</w:t>
            </w:r>
          </w:p>
        </w:tc>
        <w:tc>
          <w:tcPr>
            <w:tcW w:w="1803" w:type="dxa"/>
            <w:tcBorders>
              <w:top w:val="single" w:sz="4" w:space="0" w:color="auto"/>
              <w:bottom w:val="single" w:sz="4" w:space="0" w:color="auto"/>
            </w:tcBorders>
          </w:tcPr>
          <w:p w14:paraId="632B74A8" w14:textId="1E99B7E2" w:rsidR="00B15CC3" w:rsidRPr="00B15CC3" w:rsidRDefault="00B15CC3" w:rsidP="00B15CC3">
            <w:pPr>
              <w:jc w:val="center"/>
            </w:pPr>
            <w:r w:rsidRPr="00B15CC3">
              <w:t>Theft of/ from vehicle</w:t>
            </w:r>
          </w:p>
        </w:tc>
        <w:tc>
          <w:tcPr>
            <w:tcW w:w="1804" w:type="dxa"/>
            <w:tcBorders>
              <w:top w:val="single" w:sz="4" w:space="0" w:color="auto"/>
              <w:bottom w:val="single" w:sz="4" w:space="0" w:color="auto"/>
            </w:tcBorders>
          </w:tcPr>
          <w:p w14:paraId="15272CD2" w14:textId="72452594" w:rsidR="00B15CC3" w:rsidRPr="00B15CC3" w:rsidRDefault="00B15CC3" w:rsidP="00B15CC3">
            <w:pPr>
              <w:jc w:val="center"/>
            </w:pPr>
            <w:r w:rsidRPr="00B15CC3">
              <w:t>Shoplifting</w:t>
            </w:r>
          </w:p>
        </w:tc>
      </w:tr>
      <w:tr w:rsidR="00B15CC3" w:rsidRPr="00B15CC3" w14:paraId="60BF7C97" w14:textId="77777777" w:rsidTr="002732BF">
        <w:tc>
          <w:tcPr>
            <w:tcW w:w="1803" w:type="dxa"/>
            <w:tcBorders>
              <w:top w:val="single" w:sz="4" w:space="0" w:color="auto"/>
            </w:tcBorders>
            <w:vAlign w:val="center"/>
          </w:tcPr>
          <w:p w14:paraId="66C39A1E" w14:textId="77777777" w:rsidR="00B15CC3" w:rsidRPr="00B15CC3" w:rsidRDefault="00B15CC3" w:rsidP="00B15CC3">
            <w:r w:rsidRPr="00B15CC3">
              <w:t>(Intercept)</w:t>
            </w:r>
          </w:p>
        </w:tc>
        <w:tc>
          <w:tcPr>
            <w:tcW w:w="1803" w:type="dxa"/>
            <w:tcBorders>
              <w:top w:val="single" w:sz="4" w:space="0" w:color="auto"/>
            </w:tcBorders>
            <w:vAlign w:val="center"/>
          </w:tcPr>
          <w:p w14:paraId="78FC6F39" w14:textId="0E4E0CE9" w:rsidR="00B15CC3" w:rsidRPr="00B15CC3" w:rsidRDefault="00B15CC3" w:rsidP="00B15CC3">
            <w:pPr>
              <w:tabs>
                <w:tab w:val="decimal" w:pos="648"/>
              </w:tabs>
            </w:pPr>
            <w:r w:rsidRPr="00B15CC3">
              <w:t>41.2***</w:t>
            </w:r>
          </w:p>
        </w:tc>
        <w:tc>
          <w:tcPr>
            <w:tcW w:w="1803" w:type="dxa"/>
            <w:tcBorders>
              <w:top w:val="single" w:sz="4" w:space="0" w:color="auto"/>
            </w:tcBorders>
            <w:vAlign w:val="center"/>
          </w:tcPr>
          <w:p w14:paraId="0743E75B" w14:textId="5DBB48FD" w:rsidR="00B15CC3" w:rsidRPr="00B15CC3" w:rsidRDefault="00B15CC3" w:rsidP="00B15CC3">
            <w:pPr>
              <w:tabs>
                <w:tab w:val="decimal" w:pos="660"/>
              </w:tabs>
            </w:pPr>
            <w:r w:rsidRPr="00B15CC3">
              <w:t>66.5***</w:t>
            </w:r>
          </w:p>
        </w:tc>
        <w:tc>
          <w:tcPr>
            <w:tcW w:w="1803" w:type="dxa"/>
            <w:tcBorders>
              <w:top w:val="single" w:sz="4" w:space="0" w:color="auto"/>
            </w:tcBorders>
            <w:vAlign w:val="center"/>
          </w:tcPr>
          <w:p w14:paraId="530F3518" w14:textId="1C5DB84B" w:rsidR="00B15CC3" w:rsidRPr="00B15CC3" w:rsidRDefault="00B15CC3" w:rsidP="00B15CC3">
            <w:pPr>
              <w:tabs>
                <w:tab w:val="decimal" w:pos="780"/>
              </w:tabs>
            </w:pPr>
            <w:r w:rsidRPr="00B15CC3">
              <w:t>420.3***</w:t>
            </w:r>
          </w:p>
        </w:tc>
        <w:tc>
          <w:tcPr>
            <w:tcW w:w="1804" w:type="dxa"/>
            <w:tcBorders>
              <w:top w:val="single" w:sz="4" w:space="0" w:color="auto"/>
            </w:tcBorders>
            <w:vAlign w:val="center"/>
          </w:tcPr>
          <w:p w14:paraId="0974CBEA" w14:textId="3EAEB577" w:rsidR="00B15CC3" w:rsidRPr="00B15CC3" w:rsidRDefault="00B15CC3" w:rsidP="00B15CC3">
            <w:pPr>
              <w:tabs>
                <w:tab w:val="decimal" w:pos="792"/>
              </w:tabs>
            </w:pPr>
            <w:r w:rsidRPr="00B15CC3">
              <w:t>540.0***</w:t>
            </w:r>
          </w:p>
        </w:tc>
      </w:tr>
      <w:tr w:rsidR="00B15CC3" w:rsidRPr="00B15CC3" w14:paraId="1D529126" w14:textId="77777777" w:rsidTr="002732BF">
        <w:tc>
          <w:tcPr>
            <w:tcW w:w="1803" w:type="dxa"/>
            <w:vAlign w:val="center"/>
          </w:tcPr>
          <w:p w14:paraId="2D1B899E" w14:textId="77777777" w:rsidR="00B15CC3" w:rsidRPr="00B15CC3" w:rsidRDefault="00B15CC3" w:rsidP="00B15CC3">
            <w:r w:rsidRPr="00B15CC3">
              <w:t>Time</w:t>
            </w:r>
          </w:p>
        </w:tc>
        <w:tc>
          <w:tcPr>
            <w:tcW w:w="1803" w:type="dxa"/>
            <w:vAlign w:val="center"/>
          </w:tcPr>
          <w:p w14:paraId="147B474C" w14:textId="41C56B29" w:rsidR="00B15CC3" w:rsidRPr="00F00937" w:rsidRDefault="00B15CC3" w:rsidP="00B15CC3">
            <w:pPr>
              <w:tabs>
                <w:tab w:val="decimal" w:pos="648"/>
              </w:tabs>
            </w:pPr>
            <w:r w:rsidRPr="00F00937">
              <w:t>-0.0</w:t>
            </w:r>
          </w:p>
        </w:tc>
        <w:tc>
          <w:tcPr>
            <w:tcW w:w="1803" w:type="dxa"/>
            <w:vAlign w:val="center"/>
          </w:tcPr>
          <w:p w14:paraId="586ADA5E" w14:textId="78B56A24" w:rsidR="00B15CC3" w:rsidRPr="00B15CC3" w:rsidRDefault="00B15CC3" w:rsidP="00B15CC3">
            <w:pPr>
              <w:tabs>
                <w:tab w:val="decimal" w:pos="660"/>
              </w:tabs>
            </w:pPr>
            <w:r w:rsidRPr="00B15CC3">
              <w:t>0.1</w:t>
            </w:r>
          </w:p>
        </w:tc>
        <w:tc>
          <w:tcPr>
            <w:tcW w:w="1803" w:type="dxa"/>
            <w:vAlign w:val="center"/>
          </w:tcPr>
          <w:p w14:paraId="164824FD" w14:textId="78A73931" w:rsidR="00B15CC3" w:rsidRPr="00B15CC3" w:rsidRDefault="00B15CC3" w:rsidP="00B15CC3">
            <w:pPr>
              <w:tabs>
                <w:tab w:val="decimal" w:pos="780"/>
              </w:tabs>
            </w:pPr>
            <w:r w:rsidRPr="00B15CC3">
              <w:t>-2.7***</w:t>
            </w:r>
          </w:p>
        </w:tc>
        <w:tc>
          <w:tcPr>
            <w:tcW w:w="1804" w:type="dxa"/>
            <w:vAlign w:val="center"/>
          </w:tcPr>
          <w:p w14:paraId="68BFB368" w14:textId="2CA29F64" w:rsidR="00B15CC3" w:rsidRPr="00B15CC3" w:rsidRDefault="00B15CC3" w:rsidP="00B15CC3">
            <w:pPr>
              <w:tabs>
                <w:tab w:val="decimal" w:pos="792"/>
              </w:tabs>
            </w:pPr>
            <w:r w:rsidRPr="00B15CC3">
              <w:t>-0.0</w:t>
            </w:r>
          </w:p>
        </w:tc>
      </w:tr>
      <w:tr w:rsidR="00B15CC3" w:rsidRPr="00B15CC3" w14:paraId="108E8474" w14:textId="77777777" w:rsidTr="002732BF">
        <w:tc>
          <w:tcPr>
            <w:tcW w:w="1803" w:type="dxa"/>
            <w:vAlign w:val="center"/>
          </w:tcPr>
          <w:p w14:paraId="039715A8" w14:textId="77777777" w:rsidR="00B15CC3" w:rsidRPr="00B15CC3" w:rsidRDefault="00B15CC3" w:rsidP="00B15CC3">
            <w:r w:rsidRPr="00B15CC3">
              <w:t>First lockdown</w:t>
            </w:r>
          </w:p>
        </w:tc>
        <w:tc>
          <w:tcPr>
            <w:tcW w:w="1803" w:type="dxa"/>
            <w:vAlign w:val="center"/>
          </w:tcPr>
          <w:p w14:paraId="56268002" w14:textId="51847E1D" w:rsidR="00B15CC3" w:rsidRPr="00F00937" w:rsidRDefault="00B15CC3" w:rsidP="00B15CC3">
            <w:pPr>
              <w:tabs>
                <w:tab w:val="decimal" w:pos="648"/>
              </w:tabs>
            </w:pPr>
            <w:r w:rsidRPr="00F00937">
              <w:t>-20.0*</w:t>
            </w:r>
          </w:p>
        </w:tc>
        <w:tc>
          <w:tcPr>
            <w:tcW w:w="1803" w:type="dxa"/>
            <w:vAlign w:val="center"/>
          </w:tcPr>
          <w:p w14:paraId="1E09AC7D" w14:textId="50D0982F" w:rsidR="00B15CC3" w:rsidRPr="00B15CC3" w:rsidRDefault="00B15CC3" w:rsidP="00B15CC3">
            <w:pPr>
              <w:tabs>
                <w:tab w:val="decimal" w:pos="660"/>
              </w:tabs>
            </w:pPr>
            <w:r w:rsidRPr="00B15CC3">
              <w:t>-12.5</w:t>
            </w:r>
          </w:p>
        </w:tc>
        <w:tc>
          <w:tcPr>
            <w:tcW w:w="1803" w:type="dxa"/>
            <w:vAlign w:val="center"/>
          </w:tcPr>
          <w:p w14:paraId="742AF021" w14:textId="4506E33A" w:rsidR="00B15CC3" w:rsidRPr="00B15CC3" w:rsidRDefault="00B15CC3" w:rsidP="00B15CC3">
            <w:pPr>
              <w:tabs>
                <w:tab w:val="decimal" w:pos="780"/>
              </w:tabs>
            </w:pPr>
            <w:r w:rsidRPr="00B15CC3">
              <w:t>-30.9</w:t>
            </w:r>
          </w:p>
        </w:tc>
        <w:tc>
          <w:tcPr>
            <w:tcW w:w="1804" w:type="dxa"/>
            <w:vAlign w:val="center"/>
          </w:tcPr>
          <w:p w14:paraId="2E4B0F16" w14:textId="48E8A00B" w:rsidR="00B15CC3" w:rsidRPr="00B15CC3" w:rsidRDefault="00B15CC3" w:rsidP="00B15CC3">
            <w:pPr>
              <w:tabs>
                <w:tab w:val="decimal" w:pos="792"/>
              </w:tabs>
            </w:pPr>
            <w:r w:rsidRPr="00B15CC3">
              <w:t>-263.6***</w:t>
            </w:r>
          </w:p>
        </w:tc>
      </w:tr>
      <w:tr w:rsidR="00B15CC3" w:rsidRPr="00B15CC3" w14:paraId="0289F21E" w14:textId="77777777" w:rsidTr="002732BF">
        <w:tc>
          <w:tcPr>
            <w:tcW w:w="1803" w:type="dxa"/>
            <w:vAlign w:val="center"/>
          </w:tcPr>
          <w:p w14:paraId="467C183A" w14:textId="77777777" w:rsidR="00B15CC3" w:rsidRPr="00B15CC3" w:rsidRDefault="00B15CC3" w:rsidP="00B15CC3">
            <w:r w:rsidRPr="00B15CC3">
              <w:t>Time since first lockdown</w:t>
            </w:r>
          </w:p>
        </w:tc>
        <w:tc>
          <w:tcPr>
            <w:tcW w:w="1803" w:type="dxa"/>
            <w:vAlign w:val="center"/>
          </w:tcPr>
          <w:p w14:paraId="21BA4ADB" w14:textId="709E029B" w:rsidR="00B15CC3" w:rsidRPr="00F00937" w:rsidRDefault="00B15CC3" w:rsidP="00B15CC3">
            <w:pPr>
              <w:tabs>
                <w:tab w:val="decimal" w:pos="648"/>
              </w:tabs>
            </w:pPr>
            <w:r w:rsidRPr="00F00937">
              <w:t>0.0</w:t>
            </w:r>
          </w:p>
        </w:tc>
        <w:tc>
          <w:tcPr>
            <w:tcW w:w="1803" w:type="dxa"/>
            <w:vAlign w:val="center"/>
          </w:tcPr>
          <w:p w14:paraId="02D6689D" w14:textId="66053EA6" w:rsidR="00B15CC3" w:rsidRPr="0067461D" w:rsidRDefault="00B15CC3" w:rsidP="00B15CC3">
            <w:pPr>
              <w:tabs>
                <w:tab w:val="decimal" w:pos="660"/>
              </w:tabs>
            </w:pPr>
            <w:r w:rsidRPr="0067461D">
              <w:t>3.0</w:t>
            </w:r>
          </w:p>
        </w:tc>
        <w:tc>
          <w:tcPr>
            <w:tcW w:w="1803" w:type="dxa"/>
            <w:vAlign w:val="center"/>
          </w:tcPr>
          <w:p w14:paraId="7677F339" w14:textId="51096647" w:rsidR="00B15CC3" w:rsidRPr="00B15CC3" w:rsidRDefault="00B15CC3" w:rsidP="00B15CC3">
            <w:pPr>
              <w:tabs>
                <w:tab w:val="decimal" w:pos="780"/>
              </w:tabs>
            </w:pPr>
            <w:r w:rsidRPr="00B15CC3">
              <w:t>-1.3</w:t>
            </w:r>
          </w:p>
        </w:tc>
        <w:tc>
          <w:tcPr>
            <w:tcW w:w="1804" w:type="dxa"/>
            <w:vAlign w:val="center"/>
          </w:tcPr>
          <w:p w14:paraId="72BAC7A5" w14:textId="1C79FA0A" w:rsidR="00B15CC3" w:rsidRPr="00B15CC3" w:rsidRDefault="00B15CC3" w:rsidP="00B15CC3">
            <w:pPr>
              <w:tabs>
                <w:tab w:val="decimal" w:pos="792"/>
              </w:tabs>
            </w:pPr>
            <w:r w:rsidRPr="00B15CC3">
              <w:t>26.1*</w:t>
            </w:r>
          </w:p>
        </w:tc>
      </w:tr>
      <w:tr w:rsidR="00B15CC3" w:rsidRPr="00B15CC3" w14:paraId="711120A4" w14:textId="77777777" w:rsidTr="002732BF">
        <w:tc>
          <w:tcPr>
            <w:tcW w:w="1803" w:type="dxa"/>
            <w:vAlign w:val="center"/>
          </w:tcPr>
          <w:p w14:paraId="011A0F0B" w14:textId="77777777" w:rsidR="00B15CC3" w:rsidRPr="00B15CC3" w:rsidRDefault="00B15CC3" w:rsidP="00B15CC3">
            <w:r w:rsidRPr="00B15CC3">
              <w:t>Second lockdown</w:t>
            </w:r>
          </w:p>
        </w:tc>
        <w:tc>
          <w:tcPr>
            <w:tcW w:w="1803" w:type="dxa"/>
            <w:vAlign w:val="center"/>
          </w:tcPr>
          <w:p w14:paraId="5FBFB791" w14:textId="7D02B3BC" w:rsidR="00B15CC3" w:rsidRPr="00F00937" w:rsidRDefault="00B15CC3" w:rsidP="00B15CC3">
            <w:pPr>
              <w:tabs>
                <w:tab w:val="decimal" w:pos="648"/>
              </w:tabs>
            </w:pPr>
            <w:r w:rsidRPr="00F00937">
              <w:t>-33.9*</w:t>
            </w:r>
          </w:p>
        </w:tc>
        <w:tc>
          <w:tcPr>
            <w:tcW w:w="1803" w:type="dxa"/>
            <w:vAlign w:val="center"/>
          </w:tcPr>
          <w:p w14:paraId="58F22AB5" w14:textId="44F16921" w:rsidR="00B15CC3" w:rsidRPr="0067461D" w:rsidRDefault="00B15CC3" w:rsidP="00B15CC3">
            <w:pPr>
              <w:tabs>
                <w:tab w:val="decimal" w:pos="660"/>
              </w:tabs>
            </w:pPr>
            <w:r w:rsidRPr="0067461D">
              <w:t>33.5</w:t>
            </w:r>
          </w:p>
        </w:tc>
        <w:tc>
          <w:tcPr>
            <w:tcW w:w="1803" w:type="dxa"/>
            <w:vAlign w:val="center"/>
          </w:tcPr>
          <w:p w14:paraId="5D5D4435" w14:textId="49A771BD" w:rsidR="00B15CC3" w:rsidRPr="00DE22F1" w:rsidRDefault="00B15CC3" w:rsidP="00B15CC3">
            <w:pPr>
              <w:tabs>
                <w:tab w:val="decimal" w:pos="780"/>
              </w:tabs>
            </w:pPr>
            <w:r w:rsidRPr="00DE22F1">
              <w:t>22.1</w:t>
            </w:r>
          </w:p>
        </w:tc>
        <w:tc>
          <w:tcPr>
            <w:tcW w:w="1804" w:type="dxa"/>
            <w:vAlign w:val="center"/>
          </w:tcPr>
          <w:p w14:paraId="5E0E9904" w14:textId="55205097" w:rsidR="00B15CC3" w:rsidRPr="00B15CC3" w:rsidRDefault="00B15CC3" w:rsidP="00B15CC3">
            <w:pPr>
              <w:tabs>
                <w:tab w:val="decimal" w:pos="792"/>
              </w:tabs>
            </w:pPr>
            <w:r w:rsidRPr="00B15CC3">
              <w:t>71.7</w:t>
            </w:r>
          </w:p>
        </w:tc>
      </w:tr>
      <w:tr w:rsidR="00B15CC3" w:rsidRPr="00B15CC3" w14:paraId="68299123" w14:textId="77777777" w:rsidTr="002732BF">
        <w:tc>
          <w:tcPr>
            <w:tcW w:w="1803" w:type="dxa"/>
            <w:vAlign w:val="center"/>
          </w:tcPr>
          <w:p w14:paraId="391E2CE3" w14:textId="77777777" w:rsidR="00B15CC3" w:rsidRPr="00B15CC3" w:rsidRDefault="00B15CC3" w:rsidP="00B15CC3">
            <w:r w:rsidRPr="00B15CC3">
              <w:t>Time since second lockdown</w:t>
            </w:r>
          </w:p>
        </w:tc>
        <w:tc>
          <w:tcPr>
            <w:tcW w:w="1803" w:type="dxa"/>
            <w:vAlign w:val="center"/>
          </w:tcPr>
          <w:p w14:paraId="55ACDD4D" w14:textId="1B36F01E" w:rsidR="00B15CC3" w:rsidRPr="00F00937" w:rsidRDefault="00B15CC3" w:rsidP="00B15CC3">
            <w:pPr>
              <w:tabs>
                <w:tab w:val="decimal" w:pos="648"/>
              </w:tabs>
            </w:pPr>
            <w:r w:rsidRPr="00F00937">
              <w:t>7.5</w:t>
            </w:r>
          </w:p>
        </w:tc>
        <w:tc>
          <w:tcPr>
            <w:tcW w:w="1803" w:type="dxa"/>
            <w:vAlign w:val="center"/>
          </w:tcPr>
          <w:p w14:paraId="63B2AED5" w14:textId="7BA2C856" w:rsidR="00B15CC3" w:rsidRPr="0067461D" w:rsidRDefault="00B15CC3" w:rsidP="00B15CC3">
            <w:pPr>
              <w:tabs>
                <w:tab w:val="decimal" w:pos="660"/>
              </w:tabs>
            </w:pPr>
            <w:r w:rsidRPr="0067461D">
              <w:t>-26.1</w:t>
            </w:r>
          </w:p>
        </w:tc>
        <w:tc>
          <w:tcPr>
            <w:tcW w:w="1803" w:type="dxa"/>
            <w:vAlign w:val="center"/>
          </w:tcPr>
          <w:p w14:paraId="58EA15BE" w14:textId="42B73148" w:rsidR="00B15CC3" w:rsidRPr="00DE22F1" w:rsidRDefault="00B15CC3" w:rsidP="00B15CC3">
            <w:pPr>
              <w:tabs>
                <w:tab w:val="decimal" w:pos="780"/>
              </w:tabs>
            </w:pPr>
            <w:r w:rsidRPr="00DE22F1">
              <w:t>-13.7</w:t>
            </w:r>
          </w:p>
        </w:tc>
        <w:tc>
          <w:tcPr>
            <w:tcW w:w="1804" w:type="dxa"/>
            <w:vAlign w:val="center"/>
          </w:tcPr>
          <w:p w14:paraId="2750F73C" w14:textId="27567D48" w:rsidR="00B15CC3" w:rsidRPr="00B15CC3" w:rsidRDefault="00B15CC3" w:rsidP="00B15CC3">
            <w:pPr>
              <w:tabs>
                <w:tab w:val="decimal" w:pos="792"/>
              </w:tabs>
            </w:pPr>
            <w:r w:rsidRPr="00B15CC3">
              <w:t>-74.0</w:t>
            </w:r>
            <w:r w:rsidRPr="00B15CC3">
              <w:rPr>
                <w:vertAlign w:val="superscript"/>
              </w:rPr>
              <w:t>+</w:t>
            </w:r>
          </w:p>
        </w:tc>
      </w:tr>
      <w:tr w:rsidR="00B15CC3" w:rsidRPr="00B15CC3" w14:paraId="1416C714" w14:textId="77777777" w:rsidTr="002732BF">
        <w:tc>
          <w:tcPr>
            <w:tcW w:w="1803" w:type="dxa"/>
            <w:vAlign w:val="center"/>
          </w:tcPr>
          <w:p w14:paraId="1DB1CB7A" w14:textId="77777777" w:rsidR="00B15CC3" w:rsidRPr="00B15CC3" w:rsidRDefault="00B15CC3" w:rsidP="00B15CC3">
            <w:r w:rsidRPr="00B15CC3">
              <w:t>Third lockdown</w:t>
            </w:r>
          </w:p>
        </w:tc>
        <w:tc>
          <w:tcPr>
            <w:tcW w:w="1803" w:type="dxa"/>
            <w:vAlign w:val="center"/>
          </w:tcPr>
          <w:p w14:paraId="48D7C00A" w14:textId="728322F5" w:rsidR="00B15CC3" w:rsidRPr="00F00937" w:rsidRDefault="00B15CC3" w:rsidP="00B15CC3">
            <w:pPr>
              <w:tabs>
                <w:tab w:val="decimal" w:pos="648"/>
              </w:tabs>
            </w:pPr>
            <w:r w:rsidRPr="00F00937">
              <w:t>-30.8**</w:t>
            </w:r>
          </w:p>
        </w:tc>
        <w:tc>
          <w:tcPr>
            <w:tcW w:w="1803" w:type="dxa"/>
            <w:vAlign w:val="center"/>
          </w:tcPr>
          <w:p w14:paraId="17EF2CBB" w14:textId="71307486" w:rsidR="00B15CC3" w:rsidRPr="00B15CC3" w:rsidRDefault="00B15CC3" w:rsidP="00B15CC3">
            <w:pPr>
              <w:tabs>
                <w:tab w:val="decimal" w:pos="660"/>
              </w:tabs>
            </w:pPr>
            <w:r w:rsidRPr="00B15CC3">
              <w:t>-44.0</w:t>
            </w:r>
            <w:r w:rsidRPr="00B15CC3">
              <w:rPr>
                <w:vertAlign w:val="superscript"/>
              </w:rPr>
              <w:t>+</w:t>
            </w:r>
          </w:p>
        </w:tc>
        <w:tc>
          <w:tcPr>
            <w:tcW w:w="1803" w:type="dxa"/>
            <w:vAlign w:val="center"/>
          </w:tcPr>
          <w:p w14:paraId="4D93C764" w14:textId="0C565068" w:rsidR="00B15CC3" w:rsidRPr="00DE22F1" w:rsidRDefault="00B15CC3" w:rsidP="00B15CC3">
            <w:pPr>
              <w:tabs>
                <w:tab w:val="decimal" w:pos="780"/>
              </w:tabs>
            </w:pPr>
            <w:r w:rsidRPr="00DE22F1">
              <w:t>-38.3</w:t>
            </w:r>
          </w:p>
        </w:tc>
        <w:tc>
          <w:tcPr>
            <w:tcW w:w="1804" w:type="dxa"/>
            <w:vAlign w:val="center"/>
          </w:tcPr>
          <w:p w14:paraId="39552FC7" w14:textId="3FE58C33" w:rsidR="00B15CC3" w:rsidRPr="00B15CC3" w:rsidRDefault="00B15CC3" w:rsidP="00B15CC3">
            <w:pPr>
              <w:tabs>
                <w:tab w:val="decimal" w:pos="792"/>
              </w:tabs>
            </w:pPr>
            <w:r w:rsidRPr="00B15CC3">
              <w:t>-312.7***</w:t>
            </w:r>
          </w:p>
        </w:tc>
      </w:tr>
      <w:tr w:rsidR="00B15CC3" w:rsidRPr="00B15CC3" w14:paraId="789BC2CE" w14:textId="77777777" w:rsidTr="002732BF">
        <w:tc>
          <w:tcPr>
            <w:tcW w:w="1803" w:type="dxa"/>
            <w:tcBorders>
              <w:bottom w:val="single" w:sz="4" w:space="0" w:color="auto"/>
            </w:tcBorders>
            <w:vAlign w:val="center"/>
          </w:tcPr>
          <w:p w14:paraId="48DFFF51" w14:textId="77777777" w:rsidR="00B15CC3" w:rsidRPr="00B15CC3" w:rsidRDefault="00B15CC3" w:rsidP="00B15CC3">
            <w:r w:rsidRPr="00B15CC3">
              <w:t>Time since third lockdown</w:t>
            </w:r>
          </w:p>
        </w:tc>
        <w:tc>
          <w:tcPr>
            <w:tcW w:w="1803" w:type="dxa"/>
            <w:tcBorders>
              <w:bottom w:val="single" w:sz="4" w:space="0" w:color="auto"/>
            </w:tcBorders>
            <w:vAlign w:val="center"/>
          </w:tcPr>
          <w:p w14:paraId="545290FB" w14:textId="156FC775" w:rsidR="00B15CC3" w:rsidRPr="00B15CC3" w:rsidRDefault="00B15CC3" w:rsidP="00B15CC3">
            <w:pPr>
              <w:tabs>
                <w:tab w:val="decimal" w:pos="648"/>
              </w:tabs>
            </w:pPr>
            <w:r w:rsidRPr="00B15CC3">
              <w:t>2.3</w:t>
            </w:r>
          </w:p>
        </w:tc>
        <w:tc>
          <w:tcPr>
            <w:tcW w:w="1803" w:type="dxa"/>
            <w:tcBorders>
              <w:bottom w:val="single" w:sz="4" w:space="0" w:color="auto"/>
            </w:tcBorders>
            <w:vAlign w:val="center"/>
          </w:tcPr>
          <w:p w14:paraId="7E90BCC1" w14:textId="49D6EC3B" w:rsidR="00B15CC3" w:rsidRPr="00B15CC3" w:rsidRDefault="00B15CC3" w:rsidP="00B15CC3">
            <w:pPr>
              <w:tabs>
                <w:tab w:val="decimal" w:pos="660"/>
              </w:tabs>
            </w:pPr>
            <w:r w:rsidRPr="00B15CC3">
              <w:t>2.7</w:t>
            </w:r>
          </w:p>
        </w:tc>
        <w:tc>
          <w:tcPr>
            <w:tcW w:w="1803" w:type="dxa"/>
            <w:tcBorders>
              <w:bottom w:val="single" w:sz="4" w:space="0" w:color="auto"/>
            </w:tcBorders>
            <w:vAlign w:val="center"/>
          </w:tcPr>
          <w:p w14:paraId="11A63493" w14:textId="61EF827B" w:rsidR="00B15CC3" w:rsidRPr="00DE22F1" w:rsidRDefault="00B15CC3" w:rsidP="00B15CC3">
            <w:pPr>
              <w:tabs>
                <w:tab w:val="decimal" w:pos="780"/>
              </w:tabs>
            </w:pPr>
            <w:r w:rsidRPr="00DE22F1">
              <w:t>2.4</w:t>
            </w:r>
          </w:p>
        </w:tc>
        <w:tc>
          <w:tcPr>
            <w:tcW w:w="1804" w:type="dxa"/>
            <w:tcBorders>
              <w:bottom w:val="single" w:sz="4" w:space="0" w:color="auto"/>
            </w:tcBorders>
            <w:vAlign w:val="center"/>
          </w:tcPr>
          <w:p w14:paraId="303B93A4" w14:textId="5565249A" w:rsidR="00B15CC3" w:rsidRPr="00B15CC3" w:rsidRDefault="00B15CC3" w:rsidP="00B15CC3">
            <w:pPr>
              <w:tabs>
                <w:tab w:val="decimal" w:pos="792"/>
              </w:tabs>
            </w:pPr>
            <w:r w:rsidRPr="00B15CC3">
              <w:t>40.5*</w:t>
            </w:r>
          </w:p>
        </w:tc>
      </w:tr>
      <w:tr w:rsidR="00B15CC3" w:rsidRPr="00B15CC3" w14:paraId="165A0BF0" w14:textId="77777777" w:rsidTr="002732BF">
        <w:tc>
          <w:tcPr>
            <w:tcW w:w="1803" w:type="dxa"/>
            <w:tcBorders>
              <w:top w:val="single" w:sz="4" w:space="0" w:color="auto"/>
              <w:bottom w:val="single" w:sz="4" w:space="0" w:color="auto"/>
            </w:tcBorders>
            <w:vAlign w:val="center"/>
          </w:tcPr>
          <w:p w14:paraId="0A8D5CF0" w14:textId="77777777" w:rsidR="00B15CC3" w:rsidRPr="00B15CC3" w:rsidRDefault="00B15CC3" w:rsidP="00B15CC3">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C331FA7" w14:textId="627435E5" w:rsidR="00B15CC3" w:rsidRPr="00B15CC3" w:rsidRDefault="00B15CC3" w:rsidP="00B15CC3">
            <w:pPr>
              <w:tabs>
                <w:tab w:val="decimal" w:pos="648"/>
              </w:tabs>
            </w:pPr>
            <w:r w:rsidRPr="00B15CC3">
              <w:t>0.47</w:t>
            </w:r>
          </w:p>
        </w:tc>
        <w:tc>
          <w:tcPr>
            <w:tcW w:w="1803" w:type="dxa"/>
            <w:tcBorders>
              <w:top w:val="single" w:sz="4" w:space="0" w:color="auto"/>
              <w:bottom w:val="single" w:sz="4" w:space="0" w:color="auto"/>
            </w:tcBorders>
            <w:vAlign w:val="center"/>
          </w:tcPr>
          <w:p w14:paraId="005239EA" w14:textId="2038F1D6" w:rsidR="00B15CC3" w:rsidRPr="00B15CC3" w:rsidRDefault="00B15CC3" w:rsidP="00B15CC3">
            <w:pPr>
              <w:tabs>
                <w:tab w:val="decimal" w:pos="660"/>
              </w:tabs>
            </w:pPr>
            <w:r w:rsidRPr="00B15CC3">
              <w:t>0.09</w:t>
            </w:r>
          </w:p>
        </w:tc>
        <w:tc>
          <w:tcPr>
            <w:tcW w:w="1803" w:type="dxa"/>
            <w:tcBorders>
              <w:top w:val="single" w:sz="4" w:space="0" w:color="auto"/>
              <w:bottom w:val="single" w:sz="4" w:space="0" w:color="auto"/>
            </w:tcBorders>
            <w:vAlign w:val="center"/>
          </w:tcPr>
          <w:p w14:paraId="6D847D61" w14:textId="497D4EDF" w:rsidR="00B15CC3" w:rsidRPr="00B15CC3" w:rsidRDefault="00B15CC3" w:rsidP="00B15CC3">
            <w:pPr>
              <w:tabs>
                <w:tab w:val="decimal" w:pos="780"/>
              </w:tabs>
            </w:pPr>
            <w:r w:rsidRPr="00B15CC3">
              <w:t>0.76</w:t>
            </w:r>
          </w:p>
        </w:tc>
        <w:tc>
          <w:tcPr>
            <w:tcW w:w="1804" w:type="dxa"/>
            <w:tcBorders>
              <w:top w:val="single" w:sz="4" w:space="0" w:color="auto"/>
              <w:bottom w:val="single" w:sz="4" w:space="0" w:color="auto"/>
            </w:tcBorders>
            <w:vAlign w:val="center"/>
          </w:tcPr>
          <w:p w14:paraId="0ECAD500" w14:textId="4203A3BF" w:rsidR="00B15CC3" w:rsidRPr="00B15CC3" w:rsidRDefault="00B15CC3" w:rsidP="00B15CC3">
            <w:pPr>
              <w:tabs>
                <w:tab w:val="decimal" w:pos="792"/>
              </w:tabs>
            </w:pPr>
            <w:r w:rsidRPr="00B15CC3">
              <w:t>0.57</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t>5</w:t>
      </w:r>
      <w:r w:rsidR="00E20D9F">
        <w:t xml:space="preserve">.5 </w:t>
      </w:r>
      <w:r w:rsidR="00F46100">
        <w:t>Fraud</w:t>
      </w:r>
      <w:r w:rsidR="005F6FB3">
        <w:t xml:space="preserve"> and cybercrime</w:t>
      </w:r>
    </w:p>
    <w:p w14:paraId="12A755CF" w14:textId="5639F17D" w:rsidR="00DB0B5B" w:rsidRDefault="0095607B" w:rsidP="0095607B">
      <w:pPr>
        <w:jc w:val="both"/>
      </w:pPr>
      <w:r>
        <w:t xml:space="preserve">Finally, we also analyse changes in fraud and cybercrime during the pandemic. </w:t>
      </w:r>
      <w:r w:rsidR="00C32A97">
        <w:t>At first sight, in Figure 7 we can observe a remarkable increase in crime across all these types of fraud, cyber-enabled and not, and cyber-dependent crime since March 2020. In all these cases there was also a steady increase in crime since 2015, which is observed in the statistically significant effect of time on crime trends (see Table 5). There are, however, important differences across crime types, and a more nuanced analysis of the model results presented in Table 5 is needed.</w:t>
      </w:r>
    </w:p>
    <w:p w14:paraId="7B3CA49E" w14:textId="57F42FA9" w:rsidR="00CB328F" w:rsidRDefault="00CB328F" w:rsidP="00DB0B5B"/>
    <w:p w14:paraId="5921987C" w14:textId="1483AE47" w:rsidR="00F15B9A" w:rsidRDefault="00F15B9A" w:rsidP="00DB0B5B">
      <w:r>
        <w:rPr>
          <w:noProof/>
        </w:rPr>
        <w:lastRenderedPageBreak/>
        <w:drawing>
          <wp:inline distT="0" distB="0" distL="0" distR="0" wp14:anchorId="7DE383E8" wp14:editId="220C9671">
            <wp:extent cx="5731510" cy="378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20ADA6A3" w:rsid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45"/>
        <w:gridCol w:w="1376"/>
        <w:gridCol w:w="1492"/>
        <w:gridCol w:w="1506"/>
        <w:gridCol w:w="1372"/>
      </w:tblGrid>
      <w:tr w:rsidR="009669C3" w:rsidRPr="00B15CC3" w14:paraId="32EA3CC1" w14:textId="5B1064CA" w:rsidTr="009669C3">
        <w:tc>
          <w:tcPr>
            <w:tcW w:w="1951" w:type="dxa"/>
            <w:tcBorders>
              <w:top w:val="single" w:sz="4" w:space="0" w:color="auto"/>
              <w:bottom w:val="single" w:sz="4" w:space="0" w:color="auto"/>
            </w:tcBorders>
            <w:vAlign w:val="center"/>
          </w:tcPr>
          <w:p w14:paraId="2BE988B4" w14:textId="77777777" w:rsidR="009669C3" w:rsidRPr="00B15CC3" w:rsidRDefault="009669C3" w:rsidP="009669C3"/>
        </w:tc>
        <w:tc>
          <w:tcPr>
            <w:tcW w:w="1545" w:type="dxa"/>
            <w:tcBorders>
              <w:top w:val="single" w:sz="4" w:space="0" w:color="auto"/>
              <w:bottom w:val="single" w:sz="4" w:space="0" w:color="auto"/>
            </w:tcBorders>
            <w:vAlign w:val="center"/>
          </w:tcPr>
          <w:p w14:paraId="392E1EFC" w14:textId="731161C7" w:rsidR="009669C3" w:rsidRPr="00B15CC3" w:rsidRDefault="009669C3" w:rsidP="009669C3">
            <w:pPr>
              <w:jc w:val="center"/>
            </w:pPr>
            <w:r>
              <w:t>Investment and advance fee fraud</w:t>
            </w:r>
          </w:p>
        </w:tc>
        <w:tc>
          <w:tcPr>
            <w:tcW w:w="1376" w:type="dxa"/>
            <w:tcBorders>
              <w:top w:val="single" w:sz="4" w:space="0" w:color="auto"/>
              <w:bottom w:val="single" w:sz="4" w:space="0" w:color="auto"/>
            </w:tcBorders>
            <w:vAlign w:val="center"/>
          </w:tcPr>
          <w:p w14:paraId="396768DD" w14:textId="53696A3D" w:rsidR="009669C3" w:rsidRPr="00B15CC3" w:rsidRDefault="009669C3" w:rsidP="009669C3">
            <w:pPr>
              <w:jc w:val="center"/>
            </w:pPr>
            <w:r>
              <w:t>Consumer fraud offline</w:t>
            </w:r>
          </w:p>
        </w:tc>
        <w:tc>
          <w:tcPr>
            <w:tcW w:w="1492" w:type="dxa"/>
            <w:tcBorders>
              <w:top w:val="single" w:sz="4" w:space="0" w:color="auto"/>
              <w:bottom w:val="single" w:sz="4" w:space="0" w:color="auto"/>
            </w:tcBorders>
            <w:vAlign w:val="center"/>
          </w:tcPr>
          <w:p w14:paraId="4F2EAC6B" w14:textId="3DB688B5" w:rsidR="009669C3" w:rsidRPr="00B15CC3" w:rsidRDefault="009669C3" w:rsidP="009669C3">
            <w:pPr>
              <w:jc w:val="center"/>
            </w:pPr>
            <w:r>
              <w:t>Consumer fraud online</w:t>
            </w:r>
          </w:p>
        </w:tc>
        <w:tc>
          <w:tcPr>
            <w:tcW w:w="1506" w:type="dxa"/>
            <w:tcBorders>
              <w:top w:val="single" w:sz="4" w:space="0" w:color="auto"/>
              <w:bottom w:val="single" w:sz="4" w:space="0" w:color="auto"/>
            </w:tcBorders>
            <w:vAlign w:val="center"/>
          </w:tcPr>
          <w:p w14:paraId="4C995F4F" w14:textId="55B5D2E6" w:rsidR="009669C3" w:rsidRPr="00B15CC3" w:rsidRDefault="009669C3" w:rsidP="009669C3">
            <w:pPr>
              <w:jc w:val="center"/>
            </w:pPr>
            <w:r>
              <w:t>Other fraud</w:t>
            </w:r>
          </w:p>
        </w:tc>
        <w:tc>
          <w:tcPr>
            <w:tcW w:w="1372" w:type="dxa"/>
            <w:tcBorders>
              <w:top w:val="single" w:sz="4" w:space="0" w:color="auto"/>
              <w:bottom w:val="single" w:sz="4" w:space="0" w:color="auto"/>
            </w:tcBorders>
            <w:vAlign w:val="center"/>
          </w:tcPr>
          <w:p w14:paraId="1EF78A01" w14:textId="164EFF81" w:rsidR="009669C3" w:rsidRPr="00B15CC3" w:rsidRDefault="009669C3" w:rsidP="009669C3">
            <w:pPr>
              <w:tabs>
                <w:tab w:val="left" w:pos="533"/>
              </w:tabs>
              <w:jc w:val="center"/>
            </w:pPr>
            <w:r>
              <w:t>Cyber-dependent crime</w:t>
            </w:r>
          </w:p>
        </w:tc>
      </w:tr>
      <w:tr w:rsidR="009669C3" w:rsidRPr="00B15CC3" w14:paraId="503C83B8" w14:textId="1975FC11" w:rsidTr="009669C3">
        <w:tc>
          <w:tcPr>
            <w:tcW w:w="1951" w:type="dxa"/>
            <w:tcBorders>
              <w:top w:val="single" w:sz="4" w:space="0" w:color="auto"/>
            </w:tcBorders>
            <w:vAlign w:val="center"/>
          </w:tcPr>
          <w:p w14:paraId="5F2996E5" w14:textId="77777777" w:rsidR="009669C3" w:rsidRPr="00B15CC3" w:rsidRDefault="009669C3" w:rsidP="009669C3">
            <w:r w:rsidRPr="00B15CC3">
              <w:t>(Intercept)</w:t>
            </w:r>
          </w:p>
        </w:tc>
        <w:tc>
          <w:tcPr>
            <w:tcW w:w="1545" w:type="dxa"/>
            <w:tcBorders>
              <w:top w:val="single" w:sz="4" w:space="0" w:color="auto"/>
            </w:tcBorders>
            <w:vAlign w:val="center"/>
          </w:tcPr>
          <w:p w14:paraId="598EC6C7" w14:textId="5D6EBD35" w:rsidR="009669C3" w:rsidRPr="00B15CC3" w:rsidRDefault="009669C3" w:rsidP="009669C3">
            <w:pPr>
              <w:tabs>
                <w:tab w:val="decimal" w:pos="648"/>
              </w:tabs>
            </w:pPr>
            <w:r>
              <w:t>42.6***</w:t>
            </w:r>
          </w:p>
        </w:tc>
        <w:tc>
          <w:tcPr>
            <w:tcW w:w="1376" w:type="dxa"/>
            <w:tcBorders>
              <w:top w:val="single" w:sz="4" w:space="0" w:color="auto"/>
            </w:tcBorders>
            <w:vAlign w:val="center"/>
          </w:tcPr>
          <w:p w14:paraId="556C963C" w14:textId="4546CC7C" w:rsidR="009669C3" w:rsidRPr="00B15CC3" w:rsidRDefault="009669C3" w:rsidP="009669C3">
            <w:pPr>
              <w:tabs>
                <w:tab w:val="decimal" w:pos="660"/>
              </w:tabs>
            </w:pPr>
            <w:r>
              <w:t>10.8***</w:t>
            </w:r>
          </w:p>
        </w:tc>
        <w:tc>
          <w:tcPr>
            <w:tcW w:w="1492" w:type="dxa"/>
            <w:tcBorders>
              <w:top w:val="single" w:sz="4" w:space="0" w:color="auto"/>
            </w:tcBorders>
            <w:vAlign w:val="center"/>
          </w:tcPr>
          <w:p w14:paraId="41CC62C0" w14:textId="7DA8F7FD" w:rsidR="009669C3" w:rsidRPr="00B15CC3" w:rsidRDefault="009669C3" w:rsidP="009669C3">
            <w:pPr>
              <w:tabs>
                <w:tab w:val="decimal" w:pos="780"/>
              </w:tabs>
            </w:pPr>
            <w:r>
              <w:t>56.2***</w:t>
            </w:r>
          </w:p>
        </w:tc>
        <w:tc>
          <w:tcPr>
            <w:tcW w:w="1506" w:type="dxa"/>
            <w:tcBorders>
              <w:top w:val="single" w:sz="4" w:space="0" w:color="auto"/>
            </w:tcBorders>
            <w:vAlign w:val="center"/>
          </w:tcPr>
          <w:p w14:paraId="58F52941" w14:textId="6BB9683B" w:rsidR="009669C3" w:rsidRPr="00B15CC3" w:rsidRDefault="00CB328F" w:rsidP="009669C3">
            <w:pPr>
              <w:tabs>
                <w:tab w:val="decimal" w:pos="792"/>
              </w:tabs>
            </w:pPr>
            <w:r>
              <w:t>5</w:t>
            </w:r>
            <w:r w:rsidR="009669C3">
              <w:t>9.</w:t>
            </w:r>
            <w:r>
              <w:t>5</w:t>
            </w:r>
            <w:r w:rsidR="009669C3">
              <w:t>***</w:t>
            </w:r>
          </w:p>
        </w:tc>
        <w:tc>
          <w:tcPr>
            <w:tcW w:w="1372" w:type="dxa"/>
            <w:tcBorders>
              <w:top w:val="single" w:sz="4" w:space="0" w:color="auto"/>
            </w:tcBorders>
            <w:vAlign w:val="center"/>
          </w:tcPr>
          <w:p w14:paraId="5E53D863" w14:textId="4C9F7E28" w:rsidR="009669C3" w:rsidRPr="009669C3" w:rsidRDefault="009669C3" w:rsidP="009669C3">
            <w:pPr>
              <w:tabs>
                <w:tab w:val="left" w:pos="520"/>
                <w:tab w:val="left" w:pos="986"/>
              </w:tabs>
              <w:jc w:val="center"/>
            </w:pPr>
            <w:r>
              <w:t>16.4***</w:t>
            </w:r>
          </w:p>
        </w:tc>
      </w:tr>
      <w:tr w:rsidR="009669C3" w:rsidRPr="00B15CC3" w14:paraId="61FA3E8E" w14:textId="51A1415B" w:rsidTr="009669C3">
        <w:tc>
          <w:tcPr>
            <w:tcW w:w="1951" w:type="dxa"/>
            <w:vAlign w:val="center"/>
          </w:tcPr>
          <w:p w14:paraId="3C961345" w14:textId="77777777" w:rsidR="009669C3" w:rsidRPr="00B15CC3" w:rsidRDefault="009669C3" w:rsidP="009669C3">
            <w:r w:rsidRPr="00B15CC3">
              <w:t>Time</w:t>
            </w:r>
          </w:p>
        </w:tc>
        <w:tc>
          <w:tcPr>
            <w:tcW w:w="1545" w:type="dxa"/>
            <w:vAlign w:val="center"/>
          </w:tcPr>
          <w:p w14:paraId="646E0758" w14:textId="0284D5AE" w:rsidR="009669C3" w:rsidRPr="00B15CC3" w:rsidRDefault="009669C3" w:rsidP="009669C3">
            <w:pPr>
              <w:tabs>
                <w:tab w:val="decimal" w:pos="648"/>
              </w:tabs>
            </w:pPr>
            <w:r>
              <w:t>0.4***</w:t>
            </w:r>
          </w:p>
        </w:tc>
        <w:tc>
          <w:tcPr>
            <w:tcW w:w="1376" w:type="dxa"/>
            <w:vAlign w:val="center"/>
          </w:tcPr>
          <w:p w14:paraId="6C1CAD88" w14:textId="393D5FDB" w:rsidR="009669C3" w:rsidRPr="00B15CC3" w:rsidRDefault="009669C3" w:rsidP="009669C3">
            <w:pPr>
              <w:tabs>
                <w:tab w:val="decimal" w:pos="660"/>
              </w:tabs>
            </w:pPr>
            <w:r>
              <w:t>0.2***</w:t>
            </w:r>
          </w:p>
        </w:tc>
        <w:tc>
          <w:tcPr>
            <w:tcW w:w="1492" w:type="dxa"/>
            <w:vAlign w:val="center"/>
          </w:tcPr>
          <w:p w14:paraId="233A3032" w14:textId="6CC7CBA5" w:rsidR="009669C3" w:rsidRPr="00B15CC3" w:rsidRDefault="009669C3" w:rsidP="009669C3">
            <w:pPr>
              <w:tabs>
                <w:tab w:val="decimal" w:pos="780"/>
              </w:tabs>
            </w:pPr>
            <w:r>
              <w:t>0.8***</w:t>
            </w:r>
          </w:p>
        </w:tc>
        <w:tc>
          <w:tcPr>
            <w:tcW w:w="1506" w:type="dxa"/>
            <w:vAlign w:val="center"/>
          </w:tcPr>
          <w:p w14:paraId="0A57B653" w14:textId="3E6D2C85" w:rsidR="009669C3" w:rsidRPr="00B15CC3" w:rsidRDefault="009669C3" w:rsidP="009669C3">
            <w:pPr>
              <w:tabs>
                <w:tab w:val="decimal" w:pos="792"/>
              </w:tabs>
            </w:pPr>
            <w:r>
              <w:t>1.</w:t>
            </w:r>
            <w:r w:rsidR="00CB328F">
              <w:t>5</w:t>
            </w:r>
            <w:r>
              <w:t>***</w:t>
            </w:r>
          </w:p>
        </w:tc>
        <w:tc>
          <w:tcPr>
            <w:tcW w:w="1372" w:type="dxa"/>
            <w:vAlign w:val="center"/>
          </w:tcPr>
          <w:p w14:paraId="32550F69" w14:textId="1DB7A8A4" w:rsidR="009669C3" w:rsidRPr="009669C3" w:rsidRDefault="009669C3" w:rsidP="009669C3">
            <w:pPr>
              <w:tabs>
                <w:tab w:val="decimal" w:pos="398"/>
                <w:tab w:val="left" w:pos="520"/>
                <w:tab w:val="left" w:pos="986"/>
              </w:tabs>
              <w:jc w:val="center"/>
            </w:pPr>
            <w:r w:rsidRPr="009669C3">
              <w:t>0.2**</w:t>
            </w:r>
          </w:p>
        </w:tc>
      </w:tr>
      <w:tr w:rsidR="009669C3" w:rsidRPr="00B15CC3" w14:paraId="2F2EE487" w14:textId="043CF056" w:rsidTr="009669C3">
        <w:tc>
          <w:tcPr>
            <w:tcW w:w="1951" w:type="dxa"/>
            <w:vAlign w:val="center"/>
          </w:tcPr>
          <w:p w14:paraId="583EB476" w14:textId="77777777" w:rsidR="009669C3" w:rsidRPr="00B15CC3" w:rsidRDefault="009669C3" w:rsidP="009669C3">
            <w:r w:rsidRPr="00B15CC3">
              <w:t>First lockdown</w:t>
            </w:r>
          </w:p>
        </w:tc>
        <w:tc>
          <w:tcPr>
            <w:tcW w:w="1545" w:type="dxa"/>
            <w:vAlign w:val="center"/>
          </w:tcPr>
          <w:p w14:paraId="789DFBC3" w14:textId="55DC1F5E" w:rsidR="009669C3" w:rsidRPr="00B15CC3" w:rsidRDefault="009669C3" w:rsidP="009669C3">
            <w:pPr>
              <w:tabs>
                <w:tab w:val="decimal" w:pos="648"/>
              </w:tabs>
            </w:pPr>
            <w:r w:rsidRPr="00593A35">
              <w:rPr>
                <w:highlight w:val="yellow"/>
              </w:rPr>
              <w:t>-22.8</w:t>
            </w:r>
          </w:p>
        </w:tc>
        <w:tc>
          <w:tcPr>
            <w:tcW w:w="1376" w:type="dxa"/>
            <w:vAlign w:val="center"/>
          </w:tcPr>
          <w:p w14:paraId="5FD0736E" w14:textId="17FEBA2B" w:rsidR="009669C3" w:rsidRPr="00B15CC3" w:rsidRDefault="009669C3" w:rsidP="009669C3">
            <w:pPr>
              <w:tabs>
                <w:tab w:val="decimal" w:pos="660"/>
              </w:tabs>
            </w:pPr>
            <w:r w:rsidRPr="00593A35">
              <w:rPr>
                <w:highlight w:val="yellow"/>
              </w:rPr>
              <w:t>-3.5</w:t>
            </w:r>
          </w:p>
        </w:tc>
        <w:tc>
          <w:tcPr>
            <w:tcW w:w="1492" w:type="dxa"/>
            <w:vAlign w:val="center"/>
          </w:tcPr>
          <w:p w14:paraId="5AE92C16" w14:textId="36D9B050" w:rsidR="009669C3" w:rsidRPr="00B15CC3" w:rsidRDefault="009669C3" w:rsidP="009669C3">
            <w:pPr>
              <w:tabs>
                <w:tab w:val="decimal" w:pos="780"/>
              </w:tabs>
            </w:pPr>
            <w:r w:rsidRPr="00593A35">
              <w:rPr>
                <w:highlight w:val="yellow"/>
              </w:rPr>
              <w:t>3.0</w:t>
            </w:r>
          </w:p>
        </w:tc>
        <w:tc>
          <w:tcPr>
            <w:tcW w:w="1506" w:type="dxa"/>
            <w:vAlign w:val="center"/>
          </w:tcPr>
          <w:p w14:paraId="3E4D1BC3" w14:textId="27290001" w:rsidR="009669C3" w:rsidRPr="00B15CC3" w:rsidRDefault="009669C3" w:rsidP="009669C3">
            <w:pPr>
              <w:tabs>
                <w:tab w:val="decimal" w:pos="792"/>
              </w:tabs>
            </w:pPr>
            <w:r>
              <w:t>-</w:t>
            </w:r>
            <w:r w:rsidR="00CB328F">
              <w:t>46</w:t>
            </w:r>
            <w:r>
              <w:t>.</w:t>
            </w:r>
            <w:r w:rsidR="00CB328F">
              <w:t>5*</w:t>
            </w:r>
          </w:p>
        </w:tc>
        <w:tc>
          <w:tcPr>
            <w:tcW w:w="1372" w:type="dxa"/>
            <w:vAlign w:val="center"/>
          </w:tcPr>
          <w:p w14:paraId="30DCC7C5" w14:textId="29CD5978" w:rsidR="009669C3" w:rsidRPr="00B15CC3" w:rsidRDefault="009669C3" w:rsidP="009669C3">
            <w:pPr>
              <w:tabs>
                <w:tab w:val="left" w:pos="520"/>
                <w:tab w:val="left" w:pos="986"/>
              </w:tabs>
              <w:jc w:val="center"/>
            </w:pPr>
            <w:r w:rsidRPr="00593A35">
              <w:rPr>
                <w:highlight w:val="yellow"/>
              </w:rPr>
              <w:t>8.8</w:t>
            </w:r>
          </w:p>
        </w:tc>
      </w:tr>
      <w:tr w:rsidR="009669C3" w:rsidRPr="00B15CC3" w14:paraId="0B3EF81C" w14:textId="20E890B5" w:rsidTr="009669C3">
        <w:tc>
          <w:tcPr>
            <w:tcW w:w="1951" w:type="dxa"/>
            <w:vAlign w:val="center"/>
          </w:tcPr>
          <w:p w14:paraId="3501DCF8" w14:textId="77777777" w:rsidR="009669C3" w:rsidRPr="00B15CC3" w:rsidRDefault="009669C3" w:rsidP="009669C3">
            <w:r w:rsidRPr="00B15CC3">
              <w:t>Time since first lockdown</w:t>
            </w:r>
          </w:p>
        </w:tc>
        <w:tc>
          <w:tcPr>
            <w:tcW w:w="1545" w:type="dxa"/>
            <w:vAlign w:val="center"/>
          </w:tcPr>
          <w:p w14:paraId="2386EC57" w14:textId="287ACB51" w:rsidR="009669C3" w:rsidRPr="00B15CC3" w:rsidRDefault="009669C3" w:rsidP="009669C3">
            <w:pPr>
              <w:tabs>
                <w:tab w:val="decimal" w:pos="648"/>
              </w:tabs>
            </w:pPr>
            <w:r>
              <w:t>6.7*</w:t>
            </w:r>
          </w:p>
        </w:tc>
        <w:tc>
          <w:tcPr>
            <w:tcW w:w="1376" w:type="dxa"/>
            <w:vAlign w:val="center"/>
          </w:tcPr>
          <w:p w14:paraId="0A257BB5" w14:textId="0D83199A" w:rsidR="009669C3" w:rsidRPr="00B15CC3" w:rsidRDefault="009669C3" w:rsidP="009669C3">
            <w:pPr>
              <w:tabs>
                <w:tab w:val="decimal" w:pos="660"/>
              </w:tabs>
            </w:pPr>
            <w:r w:rsidRPr="00593A35">
              <w:rPr>
                <w:highlight w:val="yellow"/>
              </w:rPr>
              <w:t>1.9</w:t>
            </w:r>
            <w:r w:rsidRPr="00593A35">
              <w:rPr>
                <w:highlight w:val="yellow"/>
                <w:vertAlign w:val="superscript"/>
              </w:rPr>
              <w:t>+</w:t>
            </w:r>
          </w:p>
        </w:tc>
        <w:tc>
          <w:tcPr>
            <w:tcW w:w="1492" w:type="dxa"/>
            <w:vAlign w:val="center"/>
          </w:tcPr>
          <w:p w14:paraId="5B0787C6" w14:textId="082F47EF" w:rsidR="009669C3" w:rsidRPr="00593A35" w:rsidRDefault="009669C3" w:rsidP="009669C3">
            <w:pPr>
              <w:tabs>
                <w:tab w:val="decimal" w:pos="780"/>
              </w:tabs>
              <w:rPr>
                <w:highlight w:val="yellow"/>
              </w:rPr>
            </w:pPr>
            <w:r w:rsidRPr="00593A35">
              <w:rPr>
                <w:highlight w:val="yellow"/>
              </w:rPr>
              <w:t>5.6</w:t>
            </w:r>
          </w:p>
        </w:tc>
        <w:tc>
          <w:tcPr>
            <w:tcW w:w="1506" w:type="dxa"/>
            <w:vAlign w:val="center"/>
          </w:tcPr>
          <w:p w14:paraId="4AF09989" w14:textId="35BF8276" w:rsidR="009669C3" w:rsidRPr="00B15CC3" w:rsidRDefault="009669C3" w:rsidP="009669C3">
            <w:pPr>
              <w:tabs>
                <w:tab w:val="decimal" w:pos="792"/>
              </w:tabs>
            </w:pPr>
            <w:r w:rsidRPr="00593A35">
              <w:rPr>
                <w:highlight w:val="yellow"/>
              </w:rPr>
              <w:t>11.</w:t>
            </w:r>
            <w:r w:rsidR="00F15B9A" w:rsidRPr="00593A35">
              <w:rPr>
                <w:highlight w:val="yellow"/>
              </w:rPr>
              <w:t>8</w:t>
            </w:r>
            <w:r w:rsidRPr="00593A35">
              <w:rPr>
                <w:highlight w:val="yellow"/>
              </w:rPr>
              <w:t>*</w:t>
            </w:r>
          </w:p>
        </w:tc>
        <w:tc>
          <w:tcPr>
            <w:tcW w:w="1372" w:type="dxa"/>
            <w:vAlign w:val="center"/>
          </w:tcPr>
          <w:p w14:paraId="150435D1" w14:textId="45EE2BC8" w:rsidR="009669C3" w:rsidRPr="00B15CC3" w:rsidRDefault="009669C3" w:rsidP="009669C3">
            <w:pPr>
              <w:tabs>
                <w:tab w:val="left" w:pos="520"/>
                <w:tab w:val="left" w:pos="986"/>
              </w:tabs>
              <w:jc w:val="center"/>
            </w:pPr>
            <w:r>
              <w:t>-0.8</w:t>
            </w:r>
          </w:p>
        </w:tc>
      </w:tr>
      <w:tr w:rsidR="009669C3" w:rsidRPr="00B15CC3" w14:paraId="7A02E091" w14:textId="5D914008" w:rsidTr="009669C3">
        <w:tc>
          <w:tcPr>
            <w:tcW w:w="1951" w:type="dxa"/>
            <w:vAlign w:val="center"/>
          </w:tcPr>
          <w:p w14:paraId="09C10DC3" w14:textId="77777777" w:rsidR="009669C3" w:rsidRPr="00B15CC3" w:rsidRDefault="009669C3" w:rsidP="009669C3">
            <w:r w:rsidRPr="00B15CC3">
              <w:t>Second lockdown</w:t>
            </w:r>
          </w:p>
        </w:tc>
        <w:tc>
          <w:tcPr>
            <w:tcW w:w="1545" w:type="dxa"/>
            <w:vAlign w:val="center"/>
          </w:tcPr>
          <w:p w14:paraId="4E399F2C" w14:textId="26D024E2" w:rsidR="009669C3" w:rsidRPr="00B15CC3" w:rsidRDefault="009669C3" w:rsidP="009669C3">
            <w:pPr>
              <w:tabs>
                <w:tab w:val="decimal" w:pos="648"/>
              </w:tabs>
            </w:pPr>
            <w:r w:rsidRPr="00593A35">
              <w:rPr>
                <w:highlight w:val="yellow"/>
              </w:rPr>
              <w:t>21.8</w:t>
            </w:r>
          </w:p>
        </w:tc>
        <w:tc>
          <w:tcPr>
            <w:tcW w:w="1376" w:type="dxa"/>
            <w:vAlign w:val="center"/>
          </w:tcPr>
          <w:p w14:paraId="139C30B5" w14:textId="57EB75AB" w:rsidR="009669C3" w:rsidRPr="00B15CC3" w:rsidRDefault="009669C3" w:rsidP="009669C3">
            <w:pPr>
              <w:tabs>
                <w:tab w:val="decimal" w:pos="660"/>
              </w:tabs>
            </w:pPr>
            <w:r w:rsidRPr="00593A35">
              <w:rPr>
                <w:highlight w:val="yellow"/>
              </w:rPr>
              <w:t>9.1</w:t>
            </w:r>
          </w:p>
        </w:tc>
        <w:tc>
          <w:tcPr>
            <w:tcW w:w="1492" w:type="dxa"/>
            <w:vAlign w:val="center"/>
          </w:tcPr>
          <w:p w14:paraId="6A053B6F" w14:textId="451A6BB7" w:rsidR="009669C3" w:rsidRPr="00593A35" w:rsidRDefault="009669C3" w:rsidP="009669C3">
            <w:pPr>
              <w:tabs>
                <w:tab w:val="decimal" w:pos="780"/>
              </w:tabs>
              <w:rPr>
                <w:highlight w:val="yellow"/>
              </w:rPr>
            </w:pPr>
            <w:r w:rsidRPr="00593A35">
              <w:rPr>
                <w:highlight w:val="yellow"/>
              </w:rPr>
              <w:t>9.8</w:t>
            </w:r>
          </w:p>
        </w:tc>
        <w:tc>
          <w:tcPr>
            <w:tcW w:w="1506" w:type="dxa"/>
            <w:vAlign w:val="center"/>
          </w:tcPr>
          <w:p w14:paraId="65C60D8E" w14:textId="3E907238" w:rsidR="009669C3" w:rsidRPr="00B15CC3" w:rsidRDefault="00F15B9A" w:rsidP="009669C3">
            <w:pPr>
              <w:tabs>
                <w:tab w:val="decimal" w:pos="792"/>
              </w:tabs>
            </w:pPr>
            <w:r>
              <w:t>29.8</w:t>
            </w:r>
          </w:p>
        </w:tc>
        <w:tc>
          <w:tcPr>
            <w:tcW w:w="1372" w:type="dxa"/>
            <w:vAlign w:val="center"/>
          </w:tcPr>
          <w:p w14:paraId="28525A16" w14:textId="5D1273AB" w:rsidR="009669C3" w:rsidRPr="00B15CC3" w:rsidRDefault="009669C3" w:rsidP="009669C3">
            <w:pPr>
              <w:tabs>
                <w:tab w:val="left" w:pos="520"/>
                <w:tab w:val="left" w:pos="986"/>
              </w:tabs>
              <w:jc w:val="center"/>
            </w:pPr>
            <w:r>
              <w:t>-6.5</w:t>
            </w:r>
          </w:p>
        </w:tc>
      </w:tr>
      <w:tr w:rsidR="009669C3" w:rsidRPr="00B15CC3" w14:paraId="2AD9798F" w14:textId="7A56B609" w:rsidTr="009669C3">
        <w:tc>
          <w:tcPr>
            <w:tcW w:w="1951" w:type="dxa"/>
            <w:vAlign w:val="center"/>
          </w:tcPr>
          <w:p w14:paraId="5B6E0EAA" w14:textId="77777777" w:rsidR="009669C3" w:rsidRPr="00B15CC3" w:rsidRDefault="009669C3" w:rsidP="009669C3">
            <w:r w:rsidRPr="00B15CC3">
              <w:t>Time since second lockdown</w:t>
            </w:r>
          </w:p>
        </w:tc>
        <w:tc>
          <w:tcPr>
            <w:tcW w:w="1545" w:type="dxa"/>
            <w:vAlign w:val="center"/>
          </w:tcPr>
          <w:p w14:paraId="2835707E" w14:textId="28B21EE3" w:rsidR="009669C3" w:rsidRPr="00B15CC3" w:rsidRDefault="009669C3" w:rsidP="009669C3">
            <w:pPr>
              <w:tabs>
                <w:tab w:val="decimal" w:pos="648"/>
              </w:tabs>
            </w:pPr>
            <w:r>
              <w:t>-6.4</w:t>
            </w:r>
          </w:p>
        </w:tc>
        <w:tc>
          <w:tcPr>
            <w:tcW w:w="1376" w:type="dxa"/>
            <w:vAlign w:val="center"/>
          </w:tcPr>
          <w:p w14:paraId="2529585C" w14:textId="6636DED4" w:rsidR="009669C3" w:rsidRPr="00593A35" w:rsidRDefault="009669C3" w:rsidP="009669C3">
            <w:pPr>
              <w:tabs>
                <w:tab w:val="decimal" w:pos="660"/>
              </w:tabs>
              <w:rPr>
                <w:highlight w:val="yellow"/>
              </w:rPr>
            </w:pPr>
            <w:r w:rsidRPr="00593A35">
              <w:rPr>
                <w:highlight w:val="yellow"/>
              </w:rPr>
              <w:t>-2.2</w:t>
            </w:r>
          </w:p>
        </w:tc>
        <w:tc>
          <w:tcPr>
            <w:tcW w:w="1492" w:type="dxa"/>
            <w:vAlign w:val="center"/>
          </w:tcPr>
          <w:p w14:paraId="3E2F78F2" w14:textId="695E94B9" w:rsidR="009669C3" w:rsidRPr="00B15CC3" w:rsidRDefault="009669C3" w:rsidP="009669C3">
            <w:pPr>
              <w:tabs>
                <w:tab w:val="decimal" w:pos="780"/>
              </w:tabs>
            </w:pPr>
            <w:r w:rsidRPr="00593A35">
              <w:rPr>
                <w:highlight w:val="yellow"/>
              </w:rPr>
              <w:t>24.2</w:t>
            </w:r>
          </w:p>
        </w:tc>
        <w:tc>
          <w:tcPr>
            <w:tcW w:w="1506" w:type="dxa"/>
            <w:vAlign w:val="center"/>
          </w:tcPr>
          <w:p w14:paraId="3E3FA63E" w14:textId="5E607924" w:rsidR="009669C3" w:rsidRPr="00B15CC3" w:rsidRDefault="009669C3" w:rsidP="009669C3">
            <w:pPr>
              <w:tabs>
                <w:tab w:val="decimal" w:pos="792"/>
              </w:tabs>
            </w:pPr>
            <w:r w:rsidRPr="00593A35">
              <w:rPr>
                <w:highlight w:val="yellow"/>
              </w:rPr>
              <w:t>-</w:t>
            </w:r>
            <w:r w:rsidR="00F15B9A" w:rsidRPr="00593A35">
              <w:rPr>
                <w:highlight w:val="yellow"/>
              </w:rPr>
              <w:t>6.5</w:t>
            </w:r>
          </w:p>
        </w:tc>
        <w:tc>
          <w:tcPr>
            <w:tcW w:w="1372" w:type="dxa"/>
            <w:vAlign w:val="center"/>
          </w:tcPr>
          <w:p w14:paraId="6B927260" w14:textId="27EC430F" w:rsidR="009669C3" w:rsidRPr="00B15CC3" w:rsidRDefault="009669C3" w:rsidP="009669C3">
            <w:pPr>
              <w:tabs>
                <w:tab w:val="left" w:pos="520"/>
                <w:tab w:val="left" w:pos="986"/>
              </w:tabs>
              <w:jc w:val="center"/>
            </w:pPr>
            <w:r>
              <w:t>13.2**</w:t>
            </w:r>
          </w:p>
        </w:tc>
      </w:tr>
      <w:tr w:rsidR="009669C3" w:rsidRPr="00B15CC3" w14:paraId="3CD29AA8" w14:textId="6C3AB77F" w:rsidTr="009669C3">
        <w:tc>
          <w:tcPr>
            <w:tcW w:w="1951" w:type="dxa"/>
            <w:vAlign w:val="center"/>
          </w:tcPr>
          <w:p w14:paraId="74191F0A" w14:textId="77777777" w:rsidR="009669C3" w:rsidRPr="00B15CC3" w:rsidRDefault="009669C3" w:rsidP="009669C3">
            <w:r w:rsidRPr="00B15CC3">
              <w:t>Third lockdown</w:t>
            </w:r>
          </w:p>
        </w:tc>
        <w:tc>
          <w:tcPr>
            <w:tcW w:w="1545" w:type="dxa"/>
            <w:vAlign w:val="center"/>
          </w:tcPr>
          <w:p w14:paraId="02C8B667" w14:textId="5C599067" w:rsidR="009669C3" w:rsidRPr="00B15CC3" w:rsidRDefault="009669C3" w:rsidP="009669C3">
            <w:pPr>
              <w:tabs>
                <w:tab w:val="decimal" w:pos="648"/>
              </w:tabs>
            </w:pPr>
            <w:r>
              <w:t>16.7</w:t>
            </w:r>
          </w:p>
        </w:tc>
        <w:tc>
          <w:tcPr>
            <w:tcW w:w="1376" w:type="dxa"/>
            <w:vAlign w:val="center"/>
          </w:tcPr>
          <w:p w14:paraId="690A32F4" w14:textId="23C37187" w:rsidR="009669C3" w:rsidRPr="00593A35" w:rsidRDefault="009669C3" w:rsidP="009669C3">
            <w:pPr>
              <w:tabs>
                <w:tab w:val="decimal" w:pos="660"/>
              </w:tabs>
              <w:rPr>
                <w:highlight w:val="yellow"/>
              </w:rPr>
            </w:pPr>
            <w:r w:rsidRPr="00593A35">
              <w:rPr>
                <w:highlight w:val="yellow"/>
              </w:rPr>
              <w:t>-2.1</w:t>
            </w:r>
          </w:p>
        </w:tc>
        <w:tc>
          <w:tcPr>
            <w:tcW w:w="1492" w:type="dxa"/>
            <w:vAlign w:val="center"/>
          </w:tcPr>
          <w:p w14:paraId="4751BAEC" w14:textId="48A91A0D" w:rsidR="009669C3" w:rsidRPr="00B15CC3" w:rsidRDefault="009669C3" w:rsidP="009669C3">
            <w:pPr>
              <w:tabs>
                <w:tab w:val="decimal" w:pos="780"/>
              </w:tabs>
            </w:pPr>
            <w:r w:rsidRPr="00593A35">
              <w:rPr>
                <w:highlight w:val="yellow"/>
              </w:rPr>
              <w:t>60.1*</w:t>
            </w:r>
          </w:p>
        </w:tc>
        <w:tc>
          <w:tcPr>
            <w:tcW w:w="1506" w:type="dxa"/>
            <w:vAlign w:val="center"/>
          </w:tcPr>
          <w:p w14:paraId="257CB904" w14:textId="19F955F6" w:rsidR="009669C3" w:rsidRPr="00B15CC3" w:rsidRDefault="00F15B9A" w:rsidP="009669C3">
            <w:pPr>
              <w:tabs>
                <w:tab w:val="decimal" w:pos="792"/>
              </w:tabs>
            </w:pPr>
            <w:r>
              <w:t>26</w:t>
            </w:r>
            <w:r w:rsidR="009669C3">
              <w:t>.</w:t>
            </w:r>
            <w:r>
              <w:t>3</w:t>
            </w:r>
          </w:p>
        </w:tc>
        <w:tc>
          <w:tcPr>
            <w:tcW w:w="1372" w:type="dxa"/>
            <w:vAlign w:val="center"/>
          </w:tcPr>
          <w:p w14:paraId="239E6F43" w14:textId="2DD56B6B" w:rsidR="009669C3" w:rsidRPr="00B15CC3" w:rsidRDefault="009669C3" w:rsidP="009669C3">
            <w:pPr>
              <w:tabs>
                <w:tab w:val="left" w:pos="520"/>
                <w:tab w:val="left" w:pos="986"/>
              </w:tabs>
              <w:jc w:val="center"/>
            </w:pPr>
            <w:r>
              <w:t>0.4</w:t>
            </w:r>
          </w:p>
        </w:tc>
      </w:tr>
      <w:tr w:rsidR="009669C3" w:rsidRPr="00B15CC3" w14:paraId="7AAADB66" w14:textId="101F1504" w:rsidTr="009669C3">
        <w:tc>
          <w:tcPr>
            <w:tcW w:w="1951" w:type="dxa"/>
            <w:tcBorders>
              <w:bottom w:val="single" w:sz="4" w:space="0" w:color="auto"/>
            </w:tcBorders>
            <w:vAlign w:val="center"/>
          </w:tcPr>
          <w:p w14:paraId="7683EE74" w14:textId="77777777" w:rsidR="009669C3" w:rsidRPr="00B15CC3" w:rsidRDefault="009669C3" w:rsidP="009669C3">
            <w:r w:rsidRPr="00B15CC3">
              <w:t>Time since third lockdown</w:t>
            </w:r>
          </w:p>
        </w:tc>
        <w:tc>
          <w:tcPr>
            <w:tcW w:w="1545" w:type="dxa"/>
            <w:tcBorders>
              <w:bottom w:val="single" w:sz="4" w:space="0" w:color="auto"/>
            </w:tcBorders>
            <w:vAlign w:val="center"/>
          </w:tcPr>
          <w:p w14:paraId="3E5FC6A9" w14:textId="2385055B" w:rsidR="009669C3" w:rsidRPr="00B15CC3" w:rsidRDefault="009669C3" w:rsidP="009669C3">
            <w:pPr>
              <w:tabs>
                <w:tab w:val="decimal" w:pos="648"/>
              </w:tabs>
            </w:pPr>
            <w:r>
              <w:t>-0.8</w:t>
            </w:r>
          </w:p>
        </w:tc>
        <w:tc>
          <w:tcPr>
            <w:tcW w:w="1376" w:type="dxa"/>
            <w:tcBorders>
              <w:bottom w:val="single" w:sz="4" w:space="0" w:color="auto"/>
            </w:tcBorders>
            <w:vAlign w:val="center"/>
          </w:tcPr>
          <w:p w14:paraId="7B55183C" w14:textId="693E9C2A" w:rsidR="009669C3" w:rsidRPr="00593A35" w:rsidRDefault="009669C3" w:rsidP="009669C3">
            <w:pPr>
              <w:tabs>
                <w:tab w:val="decimal" w:pos="660"/>
              </w:tabs>
              <w:rPr>
                <w:highlight w:val="yellow"/>
              </w:rPr>
            </w:pPr>
            <w:r w:rsidRPr="00593A35">
              <w:rPr>
                <w:highlight w:val="yellow"/>
              </w:rPr>
              <w:t>2.3</w:t>
            </w:r>
          </w:p>
        </w:tc>
        <w:tc>
          <w:tcPr>
            <w:tcW w:w="1492" w:type="dxa"/>
            <w:tcBorders>
              <w:bottom w:val="single" w:sz="4" w:space="0" w:color="auto"/>
            </w:tcBorders>
            <w:vAlign w:val="center"/>
          </w:tcPr>
          <w:p w14:paraId="0A8FA3A5" w14:textId="4DA632CF" w:rsidR="009669C3" w:rsidRPr="00B15CC3" w:rsidRDefault="009669C3" w:rsidP="009669C3">
            <w:pPr>
              <w:tabs>
                <w:tab w:val="decimal" w:pos="780"/>
              </w:tabs>
            </w:pPr>
            <w:r>
              <w:t>-3.6</w:t>
            </w:r>
          </w:p>
        </w:tc>
        <w:tc>
          <w:tcPr>
            <w:tcW w:w="1506" w:type="dxa"/>
            <w:tcBorders>
              <w:bottom w:val="single" w:sz="4" w:space="0" w:color="auto"/>
            </w:tcBorders>
            <w:vAlign w:val="center"/>
          </w:tcPr>
          <w:p w14:paraId="4385AF82" w14:textId="4E7D17D7" w:rsidR="009669C3" w:rsidRPr="00B15CC3" w:rsidRDefault="00F15B9A" w:rsidP="009669C3">
            <w:pPr>
              <w:tabs>
                <w:tab w:val="decimal" w:pos="792"/>
              </w:tabs>
            </w:pPr>
            <w:r w:rsidRPr="00593A35">
              <w:rPr>
                <w:highlight w:val="yellow"/>
              </w:rPr>
              <w:t>7</w:t>
            </w:r>
            <w:r w:rsidR="009669C3" w:rsidRPr="00593A35">
              <w:rPr>
                <w:highlight w:val="yellow"/>
              </w:rPr>
              <w:t>.</w:t>
            </w:r>
            <w:r w:rsidRPr="00593A35">
              <w:rPr>
                <w:highlight w:val="yellow"/>
              </w:rPr>
              <w:t>9</w:t>
            </w:r>
          </w:p>
        </w:tc>
        <w:tc>
          <w:tcPr>
            <w:tcW w:w="1372" w:type="dxa"/>
            <w:tcBorders>
              <w:bottom w:val="single" w:sz="4" w:space="0" w:color="auto"/>
            </w:tcBorders>
            <w:vAlign w:val="center"/>
          </w:tcPr>
          <w:p w14:paraId="1375EC5C" w14:textId="6F86C0F5" w:rsidR="009669C3" w:rsidRPr="00B15CC3" w:rsidRDefault="009669C3" w:rsidP="009669C3">
            <w:pPr>
              <w:tabs>
                <w:tab w:val="left" w:pos="520"/>
                <w:tab w:val="left" w:pos="986"/>
              </w:tabs>
              <w:jc w:val="center"/>
            </w:pPr>
            <w:r>
              <w:t>1.6</w:t>
            </w:r>
          </w:p>
        </w:tc>
      </w:tr>
      <w:tr w:rsidR="009669C3" w:rsidRPr="00B15CC3" w14:paraId="678DBB48" w14:textId="2DF937DA" w:rsidTr="009669C3">
        <w:tc>
          <w:tcPr>
            <w:tcW w:w="1951" w:type="dxa"/>
            <w:tcBorders>
              <w:top w:val="single" w:sz="4" w:space="0" w:color="auto"/>
              <w:bottom w:val="single" w:sz="4" w:space="0" w:color="auto"/>
            </w:tcBorders>
            <w:vAlign w:val="center"/>
          </w:tcPr>
          <w:p w14:paraId="07AFDBB5" w14:textId="77777777" w:rsidR="009669C3" w:rsidRPr="00B15CC3" w:rsidRDefault="009669C3" w:rsidP="009669C3">
            <w:r w:rsidRPr="00B15CC3">
              <w:t>Adjusted R</w:t>
            </w:r>
            <w:r w:rsidRPr="00B15CC3">
              <w:rPr>
                <w:vertAlign w:val="superscript"/>
              </w:rPr>
              <w:t>2</w:t>
            </w:r>
          </w:p>
        </w:tc>
        <w:tc>
          <w:tcPr>
            <w:tcW w:w="1545" w:type="dxa"/>
            <w:tcBorders>
              <w:top w:val="single" w:sz="4" w:space="0" w:color="auto"/>
              <w:bottom w:val="single" w:sz="4" w:space="0" w:color="auto"/>
            </w:tcBorders>
            <w:vAlign w:val="center"/>
          </w:tcPr>
          <w:p w14:paraId="008C67C7" w14:textId="09419B32" w:rsidR="009669C3" w:rsidRPr="00B15CC3" w:rsidRDefault="009669C3" w:rsidP="009669C3">
            <w:pPr>
              <w:tabs>
                <w:tab w:val="decimal" w:pos="648"/>
              </w:tabs>
            </w:pPr>
            <w:r>
              <w:t>0.36</w:t>
            </w:r>
          </w:p>
        </w:tc>
        <w:tc>
          <w:tcPr>
            <w:tcW w:w="1376" w:type="dxa"/>
            <w:tcBorders>
              <w:top w:val="single" w:sz="4" w:space="0" w:color="auto"/>
              <w:bottom w:val="single" w:sz="4" w:space="0" w:color="auto"/>
            </w:tcBorders>
            <w:vAlign w:val="center"/>
          </w:tcPr>
          <w:p w14:paraId="2575F98A" w14:textId="5D060343" w:rsidR="009669C3" w:rsidRPr="00B15CC3" w:rsidRDefault="009669C3" w:rsidP="009669C3">
            <w:pPr>
              <w:tabs>
                <w:tab w:val="decimal" w:pos="660"/>
              </w:tabs>
            </w:pPr>
            <w:r>
              <w:t>0.49</w:t>
            </w:r>
          </w:p>
        </w:tc>
        <w:tc>
          <w:tcPr>
            <w:tcW w:w="1492" w:type="dxa"/>
            <w:tcBorders>
              <w:top w:val="single" w:sz="4" w:space="0" w:color="auto"/>
              <w:bottom w:val="single" w:sz="4" w:space="0" w:color="auto"/>
            </w:tcBorders>
            <w:vAlign w:val="center"/>
          </w:tcPr>
          <w:p w14:paraId="39F2D81C" w14:textId="1DFFD02E" w:rsidR="009669C3" w:rsidRPr="00B15CC3" w:rsidRDefault="009669C3" w:rsidP="009669C3">
            <w:pPr>
              <w:tabs>
                <w:tab w:val="decimal" w:pos="780"/>
              </w:tabs>
            </w:pPr>
            <w:r>
              <w:t>0.67</w:t>
            </w:r>
          </w:p>
        </w:tc>
        <w:tc>
          <w:tcPr>
            <w:tcW w:w="1506" w:type="dxa"/>
            <w:tcBorders>
              <w:top w:val="single" w:sz="4" w:space="0" w:color="auto"/>
              <w:bottom w:val="single" w:sz="4" w:space="0" w:color="auto"/>
            </w:tcBorders>
            <w:vAlign w:val="center"/>
          </w:tcPr>
          <w:p w14:paraId="34597942" w14:textId="3A7348A4" w:rsidR="009669C3" w:rsidRPr="00B15CC3" w:rsidRDefault="009669C3" w:rsidP="009669C3">
            <w:pPr>
              <w:tabs>
                <w:tab w:val="decimal" w:pos="792"/>
              </w:tabs>
            </w:pPr>
            <w:r>
              <w:t>0.</w:t>
            </w:r>
            <w:r w:rsidR="00F15B9A">
              <w:t>74</w:t>
            </w:r>
          </w:p>
        </w:tc>
        <w:tc>
          <w:tcPr>
            <w:tcW w:w="1372" w:type="dxa"/>
            <w:tcBorders>
              <w:top w:val="single" w:sz="4" w:space="0" w:color="auto"/>
              <w:bottom w:val="single" w:sz="4" w:space="0" w:color="auto"/>
            </w:tcBorders>
            <w:vAlign w:val="center"/>
          </w:tcPr>
          <w:p w14:paraId="4CE06309" w14:textId="1FA57616" w:rsidR="009669C3" w:rsidRPr="00B15CC3" w:rsidRDefault="009669C3" w:rsidP="009669C3">
            <w:pPr>
              <w:tabs>
                <w:tab w:val="left" w:pos="520"/>
                <w:tab w:val="left" w:pos="986"/>
              </w:tabs>
              <w:jc w:val="center"/>
            </w:pPr>
            <w:r>
              <w:t>0.45</w:t>
            </w:r>
          </w:p>
        </w:tc>
      </w:tr>
    </w:tbl>
    <w:p w14:paraId="515F6380" w14:textId="77777777" w:rsidR="00DB0B5B" w:rsidRDefault="00DB0B5B" w:rsidP="00DB0B5B">
      <w:pPr>
        <w:spacing w:after="0" w:line="240" w:lineRule="auto"/>
      </w:pPr>
      <w:r>
        <w:t xml:space="preserve">***p-value&lt;0.001, **p-value&lt;0.01, *p-value&lt;0.05, </w:t>
      </w:r>
      <w:r w:rsidRPr="00BA0654">
        <w:rPr>
          <w:vertAlign w:val="superscript"/>
        </w:rPr>
        <w:t>+</w:t>
      </w:r>
      <w:r>
        <w:t>p-value&lt;0.1</w:t>
      </w:r>
    </w:p>
    <w:p w14:paraId="27E0EB5E" w14:textId="03062EFB" w:rsidR="00DB0B5B" w:rsidRDefault="00DB0B5B" w:rsidP="00DB0B5B"/>
    <w:p w14:paraId="1F44F368" w14:textId="749DBADC" w:rsidR="002F23A7" w:rsidRDefault="00FB41AC" w:rsidP="002F23A7">
      <w:pPr>
        <w:pStyle w:val="Heading1"/>
      </w:pPr>
      <w:r>
        <w:t>6</w:t>
      </w:r>
      <w:r w:rsidR="00E20D9F">
        <w:t xml:space="preserve">. </w:t>
      </w:r>
      <w:r w:rsidR="002F23A7">
        <w:t>Discussion and conclusions</w:t>
      </w:r>
    </w:p>
    <w:p w14:paraId="60AD3D84" w14:textId="72414EEC" w:rsidR="002F23A7" w:rsidRDefault="002F23A7" w:rsidP="002F23A7"/>
    <w:p w14:paraId="4E7DAADF" w14:textId="4610FFA8" w:rsidR="008F379E" w:rsidRDefault="008F379E" w:rsidP="002F23A7"/>
    <w:p w14:paraId="152CB749" w14:textId="0C54DE7F" w:rsidR="008F379E" w:rsidRDefault="008F379E" w:rsidP="002F23A7">
      <w:r>
        <w:t>Discuss seasonality for some crime types</w:t>
      </w:r>
    </w:p>
    <w:p w14:paraId="2EE85ACC" w14:textId="2CA06F71" w:rsidR="001D3935" w:rsidRDefault="001D3935" w:rsidP="002F23A7">
      <w:r>
        <w:lastRenderedPageBreak/>
        <w:t>Shoplifting – open shops</w:t>
      </w:r>
    </w:p>
    <w:p w14:paraId="6C757617" w14:textId="77777777" w:rsidR="001D3935" w:rsidRPr="002F23A7" w:rsidRDefault="001D3935" w:rsidP="002F23A7"/>
    <w:p w14:paraId="229633BA" w14:textId="25704BF5" w:rsidR="00DB0B5B" w:rsidRDefault="00DB0B5B" w:rsidP="00362FF1">
      <w:pPr>
        <w:pStyle w:val="Heading1"/>
        <w:jc w:val="both"/>
      </w:pPr>
      <w:r>
        <w:t>References</w:t>
      </w:r>
    </w:p>
    <w:p w14:paraId="5EDF6DFE" w14:textId="124CCC5A" w:rsidR="00FE56D5" w:rsidRDefault="00FE56D5" w:rsidP="00362FF1">
      <w:pPr>
        <w:jc w:val="both"/>
      </w:pPr>
      <w:r w:rsidRPr="00FE56D5">
        <w:t xml:space="preserve">Abedi, V., </w:t>
      </w:r>
      <w:proofErr w:type="spellStart"/>
      <w:r w:rsidRPr="00FE56D5">
        <w:t>Olulana</w:t>
      </w:r>
      <w:proofErr w:type="spellEnd"/>
      <w:r w:rsidRPr="00FE56D5">
        <w:t xml:space="preserve">, O., </w:t>
      </w:r>
      <w:proofErr w:type="spellStart"/>
      <w:r w:rsidRPr="00FE56D5">
        <w:t>Avula</w:t>
      </w:r>
      <w:proofErr w:type="spellEnd"/>
      <w:r w:rsidRPr="00FE56D5">
        <w:t>, V.</w:t>
      </w:r>
      <w:r>
        <w:t xml:space="preserve">, </w:t>
      </w:r>
      <w:r w:rsidRPr="00FE56D5">
        <w:t>Chaudhary, D., Khan, A.,</w:t>
      </w:r>
      <w:r>
        <w:t xml:space="preserve"> </w:t>
      </w:r>
      <w:proofErr w:type="spellStart"/>
      <w:r w:rsidRPr="00FE56D5">
        <w:t>Shahjouei</w:t>
      </w:r>
      <w:proofErr w:type="spellEnd"/>
      <w:r w:rsidRPr="00FE56D5">
        <w:t xml:space="preserve">, </w:t>
      </w:r>
      <w:r>
        <w:t xml:space="preserve">S., </w:t>
      </w:r>
      <w:r w:rsidRPr="00FE56D5">
        <w:t>Li</w:t>
      </w:r>
      <w:r>
        <w:t>, J., and</w:t>
      </w:r>
      <w:r w:rsidRPr="00FE56D5">
        <w:t xml:space="preserve"> </w:t>
      </w:r>
      <w:proofErr w:type="spellStart"/>
      <w:r w:rsidRPr="00FE56D5">
        <w:t>Zand</w:t>
      </w:r>
      <w:proofErr w:type="spellEnd"/>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3"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4" w:history="1">
        <w:r w:rsidRPr="00991EC2">
          <w:rPr>
            <w:rStyle w:val="Hyperlink"/>
          </w:rPr>
          <w:t>https://doi.org/10.1016/j.jpubeco.2020.104344</w:t>
        </w:r>
      </w:hyperlink>
    </w:p>
    <w:p w14:paraId="2ECF11F4" w14:textId="3776A21C" w:rsidR="004A2BA7" w:rsidRPr="004B72B5" w:rsidRDefault="004A2BA7" w:rsidP="00362FF1">
      <w:pPr>
        <w:jc w:val="both"/>
        <w:rPr>
          <w:lang w:val="es-ES"/>
        </w:rPr>
      </w:pPr>
      <w:r>
        <w:t xml:space="preserve">Ashby, M. P. J. (2020). Initial evidence on the relationship between the coronavirus pandemic and crime in the United States. </w:t>
      </w:r>
      <w:proofErr w:type="spellStart"/>
      <w:r w:rsidRPr="004B72B5">
        <w:rPr>
          <w:i/>
          <w:iCs/>
          <w:lang w:val="es-ES"/>
        </w:rPr>
        <w:t>Crime</w:t>
      </w:r>
      <w:proofErr w:type="spellEnd"/>
      <w:r w:rsidRPr="004B72B5">
        <w:rPr>
          <w:i/>
          <w:iCs/>
          <w:lang w:val="es-ES"/>
        </w:rPr>
        <w:t xml:space="preserve"> Science</w:t>
      </w:r>
      <w:r w:rsidRPr="004B72B5">
        <w:rPr>
          <w:lang w:val="es-ES"/>
        </w:rPr>
        <w:t xml:space="preserve">, 9, 6. </w:t>
      </w:r>
      <w:hyperlink r:id="rId25" w:history="1">
        <w:r w:rsidRPr="004B72B5">
          <w:rPr>
            <w:rStyle w:val="Hyperlink"/>
            <w:lang w:val="es-ES"/>
          </w:rPr>
          <w:t>https://doi.org/10.1186/s40163-020-00117-6</w:t>
        </w:r>
      </w:hyperlink>
    </w:p>
    <w:p w14:paraId="27B2A7DC" w14:textId="6F77D677" w:rsidR="00C9305B" w:rsidRDefault="00C9305B" w:rsidP="00362FF1">
      <w:pPr>
        <w:jc w:val="both"/>
      </w:pPr>
      <w:r w:rsidRPr="00C9305B">
        <w:rPr>
          <w:lang w:val="es-ES"/>
        </w:rPr>
        <w:t xml:space="preserve">Balmori de la </w:t>
      </w:r>
      <w:proofErr w:type="spellStart"/>
      <w:r w:rsidRPr="00C9305B">
        <w:rPr>
          <w:lang w:val="es-ES"/>
        </w:rPr>
        <w:t>Miyar</w:t>
      </w:r>
      <w:proofErr w:type="spellEnd"/>
      <w:r w:rsidRPr="00C9305B">
        <w:rPr>
          <w:lang w:val="es-ES"/>
        </w:rPr>
        <w:t xml:space="preserve">, J. R., </w:t>
      </w:r>
      <w:proofErr w:type="spellStart"/>
      <w:r w:rsidRPr="00C9305B">
        <w:rPr>
          <w:lang w:val="es-ES"/>
        </w:rPr>
        <w:t>Hoehn</w:t>
      </w:r>
      <w:proofErr w:type="spellEnd"/>
      <w:r w:rsidRPr="00C9305B">
        <w:rPr>
          <w:lang w:val="es-ES"/>
        </w:rPr>
        <w:t xml:space="preserve">-Velasco, L., and Silverio-Murillo, A. (2021). </w:t>
      </w:r>
      <w:r w:rsidRPr="00C9305B">
        <w:t xml:space="preserve">The U-shaped crime recovery during COVID-19: </w:t>
      </w:r>
      <w:r>
        <w:t>E</w:t>
      </w:r>
      <w:r w:rsidRPr="00C9305B">
        <w:t xml:space="preserve">vidence from national crime rates in Mexico. </w:t>
      </w:r>
      <w:r w:rsidRPr="00C9305B">
        <w:rPr>
          <w:i/>
          <w:iCs/>
        </w:rPr>
        <w:t>Crime Science</w:t>
      </w:r>
      <w:r>
        <w:t>,</w:t>
      </w:r>
      <w:r w:rsidRPr="00C9305B">
        <w:t xml:space="preserve"> 10, 14. </w:t>
      </w:r>
      <w:hyperlink r:id="rId26" w:history="1">
        <w:r w:rsidRPr="0015475C">
          <w:rPr>
            <w:rStyle w:val="Hyperlink"/>
          </w:rPr>
          <w:t>https://doi.org/10.1186/s40163-021-00147-8</w:t>
        </w:r>
      </w:hyperlink>
    </w:p>
    <w:p w14:paraId="3FBACEB5" w14:textId="545A4FC2" w:rsidR="00FE56D5" w:rsidRDefault="00FE56D5" w:rsidP="00362FF1">
      <w:pPr>
        <w:jc w:val="both"/>
      </w:pPr>
      <w:proofErr w:type="spellStart"/>
      <w:r>
        <w:t>Bartik</w:t>
      </w:r>
      <w:proofErr w:type="spellEnd"/>
      <w:r>
        <w:t xml:space="preserve">, A. W., Bertrand, M., Cullen, Z., </w:t>
      </w:r>
      <w:proofErr w:type="spellStart"/>
      <w:r>
        <w:t>Glaeser</w:t>
      </w:r>
      <w:proofErr w:type="spellEnd"/>
      <w:r>
        <w:t xml:space="preserve">,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7"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proofErr w:type="spellStart"/>
      <w:r w:rsidRPr="007214B8">
        <w:t>Décary-Hétu</w:t>
      </w:r>
      <w:proofErr w:type="spellEnd"/>
      <w:r>
        <w:t xml:space="preserve">, D., and </w:t>
      </w:r>
      <w:proofErr w:type="spellStart"/>
      <w:r w:rsidRPr="007214B8">
        <w:t>Giommoni</w:t>
      </w:r>
      <w:proofErr w:type="spellEnd"/>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8" w:history="1">
        <w:r w:rsidRPr="00991EC2">
          <w:rPr>
            <w:rStyle w:val="Hyperlink"/>
          </w:rPr>
          <w:t>https://doi.org/10.1016/j.drugpo.2020.102870</w:t>
        </w:r>
      </w:hyperlink>
    </w:p>
    <w:p w14:paraId="47FC76AB" w14:textId="07AA96DC" w:rsidR="002C0BAA" w:rsidRDefault="001C2614" w:rsidP="00362FF1">
      <w:pPr>
        <w:jc w:val="both"/>
      </w:pPr>
      <w:r w:rsidRPr="001C2614">
        <w:t>Buil-Gil,</w:t>
      </w:r>
      <w:r>
        <w:t xml:space="preserve"> D., </w:t>
      </w:r>
      <w:r w:rsidRPr="001C2614">
        <w:t xml:space="preserve">Miró-Llinares, </w:t>
      </w:r>
      <w:r>
        <w:t xml:space="preserve">F., </w:t>
      </w:r>
      <w:r w:rsidRPr="001C2614">
        <w:t xml:space="preserve">Moneva, </w:t>
      </w:r>
      <w:r>
        <w:t>A., Ke</w:t>
      </w:r>
      <w:r w:rsidRPr="001C2614">
        <w:t>mp</w:t>
      </w:r>
      <w:r>
        <w:t>, S., and</w:t>
      </w:r>
      <w:r w:rsidRPr="001C2614">
        <w:t xml:space="preserve"> Díaz-</w:t>
      </w:r>
      <w:proofErr w:type="spellStart"/>
      <w:r w:rsidRPr="001C2614">
        <w:t>Castaño</w:t>
      </w:r>
      <w:proofErr w:type="spellEnd"/>
      <w:r>
        <w:t>, N.</w:t>
      </w:r>
      <w:r w:rsidRPr="001C2614">
        <w:t xml:space="preserve"> (2021)</w:t>
      </w:r>
      <w:r>
        <w:t>.</w:t>
      </w:r>
      <w:r w:rsidRPr="001C2614">
        <w:t xml:space="preserve"> 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9" w:history="1">
        <w:r w:rsidR="002C0BAA" w:rsidRPr="00991EC2">
          <w:rPr>
            <w:rStyle w:val="Hyperlink"/>
          </w:rPr>
          <w:t>https://doi.org/10.1080/14616696.2020.1804973</w:t>
        </w:r>
      </w:hyperlink>
    </w:p>
    <w:p w14:paraId="39AA0F20" w14:textId="7E95FEE1" w:rsidR="007214B8" w:rsidRDefault="007214B8" w:rsidP="00362FF1">
      <w:pPr>
        <w:jc w:val="both"/>
      </w:pPr>
      <w:r>
        <w:t xml:space="preserve">Buil-Gil,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30" w:history="1">
        <w:r w:rsidRPr="00991EC2">
          <w:rPr>
            <w:rStyle w:val="Hyperlink"/>
          </w:rPr>
          <w:t>https://doi.org/10.1108/JFC-02-2021-0042</w:t>
        </w:r>
      </w:hyperlink>
    </w:p>
    <w:p w14:paraId="6204946E" w14:textId="11B65C61" w:rsidR="0056217D" w:rsidRDefault="0056217D" w:rsidP="00362FF1">
      <w:pPr>
        <w:jc w:val="both"/>
      </w:pPr>
      <w:proofErr w:type="spellStart"/>
      <w:r>
        <w:t>Campedelli</w:t>
      </w:r>
      <w:proofErr w:type="spellEnd"/>
      <w:r>
        <w:t xml:space="preserve">, G. M., </w:t>
      </w:r>
      <w:proofErr w:type="spellStart"/>
      <w:r>
        <w:t>Aziani</w:t>
      </w:r>
      <w:proofErr w:type="spellEnd"/>
      <w:r>
        <w:t xml:space="preserve">, A., and </w:t>
      </w:r>
      <w:proofErr w:type="spellStart"/>
      <w:r>
        <w:t>Favarin</w:t>
      </w:r>
      <w:proofErr w:type="spellEnd"/>
      <w:r>
        <w:t>,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31" w:history="1">
        <w:r w:rsidRPr="0015475C">
          <w:rPr>
            <w:rStyle w:val="Hyperlink"/>
          </w:rPr>
          <w:t>https://doi.org/10.1007/s12103-020-09578-6</w:t>
        </w:r>
      </w:hyperlink>
    </w:p>
    <w:p w14:paraId="0AF61E69" w14:textId="1EF962BC" w:rsidR="008B3957" w:rsidRPr="008B3957" w:rsidRDefault="008B3957" w:rsidP="00362FF1">
      <w:pPr>
        <w:jc w:val="both"/>
      </w:pPr>
      <w:proofErr w:type="spellStart"/>
      <w:r w:rsidRPr="008B3957">
        <w:t>Campedelli</w:t>
      </w:r>
      <w:proofErr w:type="spellEnd"/>
      <w:r w:rsidRPr="008B3957">
        <w:t xml:space="preserve">, G. M., </w:t>
      </w:r>
      <w:proofErr w:type="spellStart"/>
      <w:r w:rsidRPr="008B3957">
        <w:t>Favarin</w:t>
      </w:r>
      <w:proofErr w:type="spellEnd"/>
      <w:r w:rsidRPr="008B3957">
        <w:t xml:space="preserve">, S., </w:t>
      </w:r>
      <w:proofErr w:type="spellStart"/>
      <w:r w:rsidRPr="008B3957">
        <w:t>Aziani</w:t>
      </w:r>
      <w:proofErr w:type="spellEnd"/>
      <w:r w:rsidRPr="008B3957">
        <w:t xml:space="preserve">,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32" w:history="1">
        <w:r w:rsidRPr="0015475C">
          <w:rPr>
            <w:rStyle w:val="Hyperlink"/>
          </w:rPr>
          <w:t>https://doi.org/10.1186/s40163-020-00131-8</w:t>
        </w:r>
      </w:hyperlink>
    </w:p>
    <w:p w14:paraId="1BEA4FB2" w14:textId="6F79647F"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3" w:history="1">
        <w:r w:rsidRPr="0015475C">
          <w:rPr>
            <w:rStyle w:val="Hyperlink"/>
          </w:rPr>
          <w:t>https://doi.org/10.2307/2094589</w:t>
        </w:r>
      </w:hyperlink>
    </w:p>
    <w:p w14:paraId="0A824092" w14:textId="104BABC5" w:rsidR="00FE56D5" w:rsidRDefault="00FE56D5" w:rsidP="00362FF1">
      <w:pPr>
        <w:jc w:val="both"/>
      </w:pPr>
      <w:proofErr w:type="spellStart"/>
      <w:r w:rsidRPr="00FE56D5">
        <w:t>Czymara</w:t>
      </w:r>
      <w:proofErr w:type="spellEnd"/>
      <w:r w:rsidRPr="00FE56D5">
        <w:t xml:space="preserve">, </w:t>
      </w:r>
      <w:r>
        <w:t xml:space="preserve">C. S., </w:t>
      </w:r>
      <w:proofErr w:type="spellStart"/>
      <w:r w:rsidRPr="00FE56D5">
        <w:t>Langenkamp</w:t>
      </w:r>
      <w:proofErr w:type="spellEnd"/>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4" w:history="1">
        <w:r w:rsidRPr="00991EC2">
          <w:rPr>
            <w:rStyle w:val="Hyperlink"/>
          </w:rPr>
          <w:t>https://doi.org/10.1080/14616696.2020.1808692</w:t>
        </w:r>
      </w:hyperlink>
    </w:p>
    <w:p w14:paraId="47813B05" w14:textId="2E2A9BE3" w:rsidR="00C54311" w:rsidRDefault="00C54311" w:rsidP="00362FF1">
      <w:pPr>
        <w:jc w:val="both"/>
      </w:pPr>
      <w:proofErr w:type="spellStart"/>
      <w:r>
        <w:t>Estévez</w:t>
      </w:r>
      <w:proofErr w:type="spellEnd"/>
      <w:r>
        <w:t xml:space="preserve">-Soto, P. R. (2021). </w:t>
      </w:r>
      <w:r w:rsidRPr="00C54311">
        <w:t xml:space="preserve">Crime and COVID-19: </w:t>
      </w:r>
      <w:r>
        <w:t>E</w:t>
      </w:r>
      <w:r w:rsidRPr="00C54311">
        <w:t>ffect of changes in routine activities in Mexico City</w:t>
      </w:r>
      <w:r>
        <w:t xml:space="preserve">. </w:t>
      </w:r>
      <w:r w:rsidRPr="00C54311">
        <w:rPr>
          <w:i/>
          <w:iCs/>
        </w:rPr>
        <w:t>Crime Science</w:t>
      </w:r>
      <w:r>
        <w:t xml:space="preserve">, 10, 15. </w:t>
      </w:r>
      <w:hyperlink r:id="rId35" w:history="1">
        <w:r w:rsidRPr="0015475C">
          <w:rPr>
            <w:rStyle w:val="Hyperlink"/>
          </w:rPr>
          <w:t>https://doi.org/10.1186/s40163-021-00151-y</w:t>
        </w:r>
      </w:hyperlink>
    </w:p>
    <w:p w14:paraId="40F65377" w14:textId="63493A16" w:rsidR="00012A71" w:rsidRPr="00012A71" w:rsidRDefault="00012A71" w:rsidP="00362FF1">
      <w:pPr>
        <w:jc w:val="both"/>
      </w:pPr>
      <w:r w:rsidRPr="00012A71">
        <w:lastRenderedPageBreak/>
        <w:t xml:space="preserve">Fei, G., Li, X., Sun, Q., Qian, Y., </w:t>
      </w:r>
      <w:proofErr w:type="spellStart"/>
      <w:r w:rsidRPr="00012A71">
        <w:t>S</w:t>
      </w:r>
      <w:r>
        <w:t>tallones</w:t>
      </w:r>
      <w:proofErr w:type="spellEnd"/>
      <w:r>
        <w:t xml:space="preserve">, L., Xiang, H., and Zhang, X. (2020). </w:t>
      </w:r>
      <w:r w:rsidRPr="00012A71">
        <w:t>Effectiveness of implementing the criminal administrative punishment law of drunk driving in China: An interrupted time series analysis, 2004-2017</w:t>
      </w:r>
      <w:r>
        <w:t xml:space="preserve">. </w:t>
      </w:r>
      <w:r w:rsidRPr="00012A71">
        <w:rPr>
          <w:i/>
          <w:iCs/>
        </w:rPr>
        <w:t>Accident Analysis &amp; Prevention</w:t>
      </w:r>
      <w:r>
        <w:t xml:space="preserve">, 144, 105670. </w:t>
      </w:r>
      <w:hyperlink r:id="rId36" w:history="1">
        <w:r w:rsidRPr="00991EC2">
          <w:rPr>
            <w:rStyle w:val="Hyperlink"/>
          </w:rPr>
          <w:t>https://doi.org/10.1016/j.aap.2020.105670</w:t>
        </w:r>
      </w:hyperlink>
    </w:p>
    <w:p w14:paraId="36B18C26" w14:textId="65C80EB6" w:rsidR="002E727F" w:rsidRDefault="002E727F" w:rsidP="00362FF1">
      <w:pPr>
        <w:jc w:val="both"/>
      </w:pPr>
      <w:r>
        <w:t xml:space="preserve">Felson, M., </w:t>
      </w:r>
      <w:r w:rsidRPr="002E727F">
        <w:t>Jiang, S.</w:t>
      </w:r>
      <w:r>
        <w:t>,</w:t>
      </w:r>
      <w:r w:rsidRPr="002E727F">
        <w:t xml:space="preserve"> </w:t>
      </w:r>
      <w:r>
        <w:t>and</w:t>
      </w:r>
      <w:r w:rsidRPr="002E727F">
        <w:t xml:space="preserve"> Xu, Y.</w:t>
      </w:r>
      <w:r>
        <w:t xml:space="preserve"> (2020).</w:t>
      </w:r>
      <w:r w:rsidRPr="002E727F">
        <w:t xml:space="preserve"> Routine activity effects of the Covid-19 pandemic on burglary in Detroit, March, 2020. </w:t>
      </w:r>
      <w:r w:rsidRPr="002E727F">
        <w:rPr>
          <w:i/>
          <w:iCs/>
        </w:rPr>
        <w:t>Crime Science</w:t>
      </w:r>
      <w:r>
        <w:t>,</w:t>
      </w:r>
      <w:r w:rsidRPr="002E727F">
        <w:t xml:space="preserve"> 9, 10. </w:t>
      </w:r>
      <w:hyperlink r:id="rId37" w:history="1">
        <w:r w:rsidRPr="00823A22">
          <w:rPr>
            <w:rStyle w:val="Hyperlink"/>
          </w:rPr>
          <w:t>https://doi.org/10.1186/s40163-020-00120-x</w:t>
        </w:r>
      </w:hyperlink>
    </w:p>
    <w:p w14:paraId="73131681" w14:textId="4CBF15D4" w:rsidR="00465647" w:rsidRDefault="00465647" w:rsidP="00362FF1">
      <w:pPr>
        <w:jc w:val="both"/>
      </w:pPr>
      <w:proofErr w:type="spellStart"/>
      <w:r>
        <w:t>Gerell</w:t>
      </w:r>
      <w:proofErr w:type="spellEnd"/>
      <w:r>
        <w:t xml:space="preserve">, M., </w:t>
      </w:r>
      <w:proofErr w:type="spellStart"/>
      <w:r>
        <w:t>Kardell</w:t>
      </w:r>
      <w:proofErr w:type="spellEnd"/>
      <w:r>
        <w:t xml:space="preserve">, J., and </w:t>
      </w:r>
      <w:proofErr w:type="spellStart"/>
      <w:r>
        <w:t>Kindgren</w:t>
      </w:r>
      <w:proofErr w:type="spellEnd"/>
      <w:r>
        <w:t xml:space="preserve">, J. (2020). </w:t>
      </w:r>
      <w:r w:rsidRPr="00465647">
        <w:t>Minor covid-19 association with crime in Sweden</w:t>
      </w:r>
      <w:r>
        <w:t xml:space="preserve">. </w:t>
      </w:r>
      <w:r w:rsidRPr="00465647">
        <w:rPr>
          <w:i/>
          <w:iCs/>
        </w:rPr>
        <w:t>Crime Science</w:t>
      </w:r>
      <w:r>
        <w:t xml:space="preserve">, 9, 19. </w:t>
      </w:r>
      <w:hyperlink r:id="rId38" w:history="1">
        <w:r w:rsidRPr="0015475C">
          <w:rPr>
            <w:rStyle w:val="Hyperlink"/>
          </w:rPr>
          <w:t>https://doi.org/10.1186/s40163-020-00128-3</w:t>
        </w:r>
      </w:hyperlink>
    </w:p>
    <w:p w14:paraId="5654DF6E" w14:textId="3A5B4170"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39"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40" w:history="1">
        <w:r w:rsidRPr="00991EC2">
          <w:rPr>
            <w:rStyle w:val="Hyperlink"/>
          </w:rPr>
          <w:t>https://doi.org/10.1371/journal.pone.0055581</w:t>
        </w:r>
      </w:hyperlink>
    </w:p>
    <w:p w14:paraId="407F0981" w14:textId="7EB7B98B" w:rsidR="003072BE" w:rsidRDefault="003072BE" w:rsidP="003072BE">
      <w:pPr>
        <w:jc w:val="both"/>
      </w:pPr>
      <w:r>
        <w:t xml:space="preserve">Hyndman, R., </w:t>
      </w:r>
      <w:proofErr w:type="spellStart"/>
      <w:r>
        <w:t>Athanasopoulos</w:t>
      </w:r>
      <w:proofErr w:type="spellEnd"/>
      <w:r>
        <w:t xml:space="preserve">, G., </w:t>
      </w:r>
      <w:proofErr w:type="spellStart"/>
      <w:r>
        <w:t>Bergmeir</w:t>
      </w:r>
      <w:proofErr w:type="spellEnd"/>
      <w:r>
        <w:t xml:space="preserve">, C., Caceres, G., Chhay, L., O'Hara-Wild, M., Petropoulos, F., </w:t>
      </w:r>
      <w:proofErr w:type="spellStart"/>
      <w:r>
        <w:t>Razbash</w:t>
      </w:r>
      <w:proofErr w:type="spellEnd"/>
      <w:r>
        <w:t xml:space="preserve">, S., Wang, E., and Yasmeen, F. (2020). </w:t>
      </w:r>
      <w:r w:rsidRPr="003072BE">
        <w:rPr>
          <w:i/>
          <w:iCs/>
        </w:rPr>
        <w:t>forecast: Forecasting functions for time series and linear models</w:t>
      </w:r>
      <w:r>
        <w:t>. R package version 8.12.</w:t>
      </w:r>
    </w:p>
    <w:p w14:paraId="71BEC540" w14:textId="3F5B6880" w:rsidR="003072BE" w:rsidRDefault="003072BE" w:rsidP="00362FF1">
      <w:pPr>
        <w:jc w:val="both"/>
      </w:pPr>
      <w:r>
        <w:t xml:space="preserve">Hyndman, R. J., and </w:t>
      </w:r>
      <w:proofErr w:type="spellStart"/>
      <w:r>
        <w:t>Khandakar</w:t>
      </w:r>
      <w:proofErr w:type="spellEnd"/>
      <w:r>
        <w:t xml:space="preserve">, Y. (2008). Automatic time series forecasting: The forecast package for R. </w:t>
      </w:r>
      <w:r w:rsidRPr="003072BE">
        <w:rPr>
          <w:i/>
          <w:iCs/>
        </w:rPr>
        <w:t>Journal of Statistical Software</w:t>
      </w:r>
      <w:r>
        <w:t xml:space="preserve">, 26(3), 1-22. </w:t>
      </w:r>
      <w:hyperlink r:id="rId41" w:history="1">
        <w:r w:rsidRPr="0015475C">
          <w:rPr>
            <w:rStyle w:val="Hyperlink"/>
          </w:rPr>
          <w:t>https://doi.org/10.18637/jss.v027.i03</w:t>
        </w:r>
      </w:hyperlink>
    </w:p>
    <w:p w14:paraId="3E2D62D7" w14:textId="77A5FFD7" w:rsidR="00C23C5B" w:rsidRDefault="00C23C5B" w:rsidP="00362FF1">
      <w:pPr>
        <w:jc w:val="both"/>
      </w:pPr>
      <w:proofErr w:type="spellStart"/>
      <w:r>
        <w:t>Kalist</w:t>
      </w:r>
      <w:proofErr w:type="spellEnd"/>
      <w:r>
        <w:t xml:space="preserve">,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42" w:history="1">
        <w:r w:rsidRPr="0015475C">
          <w:rPr>
            <w:rStyle w:val="Hyperlink"/>
          </w:rPr>
          <w:t>https://doi.org/10.1177/1527002514554953</w:t>
        </w:r>
      </w:hyperlink>
    </w:p>
    <w:p w14:paraId="4482D7C5" w14:textId="64B3CA2F" w:rsidR="001C2614" w:rsidRDefault="001C2614" w:rsidP="00362FF1">
      <w:pPr>
        <w:jc w:val="both"/>
      </w:pPr>
      <w:r>
        <w:t>Kemp, S., Buil-Gil, D., Moneva, A., Mir</w:t>
      </w:r>
      <w:r w:rsidRPr="001C2614">
        <w:t>ó</w:t>
      </w:r>
      <w:r>
        <w:t>-Llinares,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43"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44" w:history="1">
        <w:r w:rsidRPr="0015475C">
          <w:rPr>
            <w:rStyle w:val="Hyperlink"/>
          </w:rPr>
          <w:t>https://doi.org/10.1016/j.jcrimjus.2021.101783</w:t>
        </w:r>
      </w:hyperlink>
    </w:p>
    <w:p w14:paraId="3594CB44" w14:textId="0445C7F1" w:rsidR="00AD3BA7" w:rsidRDefault="00AD3BA7" w:rsidP="00362FF1">
      <w:pPr>
        <w:jc w:val="both"/>
      </w:pPr>
      <w:proofErr w:type="spellStart"/>
      <w:r w:rsidRPr="00AD3BA7">
        <w:t>Krendl</w:t>
      </w:r>
      <w:proofErr w:type="spellEnd"/>
      <w:r w:rsidRPr="00AD3BA7">
        <w:t xml:space="preserve">, </w:t>
      </w:r>
      <w:r>
        <w:t>A. C.</w:t>
      </w:r>
      <w:r w:rsidR="00FE56D5">
        <w:t>,</w:t>
      </w:r>
      <w:r>
        <w:t xml:space="preserve"> and </w:t>
      </w:r>
      <w:r w:rsidRPr="00AD3BA7">
        <w:t xml:space="preserve">Perry, </w:t>
      </w:r>
      <w:r>
        <w:t xml:space="preserve">B. L. (2021). </w:t>
      </w:r>
      <w:r w:rsidRPr="00AD3BA7">
        <w:t xml:space="preserve">The </w:t>
      </w:r>
      <w:r>
        <w:t>i</w:t>
      </w:r>
      <w:r w:rsidRPr="00AD3BA7">
        <w:t xml:space="preserve">mpact of </w:t>
      </w:r>
      <w:r>
        <w:t>s</w:t>
      </w:r>
      <w:r w:rsidRPr="00AD3BA7">
        <w:t xml:space="preserve">heltering in </w:t>
      </w:r>
      <w:r>
        <w:t>p</w:t>
      </w:r>
      <w:r w:rsidRPr="00AD3BA7">
        <w:t xml:space="preserve">lace </w:t>
      </w:r>
      <w:r>
        <w:t>d</w:t>
      </w:r>
      <w:r w:rsidRPr="00AD3BA7">
        <w:t xml:space="preserve">uring the COVID-19 </w:t>
      </w:r>
      <w:r>
        <w:t>p</w:t>
      </w:r>
      <w:r w:rsidRPr="00AD3BA7">
        <w:t xml:space="preserve">andemic on </w:t>
      </w:r>
      <w:r>
        <w:t>o</w:t>
      </w:r>
      <w:r w:rsidRPr="00AD3BA7">
        <w:t xml:space="preserve">lder </w:t>
      </w:r>
      <w:r>
        <w:t>a</w:t>
      </w:r>
      <w:r w:rsidRPr="00AD3BA7">
        <w:t xml:space="preserve">dults’ </w:t>
      </w:r>
      <w:r>
        <w:t>s</w:t>
      </w:r>
      <w:r w:rsidRPr="00AD3BA7">
        <w:t xml:space="preserve">ocial and </w:t>
      </w:r>
      <w:r>
        <w:t>m</w:t>
      </w:r>
      <w:r w:rsidRPr="00AD3BA7">
        <w:t xml:space="preserve">ental </w:t>
      </w:r>
      <w:r>
        <w:t>w</w:t>
      </w:r>
      <w:r w:rsidRPr="00AD3BA7">
        <w:t>ell-</w:t>
      </w:r>
      <w:r>
        <w:t>b</w:t>
      </w:r>
      <w:r w:rsidRPr="00AD3BA7">
        <w:t>eing</w:t>
      </w:r>
      <w:r>
        <w:t>.</w:t>
      </w:r>
      <w:r w:rsidRPr="00AD3BA7">
        <w:t xml:space="preserve"> </w:t>
      </w:r>
      <w:r w:rsidRPr="00AD3BA7">
        <w:rPr>
          <w:i/>
          <w:iCs/>
        </w:rPr>
        <w:t>The Journals of Gerontology: Series B</w:t>
      </w:r>
      <w:r w:rsidRPr="00AD3BA7">
        <w:t>, 76</w:t>
      </w:r>
      <w:r>
        <w:t>(</w:t>
      </w:r>
      <w:r w:rsidRPr="00AD3BA7">
        <w:t>2</w:t>
      </w:r>
      <w:r>
        <w:t>)</w:t>
      </w:r>
      <w:r w:rsidRPr="00AD3BA7">
        <w:t>, e53</w:t>
      </w:r>
      <w:r>
        <w:t>-</w:t>
      </w:r>
      <w:r w:rsidRPr="00AD3BA7">
        <w:t>e58</w:t>
      </w:r>
      <w:r>
        <w:t>.</w:t>
      </w:r>
      <w:r w:rsidRPr="00AD3BA7">
        <w:t xml:space="preserve"> </w:t>
      </w:r>
      <w:hyperlink r:id="rId45" w:history="1">
        <w:r w:rsidRPr="00991EC2">
          <w:rPr>
            <w:rStyle w:val="Hyperlink"/>
          </w:rPr>
          <w:t>https://doi.org/10.1093/geronb/gbaa110</w:t>
        </w:r>
      </w:hyperlink>
    </w:p>
    <w:p w14:paraId="1DEF0A20" w14:textId="57CA9043" w:rsidR="001D4CB5" w:rsidRDefault="001D4CB5" w:rsidP="00362FF1">
      <w:pPr>
        <w:jc w:val="both"/>
      </w:pPr>
      <w:proofErr w:type="spellStart"/>
      <w:r>
        <w:t>Lallie</w:t>
      </w:r>
      <w:proofErr w:type="spellEnd"/>
      <w:r>
        <w:t xml:space="preserve">, H. S., Shepherd, L. A., Nurse, J. R. C., </w:t>
      </w:r>
      <w:proofErr w:type="spellStart"/>
      <w:r>
        <w:t>Erola</w:t>
      </w:r>
      <w:proofErr w:type="spellEnd"/>
      <w:r>
        <w:t xml:space="preserve">, A., </w:t>
      </w:r>
      <w:proofErr w:type="spellStart"/>
      <w:r>
        <w:t>Epiphaniou</w:t>
      </w:r>
      <w:proofErr w:type="spellEnd"/>
      <w:r>
        <w:t xml:space="preserve">, G., Maple, C., and </w:t>
      </w:r>
      <w:proofErr w:type="spellStart"/>
      <w:r>
        <w:t>Ballekens</w:t>
      </w:r>
      <w:proofErr w:type="spellEnd"/>
      <w:r>
        <w:t xml:space="preserve">,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46"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7" w:history="1">
        <w:r w:rsidRPr="00991EC2">
          <w:rPr>
            <w:rStyle w:val="Hyperlink"/>
          </w:rPr>
          <w:t>https://doi.org/10.1186/s40163-021-00142-z</w:t>
        </w:r>
      </w:hyperlink>
    </w:p>
    <w:p w14:paraId="1C8364ED" w14:textId="6926D496" w:rsidR="001641C1" w:rsidRDefault="001641C1" w:rsidP="00362FF1">
      <w:pPr>
        <w:jc w:val="both"/>
      </w:pPr>
      <w:r>
        <w:t xml:space="preserve">Langton, S., Dixon, A., and Farrell, G. (2021b). </w:t>
      </w:r>
      <w:r w:rsidRPr="001641C1">
        <w:t>Small area variation in crime effects of COVID-19 policies in England and Wales</w:t>
      </w:r>
      <w:r>
        <w:t xml:space="preserve">. </w:t>
      </w:r>
      <w:r w:rsidRPr="001641C1">
        <w:rPr>
          <w:i/>
          <w:iCs/>
        </w:rPr>
        <w:t>Journal of Criminal Justice</w:t>
      </w:r>
      <w:r>
        <w:t xml:space="preserve">, 75, 101830. </w:t>
      </w:r>
      <w:hyperlink r:id="rId48" w:history="1">
        <w:r w:rsidRPr="0015475C">
          <w:rPr>
            <w:rStyle w:val="Hyperlink"/>
          </w:rPr>
          <w:t>https://doi.org/10.1016/j.jcrimjus.2021.101830</w:t>
        </w:r>
      </w:hyperlink>
    </w:p>
    <w:p w14:paraId="11992D31" w14:textId="0D2FD186" w:rsidR="00BA2FAD" w:rsidRDefault="00BA2FAD" w:rsidP="00362FF1">
      <w:pPr>
        <w:jc w:val="both"/>
      </w:pPr>
      <w:r>
        <w:lastRenderedPageBreak/>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49" w:history="1">
        <w:r w:rsidRPr="0015475C">
          <w:rPr>
            <w:rStyle w:val="Hyperlink"/>
          </w:rPr>
          <w:t>https://doi.org/10.1080/00330124.2010.547156</w:t>
        </w:r>
      </w:hyperlink>
    </w:p>
    <w:p w14:paraId="2EEF8E8C" w14:textId="56478A80" w:rsidR="00D2462B" w:rsidRDefault="00012A71" w:rsidP="00362FF1">
      <w:pPr>
        <w:jc w:val="both"/>
      </w:pPr>
      <w:r>
        <w:t xml:space="preserve">Martin, J., Cunliffe, J., </w:t>
      </w:r>
      <w:proofErr w:type="spellStart"/>
      <w:r w:rsidR="00D2462B" w:rsidRPr="00D2462B">
        <w:t>Décary-Hétu</w:t>
      </w:r>
      <w:proofErr w:type="spellEnd"/>
      <w:r w:rsidR="00D2462B">
        <w:t xml:space="preserve">, D., and Aldridge, J. (2018). </w:t>
      </w:r>
      <w:r w:rsidR="00D2462B" w:rsidRPr="00D2462B">
        <w:t xml:space="preserve">Effect of restricting the legal supply of prescription opioids on buying through online illicit marketplaces: </w:t>
      </w:r>
      <w:r w:rsidR="00D2462B">
        <w:t>I</w:t>
      </w:r>
      <w:r w:rsidR="00D2462B" w:rsidRPr="00D2462B">
        <w:t>nterrupted time series analysis</w:t>
      </w:r>
      <w:r w:rsidR="00D2462B">
        <w:t xml:space="preserve">. </w:t>
      </w:r>
      <w:r w:rsidR="00D2462B" w:rsidRPr="00D2462B">
        <w:rPr>
          <w:i/>
          <w:iCs/>
        </w:rPr>
        <w:t>The BMJ</w:t>
      </w:r>
      <w:r w:rsidR="00D2462B">
        <w:t xml:space="preserve">, 361, k2270. </w:t>
      </w:r>
      <w:hyperlink r:id="rId50" w:history="1">
        <w:r w:rsidR="00D2462B" w:rsidRPr="00991EC2">
          <w:rPr>
            <w:rStyle w:val="Hyperlink"/>
          </w:rPr>
          <w:t>http://doi.org/10.1136/bmj.k2270</w:t>
        </w:r>
      </w:hyperlink>
    </w:p>
    <w:p w14:paraId="179A93BA" w14:textId="7E7CCEEA" w:rsidR="004A2BA7" w:rsidRPr="004A2BA7" w:rsidRDefault="004A2BA7" w:rsidP="00362FF1">
      <w:pPr>
        <w:jc w:val="both"/>
      </w:pPr>
      <w:r w:rsidRPr="004A2BA7">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51"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52"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53" w:history="1">
        <w:r w:rsidRPr="00991EC2">
          <w:rPr>
            <w:rStyle w:val="Hyperlink"/>
          </w:rPr>
          <w:t>https://doi.org/10.1080/15614263.2021.1883018</w:t>
        </w:r>
      </w:hyperlink>
    </w:p>
    <w:p w14:paraId="71DEEF0D" w14:textId="7AEBDED7" w:rsidR="004B72B5" w:rsidRDefault="004B72B5" w:rsidP="00FB41AC">
      <w:pPr>
        <w:jc w:val="both"/>
      </w:pPr>
      <w:r>
        <w:t xml:space="preserve">Nurse, J. R., Williams, N., Collins, E., </w:t>
      </w:r>
      <w:proofErr w:type="spellStart"/>
      <w:r>
        <w:t>Panteli</w:t>
      </w:r>
      <w:proofErr w:type="spellEnd"/>
      <w:r>
        <w:t xml:space="preserve">, N., Blythe, J., and </w:t>
      </w:r>
      <w:proofErr w:type="spellStart"/>
      <w:r>
        <w:t>Koppelman</w:t>
      </w:r>
      <w:proofErr w:type="spellEnd"/>
      <w:r>
        <w:t xml:space="preserve">, B. (2021). </w:t>
      </w:r>
      <w:r w:rsidRPr="004B72B5">
        <w:t xml:space="preserve">Remote </w:t>
      </w:r>
      <w:r>
        <w:t>w</w:t>
      </w:r>
      <w:r w:rsidRPr="004B72B5">
        <w:t xml:space="preserve">orking </w:t>
      </w:r>
      <w:r>
        <w:t>p</w:t>
      </w:r>
      <w:r w:rsidRPr="004B72B5">
        <w:t xml:space="preserve">re- and </w:t>
      </w:r>
      <w:r>
        <w:t>p</w:t>
      </w:r>
      <w:r w:rsidRPr="004B72B5">
        <w:t xml:space="preserve">ost-COVID-19: An </w:t>
      </w:r>
      <w:r>
        <w:t>a</w:t>
      </w:r>
      <w:r w:rsidRPr="004B72B5">
        <w:t xml:space="preserve">nalysis of </w:t>
      </w:r>
      <w:r>
        <w:t>n</w:t>
      </w:r>
      <w:r w:rsidRPr="004B72B5">
        <w:t xml:space="preserve">ew </w:t>
      </w:r>
      <w:r>
        <w:t>t</w:t>
      </w:r>
      <w:r w:rsidRPr="004B72B5">
        <w:t xml:space="preserve">hreats and </w:t>
      </w:r>
      <w:r>
        <w:t>r</w:t>
      </w:r>
      <w:r w:rsidRPr="004B72B5">
        <w:t xml:space="preserve">isks to </w:t>
      </w:r>
      <w:r>
        <w:t>s</w:t>
      </w:r>
      <w:r w:rsidRPr="004B72B5">
        <w:t xml:space="preserve">ecurity and </w:t>
      </w:r>
      <w:r>
        <w:t>p</w:t>
      </w:r>
      <w:r w:rsidRPr="004B72B5">
        <w:t>rivacy</w:t>
      </w:r>
      <w:r>
        <w:t xml:space="preserve">. In C. </w:t>
      </w:r>
      <w:proofErr w:type="spellStart"/>
      <w:r>
        <w:t>Stephanidis</w:t>
      </w:r>
      <w:proofErr w:type="spellEnd"/>
      <w:r>
        <w:t xml:space="preserve">, M. </w:t>
      </w:r>
      <w:proofErr w:type="spellStart"/>
      <w:r>
        <w:t>Antona</w:t>
      </w:r>
      <w:proofErr w:type="spellEnd"/>
      <w:r>
        <w:t xml:space="preserve"> and S. </w:t>
      </w:r>
      <w:proofErr w:type="spellStart"/>
      <w:r>
        <w:t>Ntoa</w:t>
      </w:r>
      <w:proofErr w:type="spellEnd"/>
      <w:r>
        <w:t xml:space="preserve"> (Eds.), </w:t>
      </w:r>
      <w:r w:rsidRPr="004B72B5">
        <w:rPr>
          <w:i/>
          <w:iCs/>
        </w:rPr>
        <w:t>HCI International 2021 – Posters</w:t>
      </w:r>
      <w:r>
        <w:t xml:space="preserve"> (pp. </w:t>
      </w:r>
      <w:r w:rsidRPr="004B72B5">
        <w:t>583-590</w:t>
      </w:r>
      <w:r>
        <w:t xml:space="preserve">). Cham: Springer. </w:t>
      </w:r>
      <w:hyperlink r:id="rId54" w:history="1">
        <w:r w:rsidRPr="0015475C">
          <w:rPr>
            <w:rStyle w:val="Hyperlink"/>
          </w:rPr>
          <w:t>https://doi.org/10.1007/978-3-030-78645-8_74</w:t>
        </w:r>
      </w:hyperlink>
    </w:p>
    <w:p w14:paraId="69E440DB" w14:textId="02BE6D00" w:rsidR="00CA1CF2" w:rsidRDefault="00CA1CF2" w:rsidP="00FB41AC">
      <w:pPr>
        <w:jc w:val="both"/>
      </w:pPr>
      <w:r>
        <w:t xml:space="preserve">Ofcom (2021). </w:t>
      </w:r>
      <w:r w:rsidRPr="00CA1CF2">
        <w:rPr>
          <w:i/>
          <w:iCs/>
        </w:rPr>
        <w:t>Online nation. 2021 report</w:t>
      </w:r>
      <w:r>
        <w:t xml:space="preserve">. Retrieved from: </w:t>
      </w:r>
      <w:hyperlink r:id="rId55"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 Retail Sales Index time series</w:t>
      </w:r>
      <w:r>
        <w:t xml:space="preserve">. Retrieved from: </w:t>
      </w:r>
      <w:hyperlink r:id="rId56" w:history="1">
        <w:r w:rsidRPr="0015475C">
          <w:rPr>
            <w:rStyle w:val="Hyperlink"/>
          </w:rPr>
          <w:t>https://www.ons.gov.uk/businessindustryandtrade/retailindustry/datasets/retailsales</w:t>
        </w:r>
      </w:hyperlink>
    </w:p>
    <w:p w14:paraId="4BF0D57D" w14:textId="621677D7"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57" w:history="1">
        <w:r w:rsidRPr="00991EC2">
          <w:rPr>
            <w:rStyle w:val="Hyperlink"/>
          </w:rPr>
          <w:t>https://doi.org/10.1186/s40163-020-00136-3</w:t>
        </w:r>
      </w:hyperlink>
    </w:p>
    <w:p w14:paraId="4653D45B" w14:textId="0BB7412A" w:rsidR="00C23C5B" w:rsidRDefault="00C23C5B" w:rsidP="00362FF1">
      <w:pPr>
        <w:jc w:val="both"/>
      </w:pPr>
      <w:proofErr w:type="spellStart"/>
      <w:r w:rsidRPr="00C23C5B">
        <w:t>Piatkowska</w:t>
      </w:r>
      <w:proofErr w:type="spellEnd"/>
      <w:r w:rsidRPr="00C23C5B">
        <w:t xml:space="preserve">, </w:t>
      </w:r>
      <w:r>
        <w:t xml:space="preserve">S. J., </w:t>
      </w:r>
      <w:r w:rsidRPr="00C23C5B">
        <w:t xml:space="preserve">Messner, </w:t>
      </w:r>
      <w:r>
        <w:t xml:space="preserve">S. F., and </w:t>
      </w:r>
      <w:proofErr w:type="spellStart"/>
      <w:r w:rsidRPr="00C23C5B">
        <w:t>Raffalovich</w:t>
      </w:r>
      <w:proofErr w:type="spellEnd"/>
      <w:r w:rsidRPr="00C23C5B">
        <w:t xml:space="preserve">,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8" w:history="1">
        <w:r w:rsidRPr="0015475C">
          <w:rPr>
            <w:rStyle w:val="Hyperlink"/>
          </w:rPr>
          <w:t>https://doi.org/10.1093/esr/jcv086</w:t>
        </w:r>
      </w:hyperlink>
    </w:p>
    <w:p w14:paraId="04C29D89" w14:textId="3654CB6D"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59"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60"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61" w:history="1">
        <w:r w:rsidRPr="00991EC2">
          <w:rPr>
            <w:rStyle w:val="Hyperlink"/>
          </w:rPr>
          <w:t>https://doi.org/10.1016/j.ajp.2020.102066</w:t>
        </w:r>
      </w:hyperlink>
    </w:p>
    <w:p w14:paraId="21D6CCF9" w14:textId="299C0D7C" w:rsidR="00A57E48" w:rsidRDefault="00A57E48" w:rsidP="00362FF1">
      <w:pPr>
        <w:jc w:val="both"/>
        <w:rPr>
          <w:rStyle w:val="Hyperlink"/>
        </w:rPr>
      </w:pPr>
      <w:proofErr w:type="spellStart"/>
      <w:r w:rsidRPr="00A57E48">
        <w:lastRenderedPageBreak/>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62" w:history="1">
        <w:r w:rsidRPr="00991EC2">
          <w:rPr>
            <w:rStyle w:val="Hyperlink"/>
          </w:rPr>
          <w:t>https://doi.org/10.1016/j.eclinm.2020.100372</w:t>
        </w:r>
      </w:hyperlink>
    </w:p>
    <w:p w14:paraId="7E447B5E" w14:textId="0AB524E1" w:rsidR="00AB69DA" w:rsidRDefault="00D2462B" w:rsidP="00362FF1">
      <w:pPr>
        <w:jc w:val="both"/>
        <w:rPr>
          <w:rStyle w:val="Hyperlink"/>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63" w:history="1">
        <w:r w:rsidRPr="00991EC2">
          <w:rPr>
            <w:rStyle w:val="Hyperlink"/>
          </w:rPr>
          <w:t>http://doi.org/10.1136/jech-2015-206012</w:t>
        </w:r>
      </w:hyperlink>
    </w:p>
    <w:p w14:paraId="504B3096" w14:textId="77777777" w:rsidR="00BA56ED" w:rsidRDefault="00BA56ED" w:rsidP="00BA56ED">
      <w:pPr>
        <w:rPr>
          <w:color w:val="0563C1" w:themeColor="hyperlink"/>
          <w:u w:val="single"/>
        </w:rPr>
        <w:sectPr w:rsidR="00BA56ED" w:rsidSect="00C576A7">
          <w:footerReference w:type="default" r:id="rId64"/>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bookmarkStart w:id="1" w:name="_Hlk76478567"/>
      <w:r>
        <w:lastRenderedPageBreak/>
        <w:t>Appendix</w:t>
      </w:r>
    </w:p>
    <w:p w14:paraId="3413846F" w14:textId="5F744FA2" w:rsidR="00BA56ED" w:rsidRDefault="00BA56ED" w:rsidP="00BA56ED">
      <w:pPr>
        <w:rPr>
          <w:i/>
          <w:iCs/>
        </w:rPr>
      </w:pPr>
      <w:bookmarkStart w:id="2" w:name="_Hlk76976185"/>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29C389C8" w14:textId="7ED5C2A9" w:rsidTr="00514296">
        <w:tc>
          <w:tcPr>
            <w:tcW w:w="2376" w:type="dxa"/>
            <w:tcBorders>
              <w:top w:val="single" w:sz="4" w:space="0" w:color="auto"/>
              <w:bottom w:val="single" w:sz="4" w:space="0" w:color="auto"/>
            </w:tcBorders>
          </w:tcPr>
          <w:p w14:paraId="552834A3" w14:textId="77777777" w:rsidR="00514296" w:rsidRPr="004675AF" w:rsidRDefault="00514296" w:rsidP="00514296">
            <w:pPr>
              <w:rPr>
                <w:sz w:val="18"/>
                <w:szCs w:val="18"/>
              </w:rPr>
            </w:pPr>
            <w:bookmarkStart w:id="3" w:name="_Hlk76976167"/>
          </w:p>
        </w:tc>
        <w:tc>
          <w:tcPr>
            <w:tcW w:w="1985" w:type="dxa"/>
            <w:tcBorders>
              <w:top w:val="single" w:sz="4" w:space="0" w:color="auto"/>
              <w:bottom w:val="single" w:sz="4" w:space="0" w:color="auto"/>
            </w:tcBorders>
            <w:vAlign w:val="center"/>
          </w:tcPr>
          <w:p w14:paraId="02782A89" w14:textId="77777777" w:rsidR="00514296" w:rsidRPr="008C78D9" w:rsidRDefault="00514296" w:rsidP="00514296">
            <w:pPr>
              <w:rPr>
                <w:sz w:val="18"/>
                <w:szCs w:val="18"/>
              </w:rPr>
            </w:pPr>
            <w:r w:rsidRPr="008C78D9">
              <w:rPr>
                <w:sz w:val="18"/>
                <w:szCs w:val="18"/>
              </w:rPr>
              <w:t>Violence with injury</w:t>
            </w:r>
          </w:p>
        </w:tc>
        <w:tc>
          <w:tcPr>
            <w:tcW w:w="2126" w:type="dxa"/>
            <w:tcBorders>
              <w:top w:val="single" w:sz="4" w:space="0" w:color="auto"/>
              <w:bottom w:val="single" w:sz="4" w:space="0" w:color="auto"/>
            </w:tcBorders>
            <w:vAlign w:val="center"/>
          </w:tcPr>
          <w:p w14:paraId="57046AA9" w14:textId="77777777" w:rsidR="00514296" w:rsidRPr="008C78D9" w:rsidRDefault="00514296" w:rsidP="00514296">
            <w:pPr>
              <w:rPr>
                <w:sz w:val="18"/>
                <w:szCs w:val="18"/>
              </w:rPr>
            </w:pPr>
            <w:r w:rsidRPr="008C78D9">
              <w:rPr>
                <w:sz w:val="18"/>
                <w:szCs w:val="18"/>
              </w:rPr>
              <w:t>Violence without injury</w:t>
            </w:r>
          </w:p>
        </w:tc>
        <w:tc>
          <w:tcPr>
            <w:tcW w:w="1985" w:type="dxa"/>
            <w:tcBorders>
              <w:top w:val="single" w:sz="4" w:space="0" w:color="auto"/>
              <w:bottom w:val="single" w:sz="4" w:space="0" w:color="auto"/>
            </w:tcBorders>
            <w:vAlign w:val="center"/>
          </w:tcPr>
          <w:p w14:paraId="5F7CCBA2" w14:textId="77777777" w:rsidR="00514296" w:rsidRPr="008C78D9" w:rsidRDefault="00514296" w:rsidP="00514296">
            <w:pPr>
              <w:rPr>
                <w:sz w:val="18"/>
                <w:szCs w:val="18"/>
              </w:rPr>
            </w:pPr>
            <w:r w:rsidRPr="008C78D9">
              <w:rPr>
                <w:sz w:val="18"/>
                <w:szCs w:val="18"/>
              </w:rPr>
              <w:t>Sexual offences</w:t>
            </w:r>
          </w:p>
        </w:tc>
        <w:tc>
          <w:tcPr>
            <w:tcW w:w="1842" w:type="dxa"/>
            <w:tcBorders>
              <w:top w:val="single" w:sz="4" w:space="0" w:color="auto"/>
              <w:bottom w:val="single" w:sz="4" w:space="0" w:color="auto"/>
            </w:tcBorders>
            <w:vAlign w:val="center"/>
          </w:tcPr>
          <w:p w14:paraId="519CE875" w14:textId="77777777" w:rsidR="00514296" w:rsidRPr="008C78D9" w:rsidRDefault="00514296" w:rsidP="00514296">
            <w:pPr>
              <w:rPr>
                <w:sz w:val="18"/>
                <w:szCs w:val="18"/>
              </w:rPr>
            </w:pPr>
            <w:r w:rsidRPr="008C78D9">
              <w:rPr>
                <w:sz w:val="18"/>
                <w:szCs w:val="18"/>
              </w:rPr>
              <w:t>Robbery</w:t>
            </w:r>
          </w:p>
        </w:tc>
        <w:tc>
          <w:tcPr>
            <w:tcW w:w="1843" w:type="dxa"/>
            <w:tcBorders>
              <w:top w:val="single" w:sz="4" w:space="0" w:color="auto"/>
              <w:bottom w:val="single" w:sz="4" w:space="0" w:color="auto"/>
            </w:tcBorders>
          </w:tcPr>
          <w:p w14:paraId="0B8EABD8" w14:textId="77777777" w:rsidR="00514296" w:rsidRPr="008C78D9" w:rsidRDefault="00514296" w:rsidP="00514296">
            <w:pPr>
              <w:rPr>
                <w:sz w:val="18"/>
                <w:szCs w:val="18"/>
              </w:rPr>
            </w:pPr>
            <w:r w:rsidRPr="008C78D9">
              <w:rPr>
                <w:sz w:val="18"/>
                <w:szCs w:val="18"/>
              </w:rPr>
              <w:t>Possession of drugs</w:t>
            </w:r>
          </w:p>
        </w:tc>
        <w:tc>
          <w:tcPr>
            <w:tcW w:w="1843" w:type="dxa"/>
            <w:tcBorders>
              <w:top w:val="single" w:sz="4" w:space="0" w:color="auto"/>
              <w:bottom w:val="single" w:sz="4" w:space="0" w:color="auto"/>
            </w:tcBorders>
          </w:tcPr>
          <w:p w14:paraId="4C10B89E" w14:textId="071059A9" w:rsidR="00514296" w:rsidRPr="008C78D9" w:rsidRDefault="00514296" w:rsidP="00514296">
            <w:pPr>
              <w:rPr>
                <w:sz w:val="18"/>
                <w:szCs w:val="18"/>
              </w:rPr>
            </w:pPr>
            <w:r w:rsidRPr="008C78D9">
              <w:rPr>
                <w:sz w:val="18"/>
                <w:szCs w:val="18"/>
              </w:rPr>
              <w:t>Drug trafficking</w:t>
            </w:r>
          </w:p>
        </w:tc>
      </w:tr>
      <w:tr w:rsidR="00514296" w:rsidRPr="008C78D9" w14:paraId="5B749BBC" w14:textId="4C997685" w:rsidTr="00514296">
        <w:tc>
          <w:tcPr>
            <w:tcW w:w="2376" w:type="dxa"/>
            <w:tcBorders>
              <w:top w:val="single" w:sz="4" w:space="0" w:color="auto"/>
            </w:tcBorders>
            <w:vAlign w:val="center"/>
          </w:tcPr>
          <w:p w14:paraId="4D899373"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31EA7BCB" w14:textId="77777777" w:rsidR="00514296" w:rsidRPr="008C78D9" w:rsidRDefault="00514296" w:rsidP="00514296">
            <w:pPr>
              <w:rPr>
                <w:sz w:val="18"/>
                <w:szCs w:val="18"/>
              </w:rPr>
            </w:pPr>
            <w:r w:rsidRPr="008C78D9">
              <w:rPr>
                <w:b/>
                <w:bCs/>
                <w:sz w:val="18"/>
                <w:szCs w:val="18"/>
              </w:rPr>
              <w:t>-113.8</w:t>
            </w:r>
            <w:r w:rsidRPr="008C78D9">
              <w:rPr>
                <w:sz w:val="18"/>
                <w:szCs w:val="18"/>
              </w:rPr>
              <w:t xml:space="preserve"> [-225.1, -2.5]</w:t>
            </w:r>
          </w:p>
        </w:tc>
        <w:tc>
          <w:tcPr>
            <w:tcW w:w="2126" w:type="dxa"/>
            <w:tcBorders>
              <w:top w:val="single" w:sz="4" w:space="0" w:color="auto"/>
            </w:tcBorders>
          </w:tcPr>
          <w:p w14:paraId="0B9BEC7F" w14:textId="77777777" w:rsidR="00514296" w:rsidRPr="008C78D9" w:rsidRDefault="00514296" w:rsidP="00514296">
            <w:pPr>
              <w:rPr>
                <w:sz w:val="18"/>
                <w:szCs w:val="18"/>
              </w:rPr>
            </w:pPr>
            <w:r w:rsidRPr="008C78D9">
              <w:rPr>
                <w:b/>
                <w:bCs/>
                <w:sz w:val="18"/>
                <w:szCs w:val="18"/>
              </w:rPr>
              <w:t>-157.2</w:t>
            </w:r>
            <w:r w:rsidRPr="008C78D9">
              <w:rPr>
                <w:sz w:val="18"/>
                <w:szCs w:val="18"/>
              </w:rPr>
              <w:t xml:space="preserve"> [-255.0, -59.4]</w:t>
            </w:r>
          </w:p>
        </w:tc>
        <w:tc>
          <w:tcPr>
            <w:tcW w:w="1985" w:type="dxa"/>
            <w:tcBorders>
              <w:top w:val="single" w:sz="4" w:space="0" w:color="auto"/>
            </w:tcBorders>
          </w:tcPr>
          <w:p w14:paraId="77CC7E21" w14:textId="77777777" w:rsidR="00514296" w:rsidRPr="008C78D9" w:rsidRDefault="00514296" w:rsidP="00514296">
            <w:pPr>
              <w:rPr>
                <w:sz w:val="18"/>
                <w:szCs w:val="18"/>
              </w:rPr>
            </w:pPr>
            <w:r w:rsidRPr="008C78D9">
              <w:rPr>
                <w:b/>
                <w:bCs/>
                <w:sz w:val="18"/>
                <w:szCs w:val="18"/>
              </w:rPr>
              <w:t>-77.0</w:t>
            </w:r>
            <w:r w:rsidRPr="008C78D9">
              <w:rPr>
                <w:sz w:val="18"/>
                <w:szCs w:val="18"/>
              </w:rPr>
              <w:t xml:space="preserve"> [-113.4, -40.7]</w:t>
            </w:r>
          </w:p>
        </w:tc>
        <w:tc>
          <w:tcPr>
            <w:tcW w:w="1842" w:type="dxa"/>
            <w:tcBorders>
              <w:top w:val="single" w:sz="4" w:space="0" w:color="auto"/>
            </w:tcBorders>
          </w:tcPr>
          <w:p w14:paraId="7B0FA874" w14:textId="77777777" w:rsidR="00514296" w:rsidRPr="008C78D9" w:rsidRDefault="00514296" w:rsidP="00514296">
            <w:pPr>
              <w:rPr>
                <w:sz w:val="18"/>
                <w:szCs w:val="18"/>
              </w:rPr>
            </w:pPr>
            <w:r w:rsidRPr="008C78D9">
              <w:rPr>
                <w:b/>
                <w:bCs/>
                <w:sz w:val="18"/>
                <w:szCs w:val="18"/>
              </w:rPr>
              <w:t>-28.2</w:t>
            </w:r>
            <w:r w:rsidRPr="008C78D9">
              <w:rPr>
                <w:sz w:val="18"/>
                <w:szCs w:val="18"/>
              </w:rPr>
              <w:t xml:space="preserve"> [-38.4, -18.0]</w:t>
            </w:r>
          </w:p>
        </w:tc>
        <w:tc>
          <w:tcPr>
            <w:tcW w:w="1843" w:type="dxa"/>
            <w:tcBorders>
              <w:top w:val="single" w:sz="4" w:space="0" w:color="auto"/>
            </w:tcBorders>
          </w:tcPr>
          <w:p w14:paraId="22BE5CB5" w14:textId="77777777" w:rsidR="00514296" w:rsidRPr="008C78D9" w:rsidRDefault="00514296" w:rsidP="00514296">
            <w:pPr>
              <w:rPr>
                <w:sz w:val="18"/>
                <w:szCs w:val="18"/>
              </w:rPr>
            </w:pPr>
            <w:r w:rsidRPr="008C78D9">
              <w:rPr>
                <w:b/>
                <w:bCs/>
                <w:sz w:val="18"/>
                <w:szCs w:val="18"/>
              </w:rPr>
              <w:t>-53.3</w:t>
            </w:r>
            <w:r w:rsidRPr="008C78D9">
              <w:rPr>
                <w:sz w:val="18"/>
                <w:szCs w:val="18"/>
              </w:rPr>
              <w:t xml:space="preserve"> [-103.0, -3.5]</w:t>
            </w:r>
          </w:p>
        </w:tc>
        <w:tc>
          <w:tcPr>
            <w:tcW w:w="1843" w:type="dxa"/>
            <w:tcBorders>
              <w:top w:val="single" w:sz="4" w:space="0" w:color="auto"/>
            </w:tcBorders>
          </w:tcPr>
          <w:p w14:paraId="3BA860FB" w14:textId="194C5F52" w:rsidR="00514296" w:rsidRPr="008C78D9" w:rsidRDefault="00514296" w:rsidP="00514296">
            <w:pPr>
              <w:rPr>
                <w:b/>
                <w:bCs/>
                <w:sz w:val="18"/>
                <w:szCs w:val="18"/>
              </w:rPr>
            </w:pPr>
            <w:r w:rsidRPr="008C78D9">
              <w:rPr>
                <w:b/>
                <w:bCs/>
                <w:sz w:val="18"/>
                <w:szCs w:val="18"/>
              </w:rPr>
              <w:t>-30.2</w:t>
            </w:r>
            <w:r w:rsidRPr="008C78D9">
              <w:rPr>
                <w:sz w:val="18"/>
                <w:szCs w:val="18"/>
              </w:rPr>
              <w:t xml:space="preserve"> [-44.4, -16.1]</w:t>
            </w:r>
          </w:p>
        </w:tc>
      </w:tr>
      <w:tr w:rsidR="00514296" w:rsidRPr="008C78D9" w14:paraId="1B8F602E" w14:textId="4C5B9451" w:rsidTr="00514296">
        <w:tc>
          <w:tcPr>
            <w:tcW w:w="2376" w:type="dxa"/>
            <w:vAlign w:val="center"/>
          </w:tcPr>
          <w:p w14:paraId="2387744F" w14:textId="77777777" w:rsidR="00514296" w:rsidRPr="008C78D9" w:rsidRDefault="00514296" w:rsidP="00514296">
            <w:pPr>
              <w:rPr>
                <w:sz w:val="18"/>
                <w:szCs w:val="18"/>
              </w:rPr>
            </w:pPr>
            <w:r w:rsidRPr="008C78D9">
              <w:rPr>
                <w:sz w:val="18"/>
                <w:szCs w:val="18"/>
              </w:rPr>
              <w:t>Time since first lockdown</w:t>
            </w:r>
          </w:p>
        </w:tc>
        <w:tc>
          <w:tcPr>
            <w:tcW w:w="1985" w:type="dxa"/>
          </w:tcPr>
          <w:p w14:paraId="1E85BB97" w14:textId="77777777" w:rsidR="00514296" w:rsidRPr="008C78D9" w:rsidRDefault="00514296" w:rsidP="00514296">
            <w:pPr>
              <w:rPr>
                <w:sz w:val="18"/>
                <w:szCs w:val="18"/>
              </w:rPr>
            </w:pPr>
            <w:r w:rsidRPr="008C78D9">
              <w:rPr>
                <w:b/>
                <w:bCs/>
                <w:sz w:val="18"/>
                <w:szCs w:val="18"/>
              </w:rPr>
              <w:t>41.9</w:t>
            </w:r>
            <w:r w:rsidRPr="008C78D9">
              <w:rPr>
                <w:sz w:val="18"/>
                <w:szCs w:val="18"/>
              </w:rPr>
              <w:t xml:space="preserve"> [9.8, 73.9]</w:t>
            </w:r>
          </w:p>
        </w:tc>
        <w:tc>
          <w:tcPr>
            <w:tcW w:w="2126" w:type="dxa"/>
          </w:tcPr>
          <w:p w14:paraId="0B7A4EE0" w14:textId="77777777" w:rsidR="00514296" w:rsidRPr="008C78D9" w:rsidRDefault="00514296" w:rsidP="00514296">
            <w:pPr>
              <w:rPr>
                <w:sz w:val="18"/>
                <w:szCs w:val="18"/>
              </w:rPr>
            </w:pPr>
            <w:r w:rsidRPr="008C78D9">
              <w:rPr>
                <w:b/>
                <w:bCs/>
                <w:sz w:val="18"/>
                <w:szCs w:val="18"/>
              </w:rPr>
              <w:t>24.9</w:t>
            </w:r>
            <w:r w:rsidRPr="008C78D9">
              <w:rPr>
                <w:sz w:val="18"/>
                <w:szCs w:val="18"/>
              </w:rPr>
              <w:t xml:space="preserve"> [3.2, 46.6]</w:t>
            </w:r>
          </w:p>
        </w:tc>
        <w:tc>
          <w:tcPr>
            <w:tcW w:w="1985" w:type="dxa"/>
          </w:tcPr>
          <w:p w14:paraId="6E3091A2" w14:textId="77777777" w:rsidR="00514296" w:rsidRPr="008C78D9" w:rsidRDefault="00514296" w:rsidP="00514296">
            <w:pPr>
              <w:rPr>
                <w:sz w:val="18"/>
                <w:szCs w:val="18"/>
              </w:rPr>
            </w:pPr>
            <w:r w:rsidRPr="008C78D9">
              <w:rPr>
                <w:sz w:val="18"/>
                <w:szCs w:val="18"/>
              </w:rPr>
              <w:t>7.4 [-3.8, 18.6]</w:t>
            </w:r>
          </w:p>
        </w:tc>
        <w:tc>
          <w:tcPr>
            <w:tcW w:w="1842" w:type="dxa"/>
          </w:tcPr>
          <w:p w14:paraId="584FDEC6" w14:textId="77777777" w:rsidR="00514296" w:rsidRPr="008C78D9" w:rsidRDefault="00514296" w:rsidP="00514296">
            <w:pPr>
              <w:rPr>
                <w:sz w:val="18"/>
                <w:szCs w:val="18"/>
              </w:rPr>
            </w:pPr>
            <w:r w:rsidRPr="008C78D9">
              <w:rPr>
                <w:sz w:val="18"/>
                <w:szCs w:val="18"/>
              </w:rPr>
              <w:t>1.9 [-1.0, 4.9]</w:t>
            </w:r>
          </w:p>
        </w:tc>
        <w:tc>
          <w:tcPr>
            <w:tcW w:w="1843" w:type="dxa"/>
          </w:tcPr>
          <w:p w14:paraId="0B223391" w14:textId="77777777" w:rsidR="00514296" w:rsidRPr="008C78D9" w:rsidRDefault="00514296" w:rsidP="00514296">
            <w:pPr>
              <w:rPr>
                <w:sz w:val="18"/>
                <w:szCs w:val="18"/>
              </w:rPr>
            </w:pPr>
            <w:r w:rsidRPr="008C78D9">
              <w:rPr>
                <w:sz w:val="18"/>
                <w:szCs w:val="18"/>
              </w:rPr>
              <w:t>9.1 [-1.8, 20.1]</w:t>
            </w:r>
          </w:p>
        </w:tc>
        <w:tc>
          <w:tcPr>
            <w:tcW w:w="1843" w:type="dxa"/>
          </w:tcPr>
          <w:p w14:paraId="3EB90305" w14:textId="21F185BD" w:rsidR="00514296" w:rsidRPr="008C78D9" w:rsidRDefault="00514296" w:rsidP="00514296">
            <w:pPr>
              <w:rPr>
                <w:sz w:val="18"/>
                <w:szCs w:val="18"/>
              </w:rPr>
            </w:pPr>
            <w:r w:rsidRPr="008C78D9">
              <w:rPr>
                <w:b/>
                <w:bCs/>
                <w:sz w:val="18"/>
                <w:szCs w:val="18"/>
              </w:rPr>
              <w:t>5.2</w:t>
            </w:r>
            <w:r w:rsidRPr="008C78D9">
              <w:rPr>
                <w:sz w:val="18"/>
                <w:szCs w:val="18"/>
              </w:rPr>
              <w:t xml:space="preserve"> [0.9, 9.5]</w:t>
            </w:r>
          </w:p>
        </w:tc>
      </w:tr>
      <w:tr w:rsidR="00514296" w:rsidRPr="008C78D9" w14:paraId="2A956538" w14:textId="26F227B6" w:rsidTr="00514296">
        <w:tc>
          <w:tcPr>
            <w:tcW w:w="2376" w:type="dxa"/>
            <w:vAlign w:val="center"/>
          </w:tcPr>
          <w:p w14:paraId="66699389" w14:textId="77777777" w:rsidR="00514296" w:rsidRPr="008C78D9" w:rsidRDefault="00514296" w:rsidP="00514296">
            <w:pPr>
              <w:rPr>
                <w:sz w:val="18"/>
                <w:szCs w:val="18"/>
              </w:rPr>
            </w:pPr>
            <w:r w:rsidRPr="008C78D9">
              <w:rPr>
                <w:sz w:val="18"/>
                <w:szCs w:val="18"/>
              </w:rPr>
              <w:t>Second lockdown</w:t>
            </w:r>
          </w:p>
        </w:tc>
        <w:tc>
          <w:tcPr>
            <w:tcW w:w="1985" w:type="dxa"/>
          </w:tcPr>
          <w:p w14:paraId="7B4DCBE7" w14:textId="77777777" w:rsidR="00514296" w:rsidRPr="008C78D9" w:rsidRDefault="00514296" w:rsidP="00514296">
            <w:pPr>
              <w:rPr>
                <w:sz w:val="18"/>
                <w:szCs w:val="18"/>
              </w:rPr>
            </w:pPr>
            <w:r w:rsidRPr="008C78D9">
              <w:rPr>
                <w:sz w:val="18"/>
                <w:szCs w:val="18"/>
              </w:rPr>
              <w:t>-134.5 [-368.3, 99.2]</w:t>
            </w:r>
          </w:p>
        </w:tc>
        <w:tc>
          <w:tcPr>
            <w:tcW w:w="2126" w:type="dxa"/>
          </w:tcPr>
          <w:p w14:paraId="729454A7" w14:textId="77777777" w:rsidR="00514296" w:rsidRPr="008C78D9" w:rsidRDefault="00514296" w:rsidP="00514296">
            <w:pPr>
              <w:rPr>
                <w:sz w:val="18"/>
                <w:szCs w:val="18"/>
              </w:rPr>
            </w:pPr>
            <w:r w:rsidRPr="008C78D9">
              <w:rPr>
                <w:sz w:val="18"/>
                <w:szCs w:val="18"/>
              </w:rPr>
              <w:t>-53.1 [-183.7, 77.5]</w:t>
            </w:r>
          </w:p>
        </w:tc>
        <w:tc>
          <w:tcPr>
            <w:tcW w:w="1985" w:type="dxa"/>
          </w:tcPr>
          <w:p w14:paraId="3F806EB3" w14:textId="77777777" w:rsidR="00514296" w:rsidRPr="008C78D9" w:rsidRDefault="00514296" w:rsidP="00514296">
            <w:pPr>
              <w:rPr>
                <w:sz w:val="18"/>
                <w:szCs w:val="18"/>
              </w:rPr>
            </w:pPr>
            <w:r w:rsidRPr="008C78D9">
              <w:rPr>
                <w:sz w:val="18"/>
                <w:szCs w:val="18"/>
              </w:rPr>
              <w:t>-68.8 [-149.5, 12.0]</w:t>
            </w:r>
          </w:p>
        </w:tc>
        <w:tc>
          <w:tcPr>
            <w:tcW w:w="1842" w:type="dxa"/>
          </w:tcPr>
          <w:p w14:paraId="3D238F63" w14:textId="77777777" w:rsidR="00514296" w:rsidRPr="008C78D9" w:rsidRDefault="00514296" w:rsidP="00514296">
            <w:pPr>
              <w:rPr>
                <w:sz w:val="18"/>
                <w:szCs w:val="18"/>
              </w:rPr>
            </w:pPr>
            <w:r w:rsidRPr="008C78D9">
              <w:rPr>
                <w:b/>
                <w:bCs/>
                <w:sz w:val="18"/>
                <w:szCs w:val="18"/>
              </w:rPr>
              <w:t>-22.5</w:t>
            </w:r>
            <w:r w:rsidRPr="008C78D9">
              <w:rPr>
                <w:sz w:val="18"/>
                <w:szCs w:val="18"/>
              </w:rPr>
              <w:t xml:space="preserve"> [-44.2, -0.8]</w:t>
            </w:r>
          </w:p>
        </w:tc>
        <w:tc>
          <w:tcPr>
            <w:tcW w:w="1843" w:type="dxa"/>
          </w:tcPr>
          <w:p w14:paraId="184091F3" w14:textId="77777777" w:rsidR="00514296" w:rsidRPr="008C78D9" w:rsidRDefault="00514296" w:rsidP="00514296">
            <w:pPr>
              <w:rPr>
                <w:sz w:val="18"/>
                <w:szCs w:val="18"/>
              </w:rPr>
            </w:pPr>
            <w:r w:rsidRPr="008C78D9">
              <w:rPr>
                <w:sz w:val="18"/>
                <w:szCs w:val="18"/>
              </w:rPr>
              <w:t>-17.6 [-105.5, 70.2]</w:t>
            </w:r>
          </w:p>
        </w:tc>
        <w:tc>
          <w:tcPr>
            <w:tcW w:w="1843" w:type="dxa"/>
          </w:tcPr>
          <w:p w14:paraId="03EB7560" w14:textId="49A458EF" w:rsidR="00514296" w:rsidRPr="008C78D9" w:rsidRDefault="00514296" w:rsidP="00514296">
            <w:pPr>
              <w:rPr>
                <w:sz w:val="18"/>
                <w:szCs w:val="18"/>
              </w:rPr>
            </w:pPr>
            <w:r w:rsidRPr="008C78D9">
              <w:rPr>
                <w:sz w:val="18"/>
                <w:szCs w:val="18"/>
              </w:rPr>
              <w:t>8.6 [-22.5, 39.7]</w:t>
            </w:r>
          </w:p>
        </w:tc>
      </w:tr>
      <w:tr w:rsidR="00514296" w:rsidRPr="008C78D9" w14:paraId="716E7E9A" w14:textId="5D7356E7" w:rsidTr="00514296">
        <w:tc>
          <w:tcPr>
            <w:tcW w:w="2376" w:type="dxa"/>
            <w:vAlign w:val="center"/>
          </w:tcPr>
          <w:p w14:paraId="4058DC01" w14:textId="77777777" w:rsidR="00514296" w:rsidRPr="008C78D9" w:rsidRDefault="00514296" w:rsidP="00514296">
            <w:pPr>
              <w:rPr>
                <w:sz w:val="18"/>
                <w:szCs w:val="18"/>
              </w:rPr>
            </w:pPr>
            <w:r w:rsidRPr="008C78D9">
              <w:rPr>
                <w:sz w:val="18"/>
                <w:szCs w:val="18"/>
              </w:rPr>
              <w:t>Time since second lockdown</w:t>
            </w:r>
          </w:p>
        </w:tc>
        <w:tc>
          <w:tcPr>
            <w:tcW w:w="1985" w:type="dxa"/>
          </w:tcPr>
          <w:p w14:paraId="2BFCDF3E" w14:textId="77777777" w:rsidR="00514296" w:rsidRPr="008C78D9" w:rsidRDefault="00514296" w:rsidP="00514296">
            <w:pPr>
              <w:rPr>
                <w:sz w:val="18"/>
                <w:szCs w:val="18"/>
              </w:rPr>
            </w:pPr>
            <w:r w:rsidRPr="008C78D9">
              <w:rPr>
                <w:sz w:val="18"/>
                <w:szCs w:val="18"/>
              </w:rPr>
              <w:t>40.4 [-23.6, 104.5]</w:t>
            </w:r>
          </w:p>
        </w:tc>
        <w:tc>
          <w:tcPr>
            <w:tcW w:w="2126" w:type="dxa"/>
          </w:tcPr>
          <w:p w14:paraId="1F0D0EF0" w14:textId="77777777" w:rsidR="00514296" w:rsidRPr="008C78D9" w:rsidRDefault="00514296" w:rsidP="00514296">
            <w:pPr>
              <w:rPr>
                <w:sz w:val="18"/>
                <w:szCs w:val="18"/>
              </w:rPr>
            </w:pPr>
            <w:r w:rsidRPr="008C78D9">
              <w:rPr>
                <w:sz w:val="18"/>
                <w:szCs w:val="18"/>
              </w:rPr>
              <w:t>27.4 [-25.8, 80.6]</w:t>
            </w:r>
          </w:p>
        </w:tc>
        <w:tc>
          <w:tcPr>
            <w:tcW w:w="1985" w:type="dxa"/>
          </w:tcPr>
          <w:p w14:paraId="5302D69E" w14:textId="77777777" w:rsidR="00514296" w:rsidRPr="008C78D9" w:rsidRDefault="00514296" w:rsidP="00514296">
            <w:pPr>
              <w:rPr>
                <w:sz w:val="18"/>
                <w:szCs w:val="18"/>
              </w:rPr>
            </w:pPr>
            <w:r w:rsidRPr="008C78D9">
              <w:rPr>
                <w:sz w:val="18"/>
                <w:szCs w:val="18"/>
              </w:rPr>
              <w:t>4.6 [-14.6, 25.8]</w:t>
            </w:r>
          </w:p>
        </w:tc>
        <w:tc>
          <w:tcPr>
            <w:tcW w:w="1842" w:type="dxa"/>
          </w:tcPr>
          <w:p w14:paraId="2EF0458A" w14:textId="77777777" w:rsidR="00514296" w:rsidRPr="008C78D9" w:rsidRDefault="00514296" w:rsidP="00514296">
            <w:pPr>
              <w:rPr>
                <w:sz w:val="18"/>
                <w:szCs w:val="18"/>
              </w:rPr>
            </w:pPr>
            <w:r w:rsidRPr="008C78D9">
              <w:rPr>
                <w:b/>
                <w:bCs/>
                <w:sz w:val="18"/>
                <w:szCs w:val="18"/>
              </w:rPr>
              <w:t>7.0</w:t>
            </w:r>
            <w:r w:rsidRPr="008C78D9">
              <w:rPr>
                <w:sz w:val="18"/>
                <w:szCs w:val="18"/>
              </w:rPr>
              <w:t xml:space="preserve"> [1.1, 12.9]</w:t>
            </w:r>
          </w:p>
        </w:tc>
        <w:tc>
          <w:tcPr>
            <w:tcW w:w="1843" w:type="dxa"/>
          </w:tcPr>
          <w:p w14:paraId="52A88650" w14:textId="77777777" w:rsidR="00514296" w:rsidRPr="008C78D9" w:rsidRDefault="00514296" w:rsidP="00514296">
            <w:pPr>
              <w:rPr>
                <w:sz w:val="18"/>
                <w:szCs w:val="18"/>
              </w:rPr>
            </w:pPr>
            <w:r w:rsidRPr="008C78D9">
              <w:rPr>
                <w:b/>
                <w:bCs/>
                <w:sz w:val="18"/>
                <w:szCs w:val="18"/>
              </w:rPr>
              <w:t>40.5</w:t>
            </w:r>
            <w:r w:rsidRPr="008C78D9">
              <w:rPr>
                <w:sz w:val="18"/>
                <w:szCs w:val="18"/>
              </w:rPr>
              <w:t xml:space="preserve"> [5.4, 75.5]</w:t>
            </w:r>
          </w:p>
        </w:tc>
        <w:tc>
          <w:tcPr>
            <w:tcW w:w="1843" w:type="dxa"/>
          </w:tcPr>
          <w:p w14:paraId="2E134241" w14:textId="40F4A848" w:rsidR="00514296" w:rsidRPr="008C78D9" w:rsidRDefault="00514296" w:rsidP="00514296">
            <w:pPr>
              <w:rPr>
                <w:b/>
                <w:bCs/>
                <w:sz w:val="18"/>
                <w:szCs w:val="18"/>
              </w:rPr>
            </w:pPr>
            <w:r w:rsidRPr="008C78D9">
              <w:rPr>
                <w:sz w:val="18"/>
                <w:szCs w:val="18"/>
              </w:rPr>
              <w:t>4.1 [-4.2, 12.4]</w:t>
            </w:r>
          </w:p>
        </w:tc>
      </w:tr>
      <w:tr w:rsidR="00514296" w:rsidRPr="008C78D9" w14:paraId="0A879089" w14:textId="3B4BF50A" w:rsidTr="00514296">
        <w:tc>
          <w:tcPr>
            <w:tcW w:w="2376" w:type="dxa"/>
            <w:vAlign w:val="center"/>
          </w:tcPr>
          <w:p w14:paraId="36FBBDFA" w14:textId="77777777" w:rsidR="00514296" w:rsidRPr="008C78D9" w:rsidRDefault="00514296" w:rsidP="00514296">
            <w:pPr>
              <w:rPr>
                <w:sz w:val="18"/>
                <w:szCs w:val="18"/>
              </w:rPr>
            </w:pPr>
            <w:r w:rsidRPr="008C78D9">
              <w:rPr>
                <w:sz w:val="18"/>
                <w:szCs w:val="18"/>
              </w:rPr>
              <w:t>Third lockdown</w:t>
            </w:r>
          </w:p>
        </w:tc>
        <w:tc>
          <w:tcPr>
            <w:tcW w:w="1985" w:type="dxa"/>
          </w:tcPr>
          <w:p w14:paraId="72B3E62D" w14:textId="77777777" w:rsidR="00514296" w:rsidRPr="008C78D9" w:rsidRDefault="00514296" w:rsidP="00514296">
            <w:pPr>
              <w:rPr>
                <w:sz w:val="18"/>
                <w:szCs w:val="18"/>
              </w:rPr>
            </w:pPr>
            <w:r w:rsidRPr="008C78D9">
              <w:rPr>
                <w:b/>
                <w:bCs/>
                <w:sz w:val="18"/>
                <w:szCs w:val="18"/>
              </w:rPr>
              <w:t>-321.2</w:t>
            </w:r>
            <w:r w:rsidRPr="008C78D9">
              <w:rPr>
                <w:sz w:val="18"/>
                <w:szCs w:val="18"/>
              </w:rPr>
              <w:t xml:space="preserve"> [-578.9, -63.4]</w:t>
            </w:r>
          </w:p>
        </w:tc>
        <w:tc>
          <w:tcPr>
            <w:tcW w:w="2126" w:type="dxa"/>
          </w:tcPr>
          <w:p w14:paraId="7A923BB0" w14:textId="77777777" w:rsidR="00514296" w:rsidRPr="008C78D9" w:rsidRDefault="00514296" w:rsidP="00514296">
            <w:pPr>
              <w:rPr>
                <w:sz w:val="18"/>
                <w:szCs w:val="18"/>
              </w:rPr>
            </w:pPr>
            <w:r w:rsidRPr="008C78D9">
              <w:rPr>
                <w:b/>
                <w:bCs/>
                <w:sz w:val="18"/>
                <w:szCs w:val="18"/>
              </w:rPr>
              <w:t>-453.0</w:t>
            </w:r>
            <w:r w:rsidRPr="008C78D9">
              <w:rPr>
                <w:sz w:val="18"/>
                <w:szCs w:val="18"/>
              </w:rPr>
              <w:t xml:space="preserve"> [-578.6, -327.4]</w:t>
            </w:r>
          </w:p>
        </w:tc>
        <w:tc>
          <w:tcPr>
            <w:tcW w:w="1985" w:type="dxa"/>
          </w:tcPr>
          <w:p w14:paraId="5708CC24" w14:textId="77777777" w:rsidR="00514296" w:rsidRPr="008C78D9" w:rsidRDefault="00514296" w:rsidP="00514296">
            <w:pPr>
              <w:rPr>
                <w:sz w:val="18"/>
                <w:szCs w:val="18"/>
              </w:rPr>
            </w:pPr>
            <w:r w:rsidRPr="008C78D9">
              <w:rPr>
                <w:sz w:val="18"/>
                <w:szCs w:val="18"/>
              </w:rPr>
              <w:t>-54.4 [-145.0, 36.3]</w:t>
            </w:r>
          </w:p>
        </w:tc>
        <w:tc>
          <w:tcPr>
            <w:tcW w:w="1842" w:type="dxa"/>
          </w:tcPr>
          <w:p w14:paraId="078C6F00" w14:textId="77777777" w:rsidR="00514296" w:rsidRPr="008C78D9" w:rsidRDefault="00514296" w:rsidP="00514296">
            <w:pPr>
              <w:rPr>
                <w:sz w:val="18"/>
                <w:szCs w:val="18"/>
              </w:rPr>
            </w:pPr>
            <w:r w:rsidRPr="008C78D9">
              <w:rPr>
                <w:b/>
                <w:bCs/>
                <w:sz w:val="18"/>
                <w:szCs w:val="18"/>
              </w:rPr>
              <w:t>-24.6</w:t>
            </w:r>
            <w:r w:rsidRPr="008C78D9">
              <w:rPr>
                <w:sz w:val="18"/>
                <w:szCs w:val="18"/>
              </w:rPr>
              <w:t xml:space="preserve"> [-48.6, -0.6]</w:t>
            </w:r>
          </w:p>
        </w:tc>
        <w:tc>
          <w:tcPr>
            <w:tcW w:w="1843" w:type="dxa"/>
          </w:tcPr>
          <w:p w14:paraId="318B1863" w14:textId="77777777" w:rsidR="00514296" w:rsidRPr="008C78D9" w:rsidRDefault="00514296" w:rsidP="00514296">
            <w:pPr>
              <w:rPr>
                <w:sz w:val="18"/>
                <w:szCs w:val="18"/>
              </w:rPr>
            </w:pPr>
            <w:r w:rsidRPr="008C78D9">
              <w:rPr>
                <w:sz w:val="18"/>
                <w:szCs w:val="18"/>
              </w:rPr>
              <w:t>-12.0 [-86.7, 62.7]</w:t>
            </w:r>
          </w:p>
        </w:tc>
        <w:tc>
          <w:tcPr>
            <w:tcW w:w="1843" w:type="dxa"/>
          </w:tcPr>
          <w:p w14:paraId="700E9B61" w14:textId="04E8BBBC" w:rsidR="00514296" w:rsidRPr="008C78D9" w:rsidRDefault="00514296" w:rsidP="00514296">
            <w:pPr>
              <w:rPr>
                <w:sz w:val="18"/>
                <w:szCs w:val="18"/>
              </w:rPr>
            </w:pPr>
            <w:r w:rsidRPr="008C78D9">
              <w:rPr>
                <w:sz w:val="18"/>
                <w:szCs w:val="18"/>
              </w:rPr>
              <w:t>-14.2 [-49.1, 20.6]</w:t>
            </w:r>
          </w:p>
        </w:tc>
      </w:tr>
      <w:tr w:rsidR="00514296" w:rsidRPr="008C78D9" w14:paraId="3B75433C" w14:textId="7E37E3D1" w:rsidTr="00514296">
        <w:tc>
          <w:tcPr>
            <w:tcW w:w="2376" w:type="dxa"/>
            <w:tcBorders>
              <w:bottom w:val="single" w:sz="4" w:space="0" w:color="auto"/>
            </w:tcBorders>
            <w:vAlign w:val="center"/>
          </w:tcPr>
          <w:p w14:paraId="0DC08C73"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ED8BF7E" w14:textId="77777777" w:rsidR="00514296" w:rsidRPr="008C78D9" w:rsidRDefault="00514296" w:rsidP="00514296">
            <w:pPr>
              <w:rPr>
                <w:sz w:val="18"/>
                <w:szCs w:val="18"/>
              </w:rPr>
            </w:pPr>
            <w:r w:rsidRPr="008C78D9">
              <w:rPr>
                <w:b/>
                <w:bCs/>
                <w:sz w:val="18"/>
                <w:szCs w:val="18"/>
              </w:rPr>
              <w:t>106.5</w:t>
            </w:r>
            <w:r w:rsidRPr="008C78D9">
              <w:rPr>
                <w:sz w:val="18"/>
                <w:szCs w:val="18"/>
              </w:rPr>
              <w:t xml:space="preserve"> [65.8, 147.1]</w:t>
            </w:r>
          </w:p>
        </w:tc>
        <w:tc>
          <w:tcPr>
            <w:tcW w:w="2126" w:type="dxa"/>
            <w:tcBorders>
              <w:bottom w:val="single" w:sz="4" w:space="0" w:color="auto"/>
            </w:tcBorders>
          </w:tcPr>
          <w:p w14:paraId="4C370297" w14:textId="77777777" w:rsidR="00514296" w:rsidRPr="008C78D9" w:rsidRDefault="00514296" w:rsidP="00514296">
            <w:pPr>
              <w:rPr>
                <w:sz w:val="18"/>
                <w:szCs w:val="18"/>
              </w:rPr>
            </w:pPr>
            <w:r w:rsidRPr="008C78D9">
              <w:rPr>
                <w:b/>
                <w:bCs/>
                <w:sz w:val="18"/>
                <w:szCs w:val="18"/>
              </w:rPr>
              <w:t>152.8</w:t>
            </w:r>
            <w:r w:rsidRPr="008C78D9">
              <w:rPr>
                <w:sz w:val="18"/>
                <w:szCs w:val="18"/>
              </w:rPr>
              <w:t xml:space="preserve"> [117.2, 188.3]</w:t>
            </w:r>
          </w:p>
        </w:tc>
        <w:tc>
          <w:tcPr>
            <w:tcW w:w="1985" w:type="dxa"/>
            <w:tcBorders>
              <w:bottom w:val="single" w:sz="4" w:space="0" w:color="auto"/>
            </w:tcBorders>
          </w:tcPr>
          <w:p w14:paraId="756B2F12" w14:textId="77777777" w:rsidR="00514296" w:rsidRPr="008C78D9" w:rsidRDefault="00514296" w:rsidP="00514296">
            <w:pPr>
              <w:rPr>
                <w:sz w:val="18"/>
                <w:szCs w:val="18"/>
              </w:rPr>
            </w:pPr>
            <w:r w:rsidRPr="008C78D9">
              <w:rPr>
                <w:sz w:val="18"/>
                <w:szCs w:val="18"/>
              </w:rPr>
              <w:t>13.3 [-0.8, 27.3]</w:t>
            </w:r>
          </w:p>
        </w:tc>
        <w:tc>
          <w:tcPr>
            <w:tcW w:w="1842" w:type="dxa"/>
            <w:tcBorders>
              <w:bottom w:val="single" w:sz="4" w:space="0" w:color="auto"/>
            </w:tcBorders>
          </w:tcPr>
          <w:p w14:paraId="2BF9CC09" w14:textId="77777777" w:rsidR="00514296" w:rsidRPr="008C78D9" w:rsidRDefault="00514296" w:rsidP="00514296">
            <w:pPr>
              <w:rPr>
                <w:sz w:val="18"/>
                <w:szCs w:val="18"/>
              </w:rPr>
            </w:pPr>
            <w:r w:rsidRPr="008C78D9">
              <w:rPr>
                <w:sz w:val="18"/>
                <w:szCs w:val="18"/>
              </w:rPr>
              <w:t>0.5 [-3.3, 4.2]</w:t>
            </w:r>
          </w:p>
        </w:tc>
        <w:tc>
          <w:tcPr>
            <w:tcW w:w="1843" w:type="dxa"/>
            <w:tcBorders>
              <w:bottom w:val="single" w:sz="4" w:space="0" w:color="auto"/>
            </w:tcBorders>
          </w:tcPr>
          <w:p w14:paraId="291550E9" w14:textId="77777777" w:rsidR="00514296" w:rsidRPr="008C78D9" w:rsidRDefault="00514296" w:rsidP="00514296">
            <w:pPr>
              <w:rPr>
                <w:sz w:val="18"/>
                <w:szCs w:val="18"/>
              </w:rPr>
            </w:pPr>
            <w:r w:rsidRPr="008C78D9">
              <w:rPr>
                <w:b/>
                <w:bCs/>
                <w:sz w:val="18"/>
                <w:szCs w:val="18"/>
              </w:rPr>
              <w:t>21.9</w:t>
            </w:r>
            <w:r w:rsidRPr="008C78D9">
              <w:rPr>
                <w:sz w:val="18"/>
                <w:szCs w:val="18"/>
              </w:rPr>
              <w:t xml:space="preserve"> [4.9, 38.8]</w:t>
            </w:r>
          </w:p>
        </w:tc>
        <w:tc>
          <w:tcPr>
            <w:tcW w:w="1843" w:type="dxa"/>
            <w:tcBorders>
              <w:bottom w:val="single" w:sz="4" w:space="0" w:color="auto"/>
            </w:tcBorders>
          </w:tcPr>
          <w:p w14:paraId="7058DB74" w14:textId="6F76CC26" w:rsidR="00514296" w:rsidRPr="008C78D9" w:rsidRDefault="00514296" w:rsidP="00514296">
            <w:pPr>
              <w:rPr>
                <w:b/>
                <w:bCs/>
                <w:sz w:val="18"/>
                <w:szCs w:val="18"/>
              </w:rPr>
            </w:pPr>
            <w:r w:rsidRPr="008C78D9">
              <w:rPr>
                <w:b/>
                <w:bCs/>
                <w:sz w:val="18"/>
                <w:szCs w:val="18"/>
              </w:rPr>
              <w:t>8.0</w:t>
            </w:r>
            <w:r w:rsidRPr="008C78D9">
              <w:rPr>
                <w:sz w:val="18"/>
                <w:szCs w:val="18"/>
              </w:rPr>
              <w:t xml:space="preserve"> [2.6, 13.4]</w:t>
            </w:r>
          </w:p>
        </w:tc>
      </w:tr>
      <w:tr w:rsidR="00514296" w:rsidRPr="008C78D9" w14:paraId="03B72BFE" w14:textId="44D8EAE1" w:rsidTr="00514296">
        <w:tc>
          <w:tcPr>
            <w:tcW w:w="2376" w:type="dxa"/>
            <w:tcBorders>
              <w:top w:val="single" w:sz="4" w:space="0" w:color="auto"/>
              <w:bottom w:val="single" w:sz="4" w:space="0" w:color="auto"/>
            </w:tcBorders>
            <w:vAlign w:val="center"/>
          </w:tcPr>
          <w:p w14:paraId="1CA12C04"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6E225969" w14:textId="77777777" w:rsidR="00514296" w:rsidRPr="008C78D9" w:rsidRDefault="00514296" w:rsidP="00514296">
            <w:pPr>
              <w:rPr>
                <w:sz w:val="18"/>
                <w:szCs w:val="18"/>
              </w:rPr>
            </w:pPr>
            <w:r w:rsidRPr="008C78D9">
              <w:rPr>
                <w:sz w:val="18"/>
                <w:szCs w:val="18"/>
              </w:rPr>
              <w:t>(1, 1, 0)</w:t>
            </w:r>
          </w:p>
        </w:tc>
        <w:tc>
          <w:tcPr>
            <w:tcW w:w="2126" w:type="dxa"/>
            <w:tcBorders>
              <w:top w:val="single" w:sz="4" w:space="0" w:color="auto"/>
              <w:bottom w:val="single" w:sz="4" w:space="0" w:color="auto"/>
            </w:tcBorders>
          </w:tcPr>
          <w:p w14:paraId="36CD07AF" w14:textId="77777777" w:rsidR="00514296" w:rsidRPr="008C78D9" w:rsidRDefault="00514296" w:rsidP="00514296">
            <w:pPr>
              <w:rPr>
                <w:sz w:val="18"/>
                <w:szCs w:val="18"/>
              </w:rPr>
            </w:pPr>
            <w:r w:rsidRPr="008C78D9">
              <w:rPr>
                <w:sz w:val="18"/>
                <w:szCs w:val="18"/>
              </w:rPr>
              <w:t>(0, 0, 2)</w:t>
            </w:r>
          </w:p>
        </w:tc>
        <w:tc>
          <w:tcPr>
            <w:tcW w:w="1985" w:type="dxa"/>
            <w:tcBorders>
              <w:top w:val="single" w:sz="4" w:space="0" w:color="auto"/>
              <w:bottom w:val="single" w:sz="4" w:space="0" w:color="auto"/>
            </w:tcBorders>
          </w:tcPr>
          <w:p w14:paraId="72AC85D6" w14:textId="77777777"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F974499" w14:textId="77777777" w:rsidR="00514296" w:rsidRPr="008C78D9" w:rsidRDefault="00514296" w:rsidP="00514296">
            <w:pPr>
              <w:rPr>
                <w:sz w:val="18"/>
                <w:szCs w:val="18"/>
              </w:rPr>
            </w:pPr>
            <w:r w:rsidRPr="008C78D9">
              <w:rPr>
                <w:sz w:val="18"/>
                <w:szCs w:val="18"/>
              </w:rPr>
              <w:t>(1, 1, 0)</w:t>
            </w:r>
          </w:p>
        </w:tc>
        <w:tc>
          <w:tcPr>
            <w:tcW w:w="1843" w:type="dxa"/>
            <w:tcBorders>
              <w:top w:val="single" w:sz="4" w:space="0" w:color="auto"/>
              <w:bottom w:val="single" w:sz="4" w:space="0" w:color="auto"/>
            </w:tcBorders>
          </w:tcPr>
          <w:p w14:paraId="492F841D" w14:textId="77777777" w:rsidR="00514296" w:rsidRPr="008C78D9" w:rsidRDefault="00514296" w:rsidP="00514296">
            <w:pPr>
              <w:rPr>
                <w:sz w:val="18"/>
                <w:szCs w:val="18"/>
              </w:rPr>
            </w:pPr>
            <w:r w:rsidRPr="008C78D9">
              <w:rPr>
                <w:sz w:val="18"/>
                <w:szCs w:val="18"/>
              </w:rPr>
              <w:t>(1, 1, 2)</w:t>
            </w:r>
          </w:p>
        </w:tc>
        <w:tc>
          <w:tcPr>
            <w:tcW w:w="1843" w:type="dxa"/>
            <w:tcBorders>
              <w:top w:val="single" w:sz="4" w:space="0" w:color="auto"/>
              <w:bottom w:val="single" w:sz="4" w:space="0" w:color="auto"/>
            </w:tcBorders>
          </w:tcPr>
          <w:p w14:paraId="2BE9114E" w14:textId="3B82B821" w:rsidR="00514296" w:rsidRPr="008C78D9" w:rsidRDefault="00514296" w:rsidP="00514296">
            <w:pPr>
              <w:rPr>
                <w:sz w:val="18"/>
                <w:szCs w:val="18"/>
              </w:rPr>
            </w:pPr>
            <w:r w:rsidRPr="008C78D9">
              <w:rPr>
                <w:sz w:val="18"/>
                <w:szCs w:val="18"/>
              </w:rPr>
              <w:t>(1, 1, 0)</w:t>
            </w:r>
          </w:p>
        </w:tc>
      </w:tr>
      <w:bookmarkEnd w:id="3"/>
    </w:tbl>
    <w:p w14:paraId="0C1FE0F5" w14:textId="3893F891" w:rsidR="00D0398A" w:rsidRPr="008C78D9" w:rsidRDefault="00D0398A" w:rsidP="00BA56ED">
      <w:pPr>
        <w:rPr>
          <w:i/>
          <w:iCs/>
        </w:rPr>
      </w:pP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32E45CE3" w14:textId="72EBE6BD" w:rsidTr="00816229">
        <w:tc>
          <w:tcPr>
            <w:tcW w:w="2376" w:type="dxa"/>
            <w:tcBorders>
              <w:top w:val="single" w:sz="4" w:space="0" w:color="auto"/>
              <w:bottom w:val="single" w:sz="4" w:space="0" w:color="auto"/>
            </w:tcBorders>
          </w:tcPr>
          <w:p w14:paraId="4813F679" w14:textId="77777777" w:rsidR="00514296" w:rsidRPr="008C78D9" w:rsidRDefault="00514296" w:rsidP="00514296">
            <w:pPr>
              <w:rPr>
                <w:sz w:val="18"/>
                <w:szCs w:val="18"/>
              </w:rPr>
            </w:pPr>
          </w:p>
        </w:tc>
        <w:tc>
          <w:tcPr>
            <w:tcW w:w="1985" w:type="dxa"/>
            <w:tcBorders>
              <w:top w:val="single" w:sz="4" w:space="0" w:color="auto"/>
              <w:bottom w:val="single" w:sz="4" w:space="0" w:color="auto"/>
            </w:tcBorders>
            <w:vAlign w:val="center"/>
          </w:tcPr>
          <w:p w14:paraId="7B6F4B04" w14:textId="74948E42" w:rsidR="00514296" w:rsidRPr="008C78D9" w:rsidRDefault="00514296" w:rsidP="00514296">
            <w:pPr>
              <w:rPr>
                <w:sz w:val="18"/>
                <w:szCs w:val="18"/>
              </w:rPr>
            </w:pPr>
            <w:r w:rsidRPr="008C78D9">
              <w:rPr>
                <w:sz w:val="18"/>
                <w:szCs w:val="18"/>
              </w:rPr>
              <w:t>Public order and possession of weapons</w:t>
            </w:r>
          </w:p>
        </w:tc>
        <w:tc>
          <w:tcPr>
            <w:tcW w:w="2126" w:type="dxa"/>
            <w:tcBorders>
              <w:top w:val="single" w:sz="4" w:space="0" w:color="auto"/>
              <w:bottom w:val="single" w:sz="4" w:space="0" w:color="auto"/>
            </w:tcBorders>
            <w:vAlign w:val="center"/>
          </w:tcPr>
          <w:p w14:paraId="40E36449" w14:textId="7B8E784E" w:rsidR="00514296" w:rsidRPr="008C78D9" w:rsidRDefault="00514296" w:rsidP="00514296">
            <w:pPr>
              <w:rPr>
                <w:sz w:val="18"/>
                <w:szCs w:val="18"/>
              </w:rPr>
            </w:pPr>
            <w:r w:rsidRPr="008C78D9">
              <w:rPr>
                <w:sz w:val="18"/>
                <w:szCs w:val="18"/>
              </w:rPr>
              <w:t>Criminal damage</w:t>
            </w:r>
          </w:p>
        </w:tc>
        <w:tc>
          <w:tcPr>
            <w:tcW w:w="1985" w:type="dxa"/>
            <w:tcBorders>
              <w:top w:val="single" w:sz="4" w:space="0" w:color="auto"/>
              <w:bottom w:val="single" w:sz="4" w:space="0" w:color="auto"/>
            </w:tcBorders>
            <w:vAlign w:val="center"/>
          </w:tcPr>
          <w:p w14:paraId="6E8B26AC" w14:textId="56322471" w:rsidR="00514296" w:rsidRPr="008C78D9" w:rsidRDefault="00514296" w:rsidP="00514296">
            <w:pPr>
              <w:rPr>
                <w:sz w:val="18"/>
                <w:szCs w:val="18"/>
              </w:rPr>
            </w:pPr>
            <w:r w:rsidRPr="008C78D9">
              <w:rPr>
                <w:sz w:val="18"/>
                <w:szCs w:val="18"/>
              </w:rPr>
              <w:t>Residential burglary</w:t>
            </w:r>
          </w:p>
        </w:tc>
        <w:tc>
          <w:tcPr>
            <w:tcW w:w="1842" w:type="dxa"/>
            <w:tcBorders>
              <w:top w:val="single" w:sz="4" w:space="0" w:color="auto"/>
              <w:bottom w:val="single" w:sz="4" w:space="0" w:color="auto"/>
            </w:tcBorders>
            <w:vAlign w:val="center"/>
          </w:tcPr>
          <w:p w14:paraId="6B5792BC" w14:textId="71D063E6" w:rsidR="00514296" w:rsidRPr="008C78D9" w:rsidRDefault="00514296" w:rsidP="00514296">
            <w:pPr>
              <w:rPr>
                <w:sz w:val="18"/>
                <w:szCs w:val="18"/>
              </w:rPr>
            </w:pPr>
            <w:r w:rsidRPr="008C78D9">
              <w:rPr>
                <w:sz w:val="18"/>
                <w:szCs w:val="18"/>
              </w:rPr>
              <w:t>Non-residential burglary</w:t>
            </w:r>
          </w:p>
        </w:tc>
        <w:tc>
          <w:tcPr>
            <w:tcW w:w="1843" w:type="dxa"/>
            <w:tcBorders>
              <w:top w:val="single" w:sz="4" w:space="0" w:color="auto"/>
              <w:bottom w:val="single" w:sz="4" w:space="0" w:color="auto"/>
            </w:tcBorders>
            <w:vAlign w:val="center"/>
          </w:tcPr>
          <w:p w14:paraId="19A5390D" w14:textId="7C845185" w:rsidR="00514296" w:rsidRPr="008C78D9" w:rsidRDefault="00514296" w:rsidP="00514296">
            <w:pPr>
              <w:rPr>
                <w:sz w:val="18"/>
                <w:szCs w:val="18"/>
              </w:rPr>
            </w:pPr>
            <w:r w:rsidRPr="008C78D9">
              <w:rPr>
                <w:sz w:val="18"/>
                <w:szCs w:val="18"/>
              </w:rPr>
              <w:t>Theft from person</w:t>
            </w:r>
          </w:p>
        </w:tc>
        <w:tc>
          <w:tcPr>
            <w:tcW w:w="1843" w:type="dxa"/>
            <w:tcBorders>
              <w:top w:val="single" w:sz="4" w:space="0" w:color="auto"/>
              <w:bottom w:val="single" w:sz="4" w:space="0" w:color="auto"/>
            </w:tcBorders>
            <w:vAlign w:val="center"/>
          </w:tcPr>
          <w:p w14:paraId="5EFFDA31" w14:textId="7B385705" w:rsidR="00514296" w:rsidRPr="008C78D9" w:rsidRDefault="00514296" w:rsidP="00514296">
            <w:pPr>
              <w:rPr>
                <w:sz w:val="18"/>
                <w:szCs w:val="18"/>
              </w:rPr>
            </w:pPr>
            <w:r w:rsidRPr="008C78D9">
              <w:rPr>
                <w:sz w:val="18"/>
                <w:szCs w:val="18"/>
              </w:rPr>
              <w:t>Bicycle theft</w:t>
            </w:r>
          </w:p>
        </w:tc>
      </w:tr>
      <w:tr w:rsidR="00514296" w:rsidRPr="008C78D9" w14:paraId="4E061C8D" w14:textId="18627B9F" w:rsidTr="00514296">
        <w:tc>
          <w:tcPr>
            <w:tcW w:w="2376" w:type="dxa"/>
            <w:tcBorders>
              <w:top w:val="single" w:sz="4" w:space="0" w:color="auto"/>
            </w:tcBorders>
            <w:vAlign w:val="center"/>
          </w:tcPr>
          <w:p w14:paraId="7DCC37F1"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7DB894E9" w14:textId="17685570" w:rsidR="00514296" w:rsidRPr="008C78D9" w:rsidRDefault="00514296" w:rsidP="00514296">
            <w:pPr>
              <w:rPr>
                <w:sz w:val="18"/>
                <w:szCs w:val="18"/>
              </w:rPr>
            </w:pPr>
            <w:r w:rsidRPr="008C78D9">
              <w:rPr>
                <w:b/>
                <w:bCs/>
                <w:sz w:val="18"/>
                <w:szCs w:val="18"/>
              </w:rPr>
              <w:t>-40.6</w:t>
            </w:r>
            <w:r w:rsidRPr="008C78D9">
              <w:rPr>
                <w:sz w:val="18"/>
                <w:szCs w:val="18"/>
              </w:rPr>
              <w:t xml:space="preserve"> [-67.4, -13.9]</w:t>
            </w:r>
          </w:p>
        </w:tc>
        <w:tc>
          <w:tcPr>
            <w:tcW w:w="2126" w:type="dxa"/>
            <w:tcBorders>
              <w:top w:val="single" w:sz="4" w:space="0" w:color="auto"/>
            </w:tcBorders>
          </w:tcPr>
          <w:p w14:paraId="1E8B23B2" w14:textId="2B9FDA9B" w:rsidR="00514296" w:rsidRPr="008C78D9" w:rsidRDefault="00514296" w:rsidP="00514296">
            <w:pPr>
              <w:rPr>
                <w:sz w:val="18"/>
                <w:szCs w:val="18"/>
              </w:rPr>
            </w:pPr>
            <w:r w:rsidRPr="008C78D9">
              <w:rPr>
                <w:b/>
                <w:bCs/>
                <w:sz w:val="18"/>
                <w:szCs w:val="18"/>
              </w:rPr>
              <w:t>-241.2</w:t>
            </w:r>
            <w:r w:rsidRPr="008C78D9">
              <w:rPr>
                <w:sz w:val="18"/>
                <w:szCs w:val="18"/>
              </w:rPr>
              <w:t xml:space="preserve"> [-397.3, -85.1]</w:t>
            </w:r>
          </w:p>
        </w:tc>
        <w:tc>
          <w:tcPr>
            <w:tcW w:w="1985" w:type="dxa"/>
            <w:tcBorders>
              <w:top w:val="single" w:sz="4" w:space="0" w:color="auto"/>
            </w:tcBorders>
          </w:tcPr>
          <w:p w14:paraId="5AE522FA" w14:textId="3C9CD159" w:rsidR="00514296" w:rsidRPr="008C78D9" w:rsidRDefault="00514296" w:rsidP="00514296">
            <w:pPr>
              <w:rPr>
                <w:sz w:val="18"/>
                <w:szCs w:val="18"/>
              </w:rPr>
            </w:pPr>
            <w:r w:rsidRPr="008C78D9">
              <w:rPr>
                <w:b/>
                <w:bCs/>
                <w:sz w:val="18"/>
                <w:szCs w:val="18"/>
              </w:rPr>
              <w:t xml:space="preserve">-67.3 </w:t>
            </w:r>
            <w:r w:rsidRPr="008C78D9">
              <w:rPr>
                <w:sz w:val="18"/>
                <w:szCs w:val="18"/>
              </w:rPr>
              <w:t>[-123.6, -11.0]</w:t>
            </w:r>
          </w:p>
        </w:tc>
        <w:tc>
          <w:tcPr>
            <w:tcW w:w="1842" w:type="dxa"/>
            <w:tcBorders>
              <w:top w:val="single" w:sz="4" w:space="0" w:color="auto"/>
            </w:tcBorders>
          </w:tcPr>
          <w:p w14:paraId="237BBD52" w14:textId="22749A8C" w:rsidR="00514296" w:rsidRPr="008C78D9" w:rsidRDefault="00514296" w:rsidP="00514296">
            <w:pPr>
              <w:rPr>
                <w:sz w:val="18"/>
                <w:szCs w:val="18"/>
              </w:rPr>
            </w:pPr>
            <w:r w:rsidRPr="008C78D9">
              <w:rPr>
                <w:sz w:val="18"/>
                <w:szCs w:val="18"/>
              </w:rPr>
              <w:t>12.1 [-11.0, 35.2]</w:t>
            </w:r>
          </w:p>
        </w:tc>
        <w:tc>
          <w:tcPr>
            <w:tcW w:w="1843" w:type="dxa"/>
            <w:tcBorders>
              <w:top w:val="single" w:sz="4" w:space="0" w:color="auto"/>
            </w:tcBorders>
          </w:tcPr>
          <w:p w14:paraId="5D1AA6DD" w14:textId="3962A7CE" w:rsidR="00514296" w:rsidRPr="008C78D9" w:rsidRDefault="00514296" w:rsidP="00514296">
            <w:pPr>
              <w:rPr>
                <w:sz w:val="18"/>
                <w:szCs w:val="18"/>
              </w:rPr>
            </w:pPr>
            <w:r w:rsidRPr="008C78D9">
              <w:rPr>
                <w:sz w:val="18"/>
                <w:szCs w:val="18"/>
              </w:rPr>
              <w:t>-14.5 [-28.9, 0.0]</w:t>
            </w:r>
          </w:p>
        </w:tc>
        <w:tc>
          <w:tcPr>
            <w:tcW w:w="1843" w:type="dxa"/>
            <w:tcBorders>
              <w:top w:val="single" w:sz="4" w:space="0" w:color="auto"/>
            </w:tcBorders>
          </w:tcPr>
          <w:p w14:paraId="152D32DE" w14:textId="18CC6ACC" w:rsidR="00514296" w:rsidRPr="008C78D9" w:rsidRDefault="00514296" w:rsidP="00514296">
            <w:pPr>
              <w:rPr>
                <w:sz w:val="18"/>
                <w:szCs w:val="18"/>
              </w:rPr>
            </w:pPr>
            <w:r w:rsidRPr="008C78D9">
              <w:rPr>
                <w:sz w:val="18"/>
                <w:szCs w:val="18"/>
              </w:rPr>
              <w:t>-4.8 [-24.0, 14.4]</w:t>
            </w:r>
          </w:p>
        </w:tc>
      </w:tr>
      <w:tr w:rsidR="00514296" w:rsidRPr="008C78D9" w14:paraId="5E7C31B7" w14:textId="020539A8" w:rsidTr="00514296">
        <w:tc>
          <w:tcPr>
            <w:tcW w:w="2376" w:type="dxa"/>
            <w:vAlign w:val="center"/>
          </w:tcPr>
          <w:p w14:paraId="5B82232A" w14:textId="77777777" w:rsidR="00514296" w:rsidRPr="008C78D9" w:rsidRDefault="00514296" w:rsidP="00514296">
            <w:pPr>
              <w:rPr>
                <w:sz w:val="18"/>
                <w:szCs w:val="18"/>
              </w:rPr>
            </w:pPr>
            <w:r w:rsidRPr="008C78D9">
              <w:rPr>
                <w:sz w:val="18"/>
                <w:szCs w:val="18"/>
              </w:rPr>
              <w:t>Time since first lockdown</w:t>
            </w:r>
          </w:p>
        </w:tc>
        <w:tc>
          <w:tcPr>
            <w:tcW w:w="1985" w:type="dxa"/>
          </w:tcPr>
          <w:p w14:paraId="7E061DA5" w14:textId="02851118" w:rsidR="00514296" w:rsidRPr="008C78D9" w:rsidRDefault="00514296" w:rsidP="00514296">
            <w:pPr>
              <w:rPr>
                <w:sz w:val="18"/>
                <w:szCs w:val="18"/>
              </w:rPr>
            </w:pPr>
            <w:r w:rsidRPr="008C78D9">
              <w:rPr>
                <w:sz w:val="18"/>
                <w:szCs w:val="18"/>
              </w:rPr>
              <w:t>17.2 [-4.2, 38.6]</w:t>
            </w:r>
          </w:p>
        </w:tc>
        <w:tc>
          <w:tcPr>
            <w:tcW w:w="2126" w:type="dxa"/>
          </w:tcPr>
          <w:p w14:paraId="2A8BE936" w14:textId="43A83552" w:rsidR="00514296" w:rsidRPr="008C78D9" w:rsidRDefault="00514296" w:rsidP="00514296">
            <w:pPr>
              <w:rPr>
                <w:sz w:val="18"/>
                <w:szCs w:val="18"/>
              </w:rPr>
            </w:pPr>
            <w:r w:rsidRPr="008C78D9">
              <w:rPr>
                <w:b/>
                <w:bCs/>
                <w:sz w:val="18"/>
                <w:szCs w:val="18"/>
              </w:rPr>
              <w:t>52.8</w:t>
            </w:r>
            <w:r w:rsidRPr="008C78D9">
              <w:rPr>
                <w:sz w:val="18"/>
                <w:szCs w:val="18"/>
              </w:rPr>
              <w:t xml:space="preserve"> [16.2, 89.4]</w:t>
            </w:r>
          </w:p>
        </w:tc>
        <w:tc>
          <w:tcPr>
            <w:tcW w:w="1985" w:type="dxa"/>
          </w:tcPr>
          <w:p w14:paraId="547E861F" w14:textId="05EDBA36" w:rsidR="00514296" w:rsidRPr="008C78D9" w:rsidRDefault="00514296" w:rsidP="00514296">
            <w:pPr>
              <w:rPr>
                <w:sz w:val="18"/>
                <w:szCs w:val="18"/>
              </w:rPr>
            </w:pPr>
            <w:r w:rsidRPr="008C78D9">
              <w:rPr>
                <w:sz w:val="18"/>
                <w:szCs w:val="18"/>
              </w:rPr>
              <w:t>0.2 [-16.6, 17.0]</w:t>
            </w:r>
          </w:p>
        </w:tc>
        <w:tc>
          <w:tcPr>
            <w:tcW w:w="1842" w:type="dxa"/>
          </w:tcPr>
          <w:p w14:paraId="14EC345F" w14:textId="75A56B50" w:rsidR="00514296" w:rsidRPr="008C78D9" w:rsidRDefault="00514296" w:rsidP="00514296">
            <w:pPr>
              <w:rPr>
                <w:sz w:val="18"/>
                <w:szCs w:val="18"/>
              </w:rPr>
            </w:pPr>
            <w:r w:rsidRPr="008C78D9">
              <w:rPr>
                <w:sz w:val="18"/>
                <w:szCs w:val="18"/>
              </w:rPr>
              <w:t>8.0 [-10.7, 26.8]</w:t>
            </w:r>
          </w:p>
        </w:tc>
        <w:tc>
          <w:tcPr>
            <w:tcW w:w="1843" w:type="dxa"/>
          </w:tcPr>
          <w:p w14:paraId="44A1E393" w14:textId="5F19D451" w:rsidR="00514296" w:rsidRPr="008C78D9" w:rsidRDefault="00514296" w:rsidP="00514296">
            <w:pPr>
              <w:rPr>
                <w:sz w:val="18"/>
                <w:szCs w:val="18"/>
              </w:rPr>
            </w:pPr>
            <w:r w:rsidRPr="008C78D9">
              <w:rPr>
                <w:sz w:val="18"/>
                <w:szCs w:val="18"/>
              </w:rPr>
              <w:t>0.4 [-13.2, 14.1]</w:t>
            </w:r>
          </w:p>
        </w:tc>
        <w:tc>
          <w:tcPr>
            <w:tcW w:w="1843" w:type="dxa"/>
          </w:tcPr>
          <w:p w14:paraId="1D818EB1" w14:textId="7CF3193D" w:rsidR="00514296" w:rsidRPr="008C78D9" w:rsidRDefault="00514296" w:rsidP="00514296">
            <w:pPr>
              <w:rPr>
                <w:sz w:val="18"/>
                <w:szCs w:val="18"/>
              </w:rPr>
            </w:pPr>
            <w:r w:rsidRPr="008C78D9">
              <w:rPr>
                <w:sz w:val="18"/>
                <w:szCs w:val="18"/>
              </w:rPr>
              <w:t>2.0 [-2.5, 6.5]</w:t>
            </w:r>
          </w:p>
        </w:tc>
      </w:tr>
      <w:tr w:rsidR="00514296" w:rsidRPr="008C78D9" w14:paraId="6690E9CC" w14:textId="0E4BD9AC" w:rsidTr="00514296">
        <w:tc>
          <w:tcPr>
            <w:tcW w:w="2376" w:type="dxa"/>
            <w:vAlign w:val="center"/>
          </w:tcPr>
          <w:p w14:paraId="5D8C2800" w14:textId="77777777" w:rsidR="00514296" w:rsidRPr="008C78D9" w:rsidRDefault="00514296" w:rsidP="00514296">
            <w:pPr>
              <w:rPr>
                <w:sz w:val="18"/>
                <w:szCs w:val="18"/>
              </w:rPr>
            </w:pPr>
            <w:r w:rsidRPr="008C78D9">
              <w:rPr>
                <w:sz w:val="18"/>
                <w:szCs w:val="18"/>
              </w:rPr>
              <w:t>Second lockdown</w:t>
            </w:r>
          </w:p>
        </w:tc>
        <w:tc>
          <w:tcPr>
            <w:tcW w:w="1985" w:type="dxa"/>
          </w:tcPr>
          <w:p w14:paraId="2C9B3D1E" w14:textId="7BCCD78E" w:rsidR="00514296" w:rsidRPr="008C78D9" w:rsidRDefault="00514296" w:rsidP="00514296">
            <w:pPr>
              <w:rPr>
                <w:sz w:val="18"/>
                <w:szCs w:val="18"/>
              </w:rPr>
            </w:pPr>
            <w:r w:rsidRPr="008C78D9">
              <w:rPr>
                <w:sz w:val="18"/>
                <w:szCs w:val="18"/>
              </w:rPr>
              <w:t>60.0 [-83.9, 203.9]</w:t>
            </w:r>
          </w:p>
        </w:tc>
        <w:tc>
          <w:tcPr>
            <w:tcW w:w="2126" w:type="dxa"/>
          </w:tcPr>
          <w:p w14:paraId="64E75EC4" w14:textId="62826AAE" w:rsidR="00514296" w:rsidRPr="008C78D9" w:rsidRDefault="00514296" w:rsidP="00514296">
            <w:pPr>
              <w:rPr>
                <w:sz w:val="18"/>
                <w:szCs w:val="18"/>
              </w:rPr>
            </w:pPr>
            <w:r w:rsidRPr="008C78D9">
              <w:rPr>
                <w:b/>
                <w:bCs/>
                <w:sz w:val="18"/>
                <w:szCs w:val="18"/>
              </w:rPr>
              <w:t>369.4</w:t>
            </w:r>
            <w:r w:rsidRPr="008C78D9">
              <w:rPr>
                <w:sz w:val="18"/>
                <w:szCs w:val="18"/>
              </w:rPr>
              <w:t xml:space="preserve"> [93.2, 645.7]</w:t>
            </w:r>
          </w:p>
        </w:tc>
        <w:tc>
          <w:tcPr>
            <w:tcW w:w="1985" w:type="dxa"/>
          </w:tcPr>
          <w:p w14:paraId="1B2B6C15" w14:textId="78FEF540" w:rsidR="00514296" w:rsidRPr="008C78D9" w:rsidRDefault="00514296" w:rsidP="00514296">
            <w:pPr>
              <w:rPr>
                <w:sz w:val="18"/>
                <w:szCs w:val="18"/>
              </w:rPr>
            </w:pPr>
            <w:r w:rsidRPr="008C78D9">
              <w:rPr>
                <w:sz w:val="18"/>
                <w:szCs w:val="18"/>
              </w:rPr>
              <w:t>2.4 [-119.4, 124.2]</w:t>
            </w:r>
          </w:p>
        </w:tc>
        <w:tc>
          <w:tcPr>
            <w:tcW w:w="1842" w:type="dxa"/>
          </w:tcPr>
          <w:p w14:paraId="6BDE242A" w14:textId="50AA4475" w:rsidR="00514296" w:rsidRPr="008C78D9" w:rsidRDefault="00514296" w:rsidP="00514296">
            <w:pPr>
              <w:rPr>
                <w:sz w:val="18"/>
                <w:szCs w:val="18"/>
              </w:rPr>
            </w:pPr>
            <w:r w:rsidRPr="008C78D9">
              <w:rPr>
                <w:sz w:val="18"/>
                <w:szCs w:val="18"/>
              </w:rPr>
              <w:t>84.1 [-41.8, 210.1]</w:t>
            </w:r>
          </w:p>
        </w:tc>
        <w:tc>
          <w:tcPr>
            <w:tcW w:w="1843" w:type="dxa"/>
          </w:tcPr>
          <w:p w14:paraId="441E447C" w14:textId="76501C6C" w:rsidR="00514296" w:rsidRPr="008C78D9" w:rsidRDefault="00514296" w:rsidP="00514296">
            <w:pPr>
              <w:rPr>
                <w:sz w:val="18"/>
                <w:szCs w:val="18"/>
              </w:rPr>
            </w:pPr>
            <w:r w:rsidRPr="008C78D9">
              <w:rPr>
                <w:sz w:val="18"/>
                <w:szCs w:val="18"/>
              </w:rPr>
              <w:t>-27.4 [-117.7, 63.0]</w:t>
            </w:r>
          </w:p>
        </w:tc>
        <w:tc>
          <w:tcPr>
            <w:tcW w:w="1843" w:type="dxa"/>
          </w:tcPr>
          <w:p w14:paraId="0EEA5CE6" w14:textId="7A5F628D" w:rsidR="00514296" w:rsidRPr="008C78D9" w:rsidRDefault="00514296" w:rsidP="00514296">
            <w:pPr>
              <w:rPr>
                <w:sz w:val="18"/>
                <w:szCs w:val="18"/>
              </w:rPr>
            </w:pPr>
            <w:r w:rsidRPr="008C78D9">
              <w:rPr>
                <w:b/>
                <w:bCs/>
                <w:sz w:val="18"/>
                <w:szCs w:val="18"/>
              </w:rPr>
              <w:t>41.9</w:t>
            </w:r>
            <w:r w:rsidRPr="008C78D9">
              <w:rPr>
                <w:sz w:val="18"/>
                <w:szCs w:val="18"/>
              </w:rPr>
              <w:t xml:space="preserve"> [11.1, 72.7]</w:t>
            </w:r>
          </w:p>
        </w:tc>
      </w:tr>
      <w:tr w:rsidR="00514296" w:rsidRPr="008C78D9" w14:paraId="26A80032" w14:textId="4FFAACFC" w:rsidTr="00514296">
        <w:tc>
          <w:tcPr>
            <w:tcW w:w="2376" w:type="dxa"/>
            <w:vAlign w:val="center"/>
          </w:tcPr>
          <w:p w14:paraId="60662B65" w14:textId="77777777" w:rsidR="00514296" w:rsidRPr="008C78D9" w:rsidRDefault="00514296" w:rsidP="00514296">
            <w:pPr>
              <w:rPr>
                <w:sz w:val="18"/>
                <w:szCs w:val="18"/>
              </w:rPr>
            </w:pPr>
            <w:r w:rsidRPr="008C78D9">
              <w:rPr>
                <w:sz w:val="18"/>
                <w:szCs w:val="18"/>
              </w:rPr>
              <w:t>Time since second lockdown</w:t>
            </w:r>
          </w:p>
        </w:tc>
        <w:tc>
          <w:tcPr>
            <w:tcW w:w="1985" w:type="dxa"/>
          </w:tcPr>
          <w:p w14:paraId="23675B67" w14:textId="40E8B93B" w:rsidR="00514296" w:rsidRPr="008C78D9" w:rsidRDefault="00514296" w:rsidP="00514296">
            <w:pPr>
              <w:rPr>
                <w:sz w:val="18"/>
                <w:szCs w:val="18"/>
              </w:rPr>
            </w:pPr>
            <w:r w:rsidRPr="008C78D9">
              <w:rPr>
                <w:sz w:val="18"/>
                <w:szCs w:val="18"/>
              </w:rPr>
              <w:t>7.2 [-23.4, 37.7]</w:t>
            </w:r>
          </w:p>
        </w:tc>
        <w:tc>
          <w:tcPr>
            <w:tcW w:w="2126" w:type="dxa"/>
          </w:tcPr>
          <w:p w14:paraId="4A9BBE4C" w14:textId="7908778A" w:rsidR="00514296" w:rsidRPr="008C78D9" w:rsidRDefault="00514296" w:rsidP="00514296">
            <w:pPr>
              <w:rPr>
                <w:sz w:val="18"/>
                <w:szCs w:val="18"/>
              </w:rPr>
            </w:pPr>
            <w:r w:rsidRPr="008C78D9">
              <w:rPr>
                <w:b/>
                <w:bCs/>
                <w:sz w:val="18"/>
                <w:szCs w:val="18"/>
              </w:rPr>
              <w:t>-186.0</w:t>
            </w:r>
            <w:r w:rsidRPr="008C78D9">
              <w:rPr>
                <w:sz w:val="18"/>
                <w:szCs w:val="18"/>
              </w:rPr>
              <w:t xml:space="preserve"> [-277.8, -94.3]</w:t>
            </w:r>
          </w:p>
        </w:tc>
        <w:tc>
          <w:tcPr>
            <w:tcW w:w="1985" w:type="dxa"/>
          </w:tcPr>
          <w:p w14:paraId="53E04612" w14:textId="0309E3B1" w:rsidR="00514296" w:rsidRPr="008C78D9" w:rsidRDefault="00514296" w:rsidP="00514296">
            <w:pPr>
              <w:rPr>
                <w:sz w:val="18"/>
                <w:szCs w:val="18"/>
              </w:rPr>
            </w:pPr>
            <w:r w:rsidRPr="008C78D9">
              <w:rPr>
                <w:sz w:val="18"/>
                <w:szCs w:val="18"/>
              </w:rPr>
              <w:t>-15.0 [-47.1, 17.0]</w:t>
            </w:r>
          </w:p>
        </w:tc>
        <w:tc>
          <w:tcPr>
            <w:tcW w:w="1842" w:type="dxa"/>
          </w:tcPr>
          <w:p w14:paraId="5DECFFEC" w14:textId="556BC8CA" w:rsidR="00514296" w:rsidRPr="008C78D9" w:rsidRDefault="00514296" w:rsidP="00514296">
            <w:pPr>
              <w:rPr>
                <w:sz w:val="18"/>
                <w:szCs w:val="18"/>
              </w:rPr>
            </w:pPr>
            <w:r w:rsidRPr="008C78D9">
              <w:rPr>
                <w:sz w:val="18"/>
                <w:szCs w:val="18"/>
              </w:rPr>
              <w:t>2.6 [-24.1, 29.3]</w:t>
            </w:r>
          </w:p>
        </w:tc>
        <w:tc>
          <w:tcPr>
            <w:tcW w:w="1843" w:type="dxa"/>
          </w:tcPr>
          <w:p w14:paraId="6822E356" w14:textId="25EC133E" w:rsidR="00514296" w:rsidRPr="008C78D9" w:rsidRDefault="00514296" w:rsidP="00514296">
            <w:pPr>
              <w:rPr>
                <w:sz w:val="18"/>
                <w:szCs w:val="18"/>
              </w:rPr>
            </w:pPr>
            <w:r w:rsidRPr="008C78D9">
              <w:rPr>
                <w:sz w:val="18"/>
                <w:szCs w:val="18"/>
              </w:rPr>
              <w:t>13.1 [-8.0, 34.2]</w:t>
            </w:r>
          </w:p>
        </w:tc>
        <w:tc>
          <w:tcPr>
            <w:tcW w:w="1843" w:type="dxa"/>
          </w:tcPr>
          <w:p w14:paraId="5ECB19AF" w14:textId="6CAAFBB3" w:rsidR="00514296" w:rsidRPr="008C78D9" w:rsidRDefault="00514296" w:rsidP="00514296">
            <w:pPr>
              <w:rPr>
                <w:sz w:val="18"/>
                <w:szCs w:val="18"/>
              </w:rPr>
            </w:pPr>
            <w:r w:rsidRPr="008C78D9">
              <w:rPr>
                <w:b/>
                <w:bCs/>
                <w:sz w:val="18"/>
                <w:szCs w:val="18"/>
              </w:rPr>
              <w:t>-27.5</w:t>
            </w:r>
            <w:r w:rsidRPr="008C78D9">
              <w:rPr>
                <w:sz w:val="18"/>
                <w:szCs w:val="18"/>
              </w:rPr>
              <w:t xml:space="preserve"> [-40.5, -14.5]</w:t>
            </w:r>
          </w:p>
        </w:tc>
      </w:tr>
      <w:tr w:rsidR="00514296" w:rsidRPr="008C78D9" w14:paraId="728D8DB7" w14:textId="30A53C1F" w:rsidTr="00514296">
        <w:tc>
          <w:tcPr>
            <w:tcW w:w="2376" w:type="dxa"/>
            <w:vAlign w:val="center"/>
          </w:tcPr>
          <w:p w14:paraId="161C53E3" w14:textId="77777777" w:rsidR="00514296" w:rsidRPr="008C78D9" w:rsidRDefault="00514296" w:rsidP="00514296">
            <w:pPr>
              <w:rPr>
                <w:sz w:val="18"/>
                <w:szCs w:val="18"/>
              </w:rPr>
            </w:pPr>
            <w:r w:rsidRPr="008C78D9">
              <w:rPr>
                <w:sz w:val="18"/>
                <w:szCs w:val="18"/>
              </w:rPr>
              <w:t>Third lockdown</w:t>
            </w:r>
          </w:p>
        </w:tc>
        <w:tc>
          <w:tcPr>
            <w:tcW w:w="1985" w:type="dxa"/>
          </w:tcPr>
          <w:p w14:paraId="220DC140" w14:textId="3BF52F24" w:rsidR="00514296" w:rsidRPr="008C78D9" w:rsidRDefault="00514296" w:rsidP="00514296">
            <w:pPr>
              <w:rPr>
                <w:sz w:val="18"/>
                <w:szCs w:val="18"/>
              </w:rPr>
            </w:pPr>
            <w:r w:rsidRPr="008C78D9">
              <w:rPr>
                <w:sz w:val="18"/>
                <w:szCs w:val="18"/>
              </w:rPr>
              <w:t>50.8 [-163.7, 265.2]</w:t>
            </w:r>
          </w:p>
        </w:tc>
        <w:tc>
          <w:tcPr>
            <w:tcW w:w="2126" w:type="dxa"/>
          </w:tcPr>
          <w:p w14:paraId="57CAD726" w14:textId="4AF7DB8C" w:rsidR="00514296" w:rsidRPr="008C78D9" w:rsidRDefault="00514296" w:rsidP="00514296">
            <w:pPr>
              <w:rPr>
                <w:sz w:val="18"/>
                <w:szCs w:val="18"/>
              </w:rPr>
            </w:pPr>
            <w:r w:rsidRPr="008C78D9">
              <w:rPr>
                <w:b/>
                <w:bCs/>
                <w:sz w:val="18"/>
                <w:szCs w:val="18"/>
              </w:rPr>
              <w:t>-295.4</w:t>
            </w:r>
            <w:r w:rsidRPr="008C78D9">
              <w:rPr>
                <w:sz w:val="18"/>
                <w:szCs w:val="18"/>
              </w:rPr>
              <w:t xml:space="preserve"> [-570.2, -20.6]</w:t>
            </w:r>
          </w:p>
        </w:tc>
        <w:tc>
          <w:tcPr>
            <w:tcW w:w="1985" w:type="dxa"/>
          </w:tcPr>
          <w:p w14:paraId="1BACA2AD" w14:textId="3B029263" w:rsidR="00514296" w:rsidRPr="008C78D9" w:rsidRDefault="00514296" w:rsidP="00514296">
            <w:pPr>
              <w:rPr>
                <w:sz w:val="18"/>
                <w:szCs w:val="18"/>
              </w:rPr>
            </w:pPr>
            <w:r w:rsidRPr="008C78D9">
              <w:rPr>
                <w:sz w:val="18"/>
                <w:szCs w:val="18"/>
              </w:rPr>
              <w:t>-109.4 [-246.0, 27.1]</w:t>
            </w:r>
          </w:p>
        </w:tc>
        <w:tc>
          <w:tcPr>
            <w:tcW w:w="1842" w:type="dxa"/>
          </w:tcPr>
          <w:p w14:paraId="48E98078" w14:textId="3A7894B2" w:rsidR="00514296" w:rsidRPr="008C78D9" w:rsidRDefault="00514296" w:rsidP="00514296">
            <w:pPr>
              <w:rPr>
                <w:sz w:val="18"/>
                <w:szCs w:val="18"/>
              </w:rPr>
            </w:pPr>
            <w:r w:rsidRPr="008C78D9">
              <w:rPr>
                <w:sz w:val="18"/>
                <w:szCs w:val="18"/>
              </w:rPr>
              <w:t>65.5 [-122.4, 253.3]</w:t>
            </w:r>
          </w:p>
        </w:tc>
        <w:tc>
          <w:tcPr>
            <w:tcW w:w="1843" w:type="dxa"/>
          </w:tcPr>
          <w:p w14:paraId="40F24938" w14:textId="336AAED2" w:rsidR="00514296" w:rsidRPr="008C78D9" w:rsidRDefault="00514296" w:rsidP="00514296">
            <w:pPr>
              <w:rPr>
                <w:sz w:val="18"/>
                <w:szCs w:val="18"/>
              </w:rPr>
            </w:pPr>
            <w:r w:rsidRPr="008C78D9">
              <w:rPr>
                <w:sz w:val="18"/>
                <w:szCs w:val="18"/>
              </w:rPr>
              <w:t>-7.7 [-143.2, 127.9]</w:t>
            </w:r>
          </w:p>
        </w:tc>
        <w:tc>
          <w:tcPr>
            <w:tcW w:w="1843" w:type="dxa"/>
          </w:tcPr>
          <w:p w14:paraId="4E003A2B" w14:textId="1EC181FC" w:rsidR="00514296" w:rsidRPr="008C78D9" w:rsidRDefault="00514296" w:rsidP="00514296">
            <w:pPr>
              <w:rPr>
                <w:sz w:val="18"/>
                <w:szCs w:val="18"/>
              </w:rPr>
            </w:pPr>
            <w:r w:rsidRPr="008C78D9">
              <w:rPr>
                <w:b/>
                <w:bCs/>
                <w:sz w:val="18"/>
                <w:szCs w:val="18"/>
              </w:rPr>
              <w:t>-40.9</w:t>
            </w:r>
            <w:r w:rsidRPr="008C78D9">
              <w:rPr>
                <w:sz w:val="18"/>
                <w:szCs w:val="18"/>
              </w:rPr>
              <w:t xml:space="preserve"> [-68.6, -13.3]</w:t>
            </w:r>
          </w:p>
        </w:tc>
      </w:tr>
      <w:tr w:rsidR="00514296" w:rsidRPr="008C78D9" w14:paraId="7FC05FC1" w14:textId="79C45357" w:rsidTr="00514296">
        <w:tc>
          <w:tcPr>
            <w:tcW w:w="2376" w:type="dxa"/>
            <w:tcBorders>
              <w:bottom w:val="single" w:sz="4" w:space="0" w:color="auto"/>
            </w:tcBorders>
            <w:vAlign w:val="center"/>
          </w:tcPr>
          <w:p w14:paraId="3B829640"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96983FD" w14:textId="307286FC" w:rsidR="00514296" w:rsidRPr="008C78D9" w:rsidRDefault="00514296" w:rsidP="00514296">
            <w:pPr>
              <w:rPr>
                <w:sz w:val="18"/>
                <w:szCs w:val="18"/>
              </w:rPr>
            </w:pPr>
            <w:r w:rsidRPr="008C78D9">
              <w:rPr>
                <w:sz w:val="18"/>
                <w:szCs w:val="18"/>
              </w:rPr>
              <w:t>17.0 [-19.4, 53.4]</w:t>
            </w:r>
          </w:p>
        </w:tc>
        <w:tc>
          <w:tcPr>
            <w:tcW w:w="2126" w:type="dxa"/>
            <w:tcBorders>
              <w:bottom w:val="single" w:sz="4" w:space="0" w:color="auto"/>
            </w:tcBorders>
          </w:tcPr>
          <w:p w14:paraId="1BCAD6F7" w14:textId="0EEB3A8E" w:rsidR="00514296" w:rsidRPr="008C78D9" w:rsidRDefault="00514296" w:rsidP="00514296">
            <w:pPr>
              <w:rPr>
                <w:sz w:val="18"/>
                <w:szCs w:val="18"/>
              </w:rPr>
            </w:pPr>
            <w:r w:rsidRPr="008C78D9">
              <w:rPr>
                <w:b/>
                <w:bCs/>
                <w:sz w:val="18"/>
                <w:szCs w:val="18"/>
              </w:rPr>
              <w:t>73.5</w:t>
            </w:r>
            <w:r w:rsidRPr="008C78D9">
              <w:rPr>
                <w:sz w:val="18"/>
                <w:szCs w:val="18"/>
              </w:rPr>
              <w:t xml:space="preserve"> [23.9, 123.2]</w:t>
            </w:r>
          </w:p>
        </w:tc>
        <w:tc>
          <w:tcPr>
            <w:tcW w:w="1985" w:type="dxa"/>
            <w:tcBorders>
              <w:bottom w:val="single" w:sz="4" w:space="0" w:color="auto"/>
            </w:tcBorders>
          </w:tcPr>
          <w:p w14:paraId="4FA580AB" w14:textId="2B39CD4F" w:rsidR="00514296" w:rsidRPr="008C78D9" w:rsidRDefault="00514296" w:rsidP="00514296">
            <w:pPr>
              <w:rPr>
                <w:sz w:val="18"/>
                <w:szCs w:val="18"/>
              </w:rPr>
            </w:pPr>
            <w:r w:rsidRPr="008C78D9">
              <w:rPr>
                <w:sz w:val="18"/>
                <w:szCs w:val="18"/>
              </w:rPr>
              <w:t>0.4 [-20.7, 21.4]</w:t>
            </w:r>
          </w:p>
        </w:tc>
        <w:tc>
          <w:tcPr>
            <w:tcW w:w="1842" w:type="dxa"/>
            <w:tcBorders>
              <w:bottom w:val="single" w:sz="4" w:space="0" w:color="auto"/>
            </w:tcBorders>
          </w:tcPr>
          <w:p w14:paraId="1B461024" w14:textId="2BA6F3CF" w:rsidR="00514296" w:rsidRPr="008C78D9" w:rsidRDefault="00514296" w:rsidP="00514296">
            <w:pPr>
              <w:rPr>
                <w:sz w:val="18"/>
                <w:szCs w:val="18"/>
              </w:rPr>
            </w:pPr>
            <w:r w:rsidRPr="008C78D9">
              <w:rPr>
                <w:sz w:val="18"/>
                <w:szCs w:val="18"/>
              </w:rPr>
              <w:t>14.2 [-17.8, 46.1]</w:t>
            </w:r>
          </w:p>
        </w:tc>
        <w:tc>
          <w:tcPr>
            <w:tcW w:w="1843" w:type="dxa"/>
            <w:tcBorders>
              <w:bottom w:val="single" w:sz="4" w:space="0" w:color="auto"/>
            </w:tcBorders>
          </w:tcPr>
          <w:p w14:paraId="69E5FDC2" w14:textId="4059E0C0" w:rsidR="00514296" w:rsidRPr="008C78D9" w:rsidRDefault="00514296" w:rsidP="00514296">
            <w:pPr>
              <w:rPr>
                <w:sz w:val="18"/>
                <w:szCs w:val="18"/>
              </w:rPr>
            </w:pPr>
            <w:r w:rsidRPr="008C78D9">
              <w:rPr>
                <w:sz w:val="18"/>
                <w:szCs w:val="18"/>
              </w:rPr>
              <w:t>9.8 [-21.7, 41.4]</w:t>
            </w:r>
          </w:p>
        </w:tc>
        <w:tc>
          <w:tcPr>
            <w:tcW w:w="1843" w:type="dxa"/>
            <w:tcBorders>
              <w:bottom w:val="single" w:sz="4" w:space="0" w:color="auto"/>
            </w:tcBorders>
          </w:tcPr>
          <w:p w14:paraId="7BBE3AFF" w14:textId="530FFB9E" w:rsidR="00514296" w:rsidRPr="008C78D9" w:rsidRDefault="00514296" w:rsidP="00514296">
            <w:pPr>
              <w:rPr>
                <w:sz w:val="18"/>
                <w:szCs w:val="18"/>
              </w:rPr>
            </w:pPr>
            <w:r w:rsidRPr="008C78D9">
              <w:rPr>
                <w:sz w:val="18"/>
                <w:szCs w:val="18"/>
              </w:rPr>
              <w:t>3.3 [-4.4, 11.0]</w:t>
            </w:r>
          </w:p>
        </w:tc>
      </w:tr>
      <w:tr w:rsidR="00514296" w:rsidRPr="008C78D9" w14:paraId="65443EF8" w14:textId="4BEA355B" w:rsidTr="00514296">
        <w:tc>
          <w:tcPr>
            <w:tcW w:w="2376" w:type="dxa"/>
            <w:tcBorders>
              <w:top w:val="single" w:sz="4" w:space="0" w:color="auto"/>
              <w:bottom w:val="single" w:sz="4" w:space="0" w:color="auto"/>
            </w:tcBorders>
            <w:vAlign w:val="center"/>
          </w:tcPr>
          <w:p w14:paraId="1226620E"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27D9DA70" w14:textId="4E6983C6" w:rsidR="00514296" w:rsidRPr="008C78D9" w:rsidRDefault="00514296" w:rsidP="00514296">
            <w:pPr>
              <w:rPr>
                <w:sz w:val="18"/>
                <w:szCs w:val="18"/>
              </w:rPr>
            </w:pPr>
            <w:r w:rsidRPr="008C78D9">
              <w:rPr>
                <w:sz w:val="18"/>
                <w:szCs w:val="18"/>
              </w:rPr>
              <w:t>(2, 2, 0)</w:t>
            </w:r>
          </w:p>
        </w:tc>
        <w:tc>
          <w:tcPr>
            <w:tcW w:w="2126" w:type="dxa"/>
            <w:tcBorders>
              <w:top w:val="single" w:sz="4" w:space="0" w:color="auto"/>
              <w:bottom w:val="single" w:sz="4" w:space="0" w:color="auto"/>
            </w:tcBorders>
          </w:tcPr>
          <w:p w14:paraId="658C7F23" w14:textId="7E87709D" w:rsidR="00514296" w:rsidRPr="008C78D9" w:rsidRDefault="00514296" w:rsidP="00514296">
            <w:pPr>
              <w:rPr>
                <w:sz w:val="18"/>
                <w:szCs w:val="18"/>
              </w:rPr>
            </w:pPr>
            <w:r w:rsidRPr="008C78D9">
              <w:rPr>
                <w:sz w:val="18"/>
                <w:szCs w:val="18"/>
              </w:rPr>
              <w:t>(0, 1, 1)</w:t>
            </w:r>
          </w:p>
        </w:tc>
        <w:tc>
          <w:tcPr>
            <w:tcW w:w="1985" w:type="dxa"/>
            <w:tcBorders>
              <w:top w:val="single" w:sz="4" w:space="0" w:color="auto"/>
              <w:bottom w:val="single" w:sz="4" w:space="0" w:color="auto"/>
            </w:tcBorders>
          </w:tcPr>
          <w:p w14:paraId="59F64990" w14:textId="46A8D0B9"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8711013" w14:textId="48664FCD" w:rsidR="00514296" w:rsidRPr="008C78D9" w:rsidRDefault="00514296" w:rsidP="00514296">
            <w:pPr>
              <w:rPr>
                <w:sz w:val="18"/>
                <w:szCs w:val="18"/>
              </w:rPr>
            </w:pPr>
            <w:r w:rsidRPr="008C78D9">
              <w:rPr>
                <w:sz w:val="18"/>
                <w:szCs w:val="18"/>
              </w:rPr>
              <w:t>(2, 2, 0)</w:t>
            </w:r>
          </w:p>
        </w:tc>
        <w:tc>
          <w:tcPr>
            <w:tcW w:w="1843" w:type="dxa"/>
            <w:tcBorders>
              <w:top w:val="single" w:sz="4" w:space="0" w:color="auto"/>
              <w:bottom w:val="single" w:sz="4" w:space="0" w:color="auto"/>
            </w:tcBorders>
          </w:tcPr>
          <w:p w14:paraId="04827EED" w14:textId="2EE39571" w:rsidR="00514296" w:rsidRPr="008C78D9" w:rsidRDefault="00514296" w:rsidP="00514296">
            <w:pPr>
              <w:rPr>
                <w:sz w:val="18"/>
                <w:szCs w:val="18"/>
              </w:rPr>
            </w:pPr>
            <w:r w:rsidRPr="008C78D9">
              <w:rPr>
                <w:sz w:val="18"/>
                <w:szCs w:val="18"/>
              </w:rPr>
              <w:t>(4, 3, 0)</w:t>
            </w:r>
          </w:p>
        </w:tc>
        <w:tc>
          <w:tcPr>
            <w:tcW w:w="1843" w:type="dxa"/>
            <w:tcBorders>
              <w:top w:val="single" w:sz="4" w:space="0" w:color="auto"/>
              <w:bottom w:val="single" w:sz="4" w:space="0" w:color="auto"/>
            </w:tcBorders>
          </w:tcPr>
          <w:p w14:paraId="730DD379" w14:textId="6BE8E012" w:rsidR="00514296" w:rsidRPr="008C78D9" w:rsidRDefault="00514296" w:rsidP="00514296">
            <w:pPr>
              <w:rPr>
                <w:sz w:val="18"/>
                <w:szCs w:val="18"/>
              </w:rPr>
            </w:pPr>
            <w:r w:rsidRPr="008C78D9">
              <w:rPr>
                <w:sz w:val="18"/>
                <w:szCs w:val="18"/>
              </w:rPr>
              <w:t>(1, 0, 1)</w:t>
            </w:r>
          </w:p>
        </w:tc>
      </w:tr>
    </w:tbl>
    <w:p w14:paraId="1FB3997C" w14:textId="77777777" w:rsidR="00D0398A" w:rsidRPr="008C78D9" w:rsidRDefault="00D0398A" w:rsidP="00BA56ED">
      <w:pPr>
        <w:rPr>
          <w:i/>
          <w:iCs/>
        </w:rPr>
      </w:pP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842"/>
        <w:gridCol w:w="1985"/>
        <w:gridCol w:w="1559"/>
        <w:gridCol w:w="1843"/>
        <w:gridCol w:w="1984"/>
        <w:gridCol w:w="1701"/>
        <w:gridCol w:w="1592"/>
      </w:tblGrid>
      <w:tr w:rsidR="00593A35" w:rsidRPr="008C78D9" w14:paraId="30DD186C" w14:textId="406BF4CF" w:rsidTr="0095607B">
        <w:tc>
          <w:tcPr>
            <w:tcW w:w="1668" w:type="dxa"/>
            <w:tcBorders>
              <w:top w:val="single" w:sz="4" w:space="0" w:color="auto"/>
              <w:bottom w:val="single" w:sz="4" w:space="0" w:color="auto"/>
            </w:tcBorders>
          </w:tcPr>
          <w:p w14:paraId="0563F0A0" w14:textId="77777777" w:rsidR="00593A35" w:rsidRPr="008C78D9" w:rsidRDefault="00593A35" w:rsidP="00514296">
            <w:pPr>
              <w:rPr>
                <w:sz w:val="18"/>
                <w:szCs w:val="18"/>
              </w:rPr>
            </w:pPr>
          </w:p>
        </w:tc>
        <w:tc>
          <w:tcPr>
            <w:tcW w:w="1842" w:type="dxa"/>
            <w:tcBorders>
              <w:top w:val="single" w:sz="4" w:space="0" w:color="auto"/>
              <w:bottom w:val="single" w:sz="4" w:space="0" w:color="auto"/>
            </w:tcBorders>
          </w:tcPr>
          <w:p w14:paraId="1A235153" w14:textId="623BE8DD" w:rsidR="00593A35" w:rsidRPr="008C78D9" w:rsidRDefault="00593A35" w:rsidP="00514296">
            <w:pPr>
              <w:rPr>
                <w:sz w:val="18"/>
                <w:szCs w:val="18"/>
              </w:rPr>
            </w:pPr>
            <w:r w:rsidRPr="00593A35">
              <w:rPr>
                <w:sz w:val="18"/>
                <w:szCs w:val="18"/>
              </w:rPr>
              <w:t>Theft of/ from vehicl</w:t>
            </w:r>
            <w:r>
              <w:rPr>
                <w:sz w:val="18"/>
                <w:szCs w:val="18"/>
              </w:rPr>
              <w:t>e</w:t>
            </w:r>
          </w:p>
        </w:tc>
        <w:tc>
          <w:tcPr>
            <w:tcW w:w="1985" w:type="dxa"/>
            <w:tcBorders>
              <w:top w:val="single" w:sz="4" w:space="0" w:color="auto"/>
              <w:bottom w:val="single" w:sz="4" w:space="0" w:color="auto"/>
            </w:tcBorders>
          </w:tcPr>
          <w:p w14:paraId="5B117DF2" w14:textId="2F6155A1" w:rsidR="00593A35" w:rsidRPr="008C78D9" w:rsidRDefault="00593A35" w:rsidP="00514296">
            <w:pPr>
              <w:rPr>
                <w:sz w:val="18"/>
                <w:szCs w:val="18"/>
              </w:rPr>
            </w:pPr>
            <w:r w:rsidRPr="00593A35">
              <w:rPr>
                <w:sz w:val="18"/>
                <w:szCs w:val="18"/>
              </w:rPr>
              <w:t>Shoplifting</w:t>
            </w:r>
          </w:p>
        </w:tc>
        <w:tc>
          <w:tcPr>
            <w:tcW w:w="1559" w:type="dxa"/>
            <w:tcBorders>
              <w:top w:val="single" w:sz="4" w:space="0" w:color="auto"/>
              <w:bottom w:val="single" w:sz="4" w:space="0" w:color="auto"/>
            </w:tcBorders>
          </w:tcPr>
          <w:p w14:paraId="6612E40B" w14:textId="38B6E239" w:rsidR="00593A35" w:rsidRPr="008C78D9" w:rsidRDefault="00593A35" w:rsidP="00514296">
            <w:pPr>
              <w:rPr>
                <w:sz w:val="18"/>
                <w:szCs w:val="18"/>
              </w:rPr>
            </w:pPr>
            <w:r w:rsidRPr="008C78D9">
              <w:rPr>
                <w:sz w:val="18"/>
                <w:szCs w:val="18"/>
              </w:rPr>
              <w:t>Investment and advance fee fraud</w:t>
            </w:r>
          </w:p>
        </w:tc>
        <w:tc>
          <w:tcPr>
            <w:tcW w:w="1843" w:type="dxa"/>
            <w:tcBorders>
              <w:top w:val="single" w:sz="4" w:space="0" w:color="auto"/>
              <w:bottom w:val="single" w:sz="4" w:space="0" w:color="auto"/>
            </w:tcBorders>
          </w:tcPr>
          <w:p w14:paraId="7DC3637E" w14:textId="70422E2F" w:rsidR="00593A35" w:rsidRPr="008C78D9" w:rsidRDefault="00593A35" w:rsidP="00514296">
            <w:pPr>
              <w:rPr>
                <w:sz w:val="18"/>
                <w:szCs w:val="18"/>
              </w:rPr>
            </w:pPr>
            <w:r w:rsidRPr="008C78D9">
              <w:rPr>
                <w:sz w:val="18"/>
                <w:szCs w:val="18"/>
              </w:rPr>
              <w:t>Consumer fraud offline</w:t>
            </w:r>
          </w:p>
        </w:tc>
        <w:tc>
          <w:tcPr>
            <w:tcW w:w="1984" w:type="dxa"/>
            <w:tcBorders>
              <w:top w:val="single" w:sz="4" w:space="0" w:color="auto"/>
              <w:bottom w:val="single" w:sz="4" w:space="0" w:color="auto"/>
            </w:tcBorders>
          </w:tcPr>
          <w:p w14:paraId="4BCCCF62" w14:textId="67DEAFF4" w:rsidR="00593A35" w:rsidRPr="008C78D9" w:rsidRDefault="00593A35" w:rsidP="00514296">
            <w:pPr>
              <w:rPr>
                <w:sz w:val="18"/>
                <w:szCs w:val="18"/>
              </w:rPr>
            </w:pPr>
            <w:r w:rsidRPr="008C78D9">
              <w:rPr>
                <w:sz w:val="18"/>
                <w:szCs w:val="18"/>
              </w:rPr>
              <w:t>Consumer fraud online</w:t>
            </w:r>
          </w:p>
        </w:tc>
        <w:tc>
          <w:tcPr>
            <w:tcW w:w="1701" w:type="dxa"/>
            <w:tcBorders>
              <w:top w:val="single" w:sz="4" w:space="0" w:color="auto"/>
              <w:bottom w:val="single" w:sz="4" w:space="0" w:color="auto"/>
            </w:tcBorders>
          </w:tcPr>
          <w:p w14:paraId="0B3CD120" w14:textId="4153F8E6" w:rsidR="00593A35" w:rsidRPr="008C78D9" w:rsidRDefault="00593A35" w:rsidP="00514296">
            <w:pPr>
              <w:rPr>
                <w:sz w:val="18"/>
                <w:szCs w:val="18"/>
              </w:rPr>
            </w:pPr>
            <w:r w:rsidRPr="008C78D9">
              <w:rPr>
                <w:sz w:val="18"/>
                <w:szCs w:val="18"/>
              </w:rPr>
              <w:t>Other fraud</w:t>
            </w:r>
          </w:p>
        </w:tc>
        <w:tc>
          <w:tcPr>
            <w:tcW w:w="1592" w:type="dxa"/>
            <w:tcBorders>
              <w:top w:val="single" w:sz="4" w:space="0" w:color="auto"/>
              <w:bottom w:val="single" w:sz="4" w:space="0" w:color="auto"/>
            </w:tcBorders>
          </w:tcPr>
          <w:p w14:paraId="089B88A9" w14:textId="4A0B5341" w:rsidR="00593A35" w:rsidRPr="008C78D9" w:rsidRDefault="00593A35" w:rsidP="00514296">
            <w:pPr>
              <w:rPr>
                <w:sz w:val="18"/>
                <w:szCs w:val="18"/>
              </w:rPr>
            </w:pPr>
            <w:r w:rsidRPr="008C78D9">
              <w:rPr>
                <w:sz w:val="18"/>
                <w:szCs w:val="18"/>
              </w:rPr>
              <w:t>Cyber-dependent crime</w:t>
            </w:r>
          </w:p>
        </w:tc>
      </w:tr>
      <w:tr w:rsidR="00593A35" w:rsidRPr="008C78D9" w14:paraId="7A3CE310" w14:textId="51D67E9B" w:rsidTr="0095607B">
        <w:tc>
          <w:tcPr>
            <w:tcW w:w="1668" w:type="dxa"/>
            <w:tcBorders>
              <w:top w:val="single" w:sz="4" w:space="0" w:color="auto"/>
            </w:tcBorders>
            <w:vAlign w:val="center"/>
          </w:tcPr>
          <w:p w14:paraId="2CFEA9C6" w14:textId="77777777" w:rsidR="00593A35" w:rsidRPr="008C78D9" w:rsidRDefault="00593A35" w:rsidP="00B15CC3">
            <w:pPr>
              <w:rPr>
                <w:sz w:val="18"/>
                <w:szCs w:val="18"/>
              </w:rPr>
            </w:pPr>
            <w:r w:rsidRPr="008C78D9">
              <w:rPr>
                <w:sz w:val="18"/>
                <w:szCs w:val="18"/>
              </w:rPr>
              <w:t>First lockdown</w:t>
            </w:r>
          </w:p>
        </w:tc>
        <w:tc>
          <w:tcPr>
            <w:tcW w:w="1842" w:type="dxa"/>
            <w:tcBorders>
              <w:top w:val="single" w:sz="4" w:space="0" w:color="auto"/>
            </w:tcBorders>
            <w:vAlign w:val="center"/>
          </w:tcPr>
          <w:p w14:paraId="35148CC4" w14:textId="407E5DB9" w:rsidR="00593A35" w:rsidRPr="00593A35" w:rsidRDefault="00593A35" w:rsidP="00B15CC3">
            <w:pPr>
              <w:rPr>
                <w:sz w:val="18"/>
                <w:szCs w:val="18"/>
              </w:rPr>
            </w:pPr>
            <w:r w:rsidRPr="00593A35">
              <w:rPr>
                <w:sz w:val="18"/>
                <w:szCs w:val="18"/>
              </w:rPr>
              <w:t>-34.0 [-</w:t>
            </w:r>
            <w:r>
              <w:rPr>
                <w:sz w:val="18"/>
                <w:szCs w:val="18"/>
              </w:rPr>
              <w:t>74.8, 6.8]</w:t>
            </w:r>
          </w:p>
        </w:tc>
        <w:tc>
          <w:tcPr>
            <w:tcW w:w="1985" w:type="dxa"/>
            <w:tcBorders>
              <w:top w:val="single" w:sz="4" w:space="0" w:color="auto"/>
            </w:tcBorders>
            <w:vAlign w:val="center"/>
          </w:tcPr>
          <w:p w14:paraId="753EF5AB" w14:textId="7F70D645" w:rsidR="00593A35" w:rsidRPr="00593A35" w:rsidRDefault="00593A35" w:rsidP="00B15CC3">
            <w:pPr>
              <w:rPr>
                <w:sz w:val="18"/>
                <w:szCs w:val="18"/>
              </w:rPr>
            </w:pPr>
            <w:r w:rsidRPr="00593A35">
              <w:rPr>
                <w:b/>
                <w:bCs/>
                <w:sz w:val="18"/>
                <w:szCs w:val="18"/>
              </w:rPr>
              <w:t>-265.5</w:t>
            </w:r>
            <w:r>
              <w:rPr>
                <w:sz w:val="18"/>
                <w:szCs w:val="18"/>
              </w:rPr>
              <w:t xml:space="preserve"> [-308.7, -222.3]</w:t>
            </w:r>
          </w:p>
        </w:tc>
        <w:tc>
          <w:tcPr>
            <w:tcW w:w="1559" w:type="dxa"/>
            <w:tcBorders>
              <w:top w:val="single" w:sz="4" w:space="0" w:color="auto"/>
            </w:tcBorders>
            <w:vAlign w:val="center"/>
          </w:tcPr>
          <w:p w14:paraId="40C3CFCB" w14:textId="49199391" w:rsidR="00593A35" w:rsidRPr="008C78D9" w:rsidRDefault="00593A35" w:rsidP="00B15CC3">
            <w:pPr>
              <w:rPr>
                <w:sz w:val="18"/>
                <w:szCs w:val="18"/>
              </w:rPr>
            </w:pPr>
            <w:r w:rsidRPr="008C78D9">
              <w:rPr>
                <w:b/>
                <w:bCs/>
                <w:sz w:val="18"/>
                <w:szCs w:val="18"/>
              </w:rPr>
              <w:t>-22.5</w:t>
            </w:r>
            <w:r w:rsidRPr="008C78D9">
              <w:rPr>
                <w:sz w:val="18"/>
                <w:szCs w:val="18"/>
              </w:rPr>
              <w:t xml:space="preserve"> [-40.3, -6.7]</w:t>
            </w:r>
          </w:p>
        </w:tc>
        <w:tc>
          <w:tcPr>
            <w:tcW w:w="1843" w:type="dxa"/>
            <w:tcBorders>
              <w:top w:val="single" w:sz="4" w:space="0" w:color="auto"/>
            </w:tcBorders>
            <w:vAlign w:val="center"/>
          </w:tcPr>
          <w:p w14:paraId="330787CC" w14:textId="47345927" w:rsidR="00593A35" w:rsidRPr="008C78D9" w:rsidRDefault="00593A35" w:rsidP="00B15CC3">
            <w:pPr>
              <w:rPr>
                <w:sz w:val="18"/>
                <w:szCs w:val="18"/>
              </w:rPr>
            </w:pPr>
            <w:r w:rsidRPr="008C78D9">
              <w:rPr>
                <w:b/>
                <w:bCs/>
                <w:sz w:val="18"/>
                <w:szCs w:val="18"/>
              </w:rPr>
              <w:t>-24.2</w:t>
            </w:r>
            <w:r w:rsidRPr="008C78D9">
              <w:rPr>
                <w:sz w:val="18"/>
                <w:szCs w:val="18"/>
              </w:rPr>
              <w:t xml:space="preserve"> [-31.7, -16.7]</w:t>
            </w:r>
          </w:p>
        </w:tc>
        <w:tc>
          <w:tcPr>
            <w:tcW w:w="1984" w:type="dxa"/>
            <w:tcBorders>
              <w:top w:val="single" w:sz="4" w:space="0" w:color="auto"/>
            </w:tcBorders>
            <w:vAlign w:val="center"/>
          </w:tcPr>
          <w:p w14:paraId="42F169E9" w14:textId="72C29BC9" w:rsidR="00593A35" w:rsidRPr="008C78D9" w:rsidRDefault="00593A35" w:rsidP="00B15CC3">
            <w:pPr>
              <w:rPr>
                <w:sz w:val="18"/>
                <w:szCs w:val="18"/>
              </w:rPr>
            </w:pPr>
            <w:r w:rsidRPr="008C78D9">
              <w:rPr>
                <w:b/>
                <w:bCs/>
                <w:sz w:val="18"/>
                <w:szCs w:val="18"/>
              </w:rPr>
              <w:t>-127.2</w:t>
            </w:r>
            <w:r w:rsidRPr="008C78D9">
              <w:rPr>
                <w:sz w:val="18"/>
                <w:szCs w:val="18"/>
              </w:rPr>
              <w:t xml:space="preserve"> [-151.8, -102.6]</w:t>
            </w:r>
          </w:p>
        </w:tc>
        <w:tc>
          <w:tcPr>
            <w:tcW w:w="1701" w:type="dxa"/>
            <w:tcBorders>
              <w:top w:val="single" w:sz="4" w:space="0" w:color="auto"/>
            </w:tcBorders>
            <w:vAlign w:val="center"/>
          </w:tcPr>
          <w:p w14:paraId="4278F074" w14:textId="5CAFA0A9" w:rsidR="00593A35" w:rsidRPr="008C78D9" w:rsidRDefault="00593A35" w:rsidP="00B15CC3">
            <w:pPr>
              <w:rPr>
                <w:sz w:val="18"/>
                <w:szCs w:val="18"/>
              </w:rPr>
            </w:pPr>
            <w:r w:rsidRPr="008C78D9">
              <w:rPr>
                <w:sz w:val="18"/>
                <w:szCs w:val="18"/>
              </w:rPr>
              <w:t>-6.4 [-39.5, 26.7]</w:t>
            </w:r>
          </w:p>
        </w:tc>
        <w:tc>
          <w:tcPr>
            <w:tcW w:w="1592" w:type="dxa"/>
            <w:tcBorders>
              <w:top w:val="single" w:sz="4" w:space="0" w:color="auto"/>
            </w:tcBorders>
            <w:vAlign w:val="center"/>
          </w:tcPr>
          <w:p w14:paraId="2CC3D787" w14:textId="7ED1A772" w:rsidR="00593A35" w:rsidRPr="008C78D9" w:rsidRDefault="00593A35" w:rsidP="00B15CC3">
            <w:pPr>
              <w:rPr>
                <w:sz w:val="18"/>
                <w:szCs w:val="18"/>
              </w:rPr>
            </w:pPr>
            <w:r w:rsidRPr="008C78D9">
              <w:rPr>
                <w:b/>
                <w:bCs/>
                <w:sz w:val="18"/>
                <w:szCs w:val="18"/>
              </w:rPr>
              <w:t>11.4</w:t>
            </w:r>
            <w:r w:rsidRPr="008C78D9">
              <w:rPr>
                <w:sz w:val="18"/>
                <w:szCs w:val="18"/>
              </w:rPr>
              <w:t xml:space="preserve"> [3.6, 19.3]</w:t>
            </w:r>
          </w:p>
        </w:tc>
      </w:tr>
      <w:tr w:rsidR="00593A35" w:rsidRPr="008C78D9" w14:paraId="1D95FFAD" w14:textId="70301A00" w:rsidTr="0095607B">
        <w:tc>
          <w:tcPr>
            <w:tcW w:w="1668" w:type="dxa"/>
            <w:vAlign w:val="center"/>
          </w:tcPr>
          <w:p w14:paraId="0CDFCDE2" w14:textId="77777777" w:rsidR="00593A35" w:rsidRPr="008C78D9" w:rsidRDefault="00593A35" w:rsidP="00B15CC3">
            <w:pPr>
              <w:rPr>
                <w:sz w:val="18"/>
                <w:szCs w:val="18"/>
              </w:rPr>
            </w:pPr>
            <w:r w:rsidRPr="008C78D9">
              <w:rPr>
                <w:sz w:val="18"/>
                <w:szCs w:val="18"/>
              </w:rPr>
              <w:t>Time since first lockdown</w:t>
            </w:r>
          </w:p>
        </w:tc>
        <w:tc>
          <w:tcPr>
            <w:tcW w:w="1842" w:type="dxa"/>
            <w:vAlign w:val="center"/>
          </w:tcPr>
          <w:p w14:paraId="092E261F" w14:textId="0450E6B7" w:rsidR="00593A35" w:rsidRPr="00593A35" w:rsidRDefault="00593A35" w:rsidP="00B15CC3">
            <w:pPr>
              <w:rPr>
                <w:sz w:val="18"/>
                <w:szCs w:val="18"/>
              </w:rPr>
            </w:pPr>
            <w:r>
              <w:rPr>
                <w:sz w:val="18"/>
                <w:szCs w:val="18"/>
              </w:rPr>
              <w:t>-4.3 [-13.8, 51.]</w:t>
            </w:r>
          </w:p>
        </w:tc>
        <w:tc>
          <w:tcPr>
            <w:tcW w:w="1985" w:type="dxa"/>
            <w:vAlign w:val="center"/>
          </w:tcPr>
          <w:p w14:paraId="0600380C" w14:textId="76D748E3" w:rsidR="00593A35" w:rsidRPr="00593A35" w:rsidRDefault="00593A35" w:rsidP="00B15CC3">
            <w:pPr>
              <w:rPr>
                <w:sz w:val="18"/>
                <w:szCs w:val="18"/>
              </w:rPr>
            </w:pPr>
            <w:r w:rsidRPr="00593A35">
              <w:rPr>
                <w:b/>
                <w:bCs/>
                <w:sz w:val="18"/>
                <w:szCs w:val="18"/>
              </w:rPr>
              <w:t>12.6</w:t>
            </w:r>
            <w:r>
              <w:rPr>
                <w:sz w:val="18"/>
                <w:szCs w:val="18"/>
              </w:rPr>
              <w:t xml:space="preserve"> [2.6, 22.7]</w:t>
            </w:r>
          </w:p>
        </w:tc>
        <w:tc>
          <w:tcPr>
            <w:tcW w:w="1559" w:type="dxa"/>
            <w:vAlign w:val="center"/>
          </w:tcPr>
          <w:p w14:paraId="00EA0E54" w14:textId="0B6392B7" w:rsidR="00593A35" w:rsidRPr="008C78D9" w:rsidRDefault="00593A35" w:rsidP="00B15CC3">
            <w:pPr>
              <w:rPr>
                <w:sz w:val="18"/>
                <w:szCs w:val="18"/>
              </w:rPr>
            </w:pPr>
            <w:r w:rsidRPr="008C78D9">
              <w:rPr>
                <w:b/>
                <w:bCs/>
                <w:sz w:val="18"/>
                <w:szCs w:val="18"/>
              </w:rPr>
              <w:t>7.8</w:t>
            </w:r>
            <w:r w:rsidRPr="008C78D9">
              <w:rPr>
                <w:sz w:val="18"/>
                <w:szCs w:val="18"/>
              </w:rPr>
              <w:t xml:space="preserve"> [4.2, 11.4]</w:t>
            </w:r>
          </w:p>
        </w:tc>
        <w:tc>
          <w:tcPr>
            <w:tcW w:w="1843" w:type="dxa"/>
            <w:vAlign w:val="center"/>
          </w:tcPr>
          <w:p w14:paraId="2E345AF9" w14:textId="4FB53569" w:rsidR="00593A35" w:rsidRPr="008C78D9" w:rsidRDefault="00593A35" w:rsidP="00B15CC3">
            <w:pPr>
              <w:rPr>
                <w:sz w:val="18"/>
                <w:szCs w:val="18"/>
              </w:rPr>
            </w:pPr>
            <w:r w:rsidRPr="008C78D9">
              <w:rPr>
                <w:sz w:val="18"/>
                <w:szCs w:val="18"/>
              </w:rPr>
              <w:t>-6.1 [-14.6, 2.3]</w:t>
            </w:r>
          </w:p>
        </w:tc>
        <w:tc>
          <w:tcPr>
            <w:tcW w:w="1984" w:type="dxa"/>
            <w:vAlign w:val="center"/>
          </w:tcPr>
          <w:p w14:paraId="2992CD9D" w14:textId="51922CDD" w:rsidR="00593A35" w:rsidRPr="008C78D9" w:rsidRDefault="00593A35" w:rsidP="00B15CC3">
            <w:pPr>
              <w:rPr>
                <w:sz w:val="18"/>
                <w:szCs w:val="18"/>
              </w:rPr>
            </w:pPr>
            <w:r w:rsidRPr="008C78D9">
              <w:rPr>
                <w:b/>
                <w:bCs/>
                <w:sz w:val="18"/>
                <w:szCs w:val="18"/>
              </w:rPr>
              <w:t>60.0</w:t>
            </w:r>
            <w:r w:rsidRPr="008C78D9">
              <w:rPr>
                <w:sz w:val="18"/>
                <w:szCs w:val="18"/>
              </w:rPr>
              <w:t xml:space="preserve"> [30.5, 89.4]</w:t>
            </w:r>
          </w:p>
        </w:tc>
        <w:tc>
          <w:tcPr>
            <w:tcW w:w="1701" w:type="dxa"/>
            <w:vAlign w:val="center"/>
          </w:tcPr>
          <w:p w14:paraId="7FE6C621" w14:textId="1C49BE9E" w:rsidR="00593A35" w:rsidRPr="008C78D9" w:rsidRDefault="00593A35" w:rsidP="00B15CC3">
            <w:pPr>
              <w:rPr>
                <w:sz w:val="18"/>
                <w:szCs w:val="18"/>
              </w:rPr>
            </w:pPr>
            <w:r w:rsidRPr="008C78D9">
              <w:rPr>
                <w:sz w:val="18"/>
                <w:szCs w:val="18"/>
              </w:rPr>
              <w:t>21.6 [-15.8, 58.9]</w:t>
            </w:r>
          </w:p>
        </w:tc>
        <w:tc>
          <w:tcPr>
            <w:tcW w:w="1592" w:type="dxa"/>
            <w:vAlign w:val="center"/>
          </w:tcPr>
          <w:p w14:paraId="0062688A" w14:textId="4C11C244" w:rsidR="00593A35" w:rsidRPr="008C78D9" w:rsidRDefault="00593A35" w:rsidP="00B15CC3">
            <w:pPr>
              <w:rPr>
                <w:sz w:val="18"/>
                <w:szCs w:val="18"/>
              </w:rPr>
            </w:pPr>
            <w:r w:rsidRPr="008C78D9">
              <w:rPr>
                <w:sz w:val="18"/>
                <w:szCs w:val="18"/>
              </w:rPr>
              <w:t>-0.1 [-1.9, 1.7]</w:t>
            </w:r>
          </w:p>
        </w:tc>
      </w:tr>
      <w:tr w:rsidR="00593A35" w:rsidRPr="008C78D9" w14:paraId="5FAE432A" w14:textId="5A513765" w:rsidTr="0095607B">
        <w:tc>
          <w:tcPr>
            <w:tcW w:w="1668" w:type="dxa"/>
            <w:vAlign w:val="center"/>
          </w:tcPr>
          <w:p w14:paraId="1E7E3F5B" w14:textId="77777777" w:rsidR="00593A35" w:rsidRPr="008C78D9" w:rsidRDefault="00593A35" w:rsidP="00B15CC3">
            <w:pPr>
              <w:rPr>
                <w:sz w:val="18"/>
                <w:szCs w:val="18"/>
              </w:rPr>
            </w:pPr>
            <w:r w:rsidRPr="008C78D9">
              <w:rPr>
                <w:sz w:val="18"/>
                <w:szCs w:val="18"/>
              </w:rPr>
              <w:t>Second lockdown</w:t>
            </w:r>
          </w:p>
        </w:tc>
        <w:tc>
          <w:tcPr>
            <w:tcW w:w="1842" w:type="dxa"/>
            <w:vAlign w:val="center"/>
          </w:tcPr>
          <w:p w14:paraId="25C16778" w14:textId="4B660EAF" w:rsidR="00593A35" w:rsidRPr="00593A35" w:rsidRDefault="00593A35" w:rsidP="00B15CC3">
            <w:pPr>
              <w:rPr>
                <w:sz w:val="18"/>
                <w:szCs w:val="18"/>
              </w:rPr>
            </w:pPr>
            <w:r>
              <w:rPr>
                <w:sz w:val="18"/>
                <w:szCs w:val="18"/>
              </w:rPr>
              <w:t>-19.1 [87.9, 49.8]</w:t>
            </w:r>
          </w:p>
        </w:tc>
        <w:tc>
          <w:tcPr>
            <w:tcW w:w="1985" w:type="dxa"/>
            <w:vAlign w:val="center"/>
          </w:tcPr>
          <w:p w14:paraId="3D7022AF" w14:textId="38AD6D58" w:rsidR="00593A35" w:rsidRPr="00593A35" w:rsidRDefault="00593A35" w:rsidP="00B15CC3">
            <w:pPr>
              <w:rPr>
                <w:sz w:val="18"/>
                <w:szCs w:val="18"/>
              </w:rPr>
            </w:pPr>
            <w:r>
              <w:rPr>
                <w:sz w:val="18"/>
                <w:szCs w:val="18"/>
              </w:rPr>
              <w:t>90.6 [-17.0, 198.2]</w:t>
            </w:r>
          </w:p>
        </w:tc>
        <w:tc>
          <w:tcPr>
            <w:tcW w:w="1559" w:type="dxa"/>
            <w:vAlign w:val="center"/>
          </w:tcPr>
          <w:p w14:paraId="6C513FAD" w14:textId="5172D55D" w:rsidR="00593A35" w:rsidRPr="008C78D9" w:rsidRDefault="00593A35" w:rsidP="00B15CC3">
            <w:pPr>
              <w:rPr>
                <w:sz w:val="18"/>
                <w:szCs w:val="18"/>
              </w:rPr>
            </w:pPr>
            <w:r w:rsidRPr="008C78D9">
              <w:rPr>
                <w:b/>
                <w:bCs/>
                <w:sz w:val="18"/>
                <w:szCs w:val="18"/>
              </w:rPr>
              <w:t>33.5</w:t>
            </w:r>
            <w:r w:rsidRPr="008C78D9">
              <w:rPr>
                <w:sz w:val="18"/>
                <w:szCs w:val="18"/>
              </w:rPr>
              <w:t xml:space="preserve"> [7.7, 59.5]</w:t>
            </w:r>
          </w:p>
        </w:tc>
        <w:tc>
          <w:tcPr>
            <w:tcW w:w="1843" w:type="dxa"/>
            <w:vAlign w:val="center"/>
          </w:tcPr>
          <w:p w14:paraId="0404C3D7" w14:textId="592DBCFD" w:rsidR="00593A35" w:rsidRPr="008C78D9" w:rsidRDefault="00593A35" w:rsidP="00B15CC3">
            <w:pPr>
              <w:rPr>
                <w:sz w:val="18"/>
                <w:szCs w:val="18"/>
              </w:rPr>
            </w:pPr>
            <w:r w:rsidRPr="008C78D9">
              <w:rPr>
                <w:sz w:val="18"/>
                <w:szCs w:val="18"/>
              </w:rPr>
              <w:t>-53.3 [-108.4, 1.8]</w:t>
            </w:r>
          </w:p>
        </w:tc>
        <w:tc>
          <w:tcPr>
            <w:tcW w:w="1984" w:type="dxa"/>
            <w:vAlign w:val="center"/>
          </w:tcPr>
          <w:p w14:paraId="45D9C979" w14:textId="2ABCF130" w:rsidR="00593A35" w:rsidRPr="008C78D9" w:rsidRDefault="00593A35" w:rsidP="00B15CC3">
            <w:pPr>
              <w:rPr>
                <w:sz w:val="18"/>
                <w:szCs w:val="18"/>
              </w:rPr>
            </w:pPr>
            <w:r w:rsidRPr="008C78D9">
              <w:rPr>
                <w:b/>
                <w:bCs/>
                <w:sz w:val="18"/>
                <w:szCs w:val="18"/>
              </w:rPr>
              <w:t>313.6</w:t>
            </w:r>
            <w:r w:rsidRPr="008C78D9">
              <w:rPr>
                <w:sz w:val="18"/>
                <w:szCs w:val="18"/>
              </w:rPr>
              <w:t xml:space="preserve"> [120.7, 506.5]</w:t>
            </w:r>
          </w:p>
        </w:tc>
        <w:tc>
          <w:tcPr>
            <w:tcW w:w="1701" w:type="dxa"/>
            <w:vAlign w:val="center"/>
          </w:tcPr>
          <w:p w14:paraId="4F1313E7" w14:textId="2A408F96" w:rsidR="00593A35" w:rsidRPr="008C78D9" w:rsidRDefault="00593A35" w:rsidP="00B15CC3">
            <w:pPr>
              <w:rPr>
                <w:sz w:val="18"/>
                <w:szCs w:val="18"/>
              </w:rPr>
            </w:pPr>
            <w:r w:rsidRPr="008C78D9">
              <w:rPr>
                <w:sz w:val="18"/>
                <w:szCs w:val="18"/>
              </w:rPr>
              <w:t>85.9 [-161.3, 333.2]</w:t>
            </w:r>
          </w:p>
        </w:tc>
        <w:tc>
          <w:tcPr>
            <w:tcW w:w="1592" w:type="dxa"/>
            <w:vAlign w:val="center"/>
          </w:tcPr>
          <w:p w14:paraId="78C6FF8C" w14:textId="60567C4C" w:rsidR="00593A35" w:rsidRPr="008C78D9" w:rsidRDefault="00593A35" w:rsidP="00B15CC3">
            <w:pPr>
              <w:rPr>
                <w:sz w:val="18"/>
                <w:szCs w:val="18"/>
              </w:rPr>
            </w:pPr>
            <w:r w:rsidRPr="008C78D9">
              <w:rPr>
                <w:sz w:val="18"/>
                <w:szCs w:val="18"/>
              </w:rPr>
              <w:t>-0.6 [-14.4, 13.2]</w:t>
            </w:r>
          </w:p>
        </w:tc>
      </w:tr>
      <w:tr w:rsidR="00593A35" w:rsidRPr="008C78D9" w14:paraId="58938584" w14:textId="05468EA1" w:rsidTr="0095607B">
        <w:tc>
          <w:tcPr>
            <w:tcW w:w="1668" w:type="dxa"/>
            <w:vAlign w:val="center"/>
          </w:tcPr>
          <w:p w14:paraId="3B53834A" w14:textId="77777777" w:rsidR="00593A35" w:rsidRPr="008C78D9" w:rsidRDefault="00593A35" w:rsidP="00B15CC3">
            <w:pPr>
              <w:rPr>
                <w:sz w:val="18"/>
                <w:szCs w:val="18"/>
              </w:rPr>
            </w:pPr>
            <w:r w:rsidRPr="008C78D9">
              <w:rPr>
                <w:sz w:val="18"/>
                <w:szCs w:val="18"/>
              </w:rPr>
              <w:t>Time since second lockdown</w:t>
            </w:r>
          </w:p>
        </w:tc>
        <w:tc>
          <w:tcPr>
            <w:tcW w:w="1842" w:type="dxa"/>
            <w:vAlign w:val="center"/>
          </w:tcPr>
          <w:p w14:paraId="4F9FF653" w14:textId="3C1BE686" w:rsidR="00593A35" w:rsidRPr="00593A35" w:rsidRDefault="00593A35" w:rsidP="00B15CC3">
            <w:pPr>
              <w:rPr>
                <w:sz w:val="18"/>
                <w:szCs w:val="18"/>
              </w:rPr>
            </w:pPr>
            <w:r>
              <w:rPr>
                <w:sz w:val="18"/>
                <w:szCs w:val="18"/>
              </w:rPr>
              <w:t>-13.1 [-37.5, 11.4]</w:t>
            </w:r>
          </w:p>
        </w:tc>
        <w:tc>
          <w:tcPr>
            <w:tcW w:w="1985" w:type="dxa"/>
            <w:vAlign w:val="center"/>
          </w:tcPr>
          <w:p w14:paraId="26964C17" w14:textId="5D5A39F5" w:rsidR="00593A35" w:rsidRPr="00593A35" w:rsidRDefault="00472ED0" w:rsidP="00B15CC3">
            <w:pPr>
              <w:rPr>
                <w:sz w:val="18"/>
                <w:szCs w:val="18"/>
              </w:rPr>
            </w:pPr>
            <w:r w:rsidRPr="00472ED0">
              <w:rPr>
                <w:b/>
                <w:bCs/>
                <w:sz w:val="18"/>
                <w:szCs w:val="18"/>
              </w:rPr>
              <w:t>-103.6</w:t>
            </w:r>
            <w:r>
              <w:rPr>
                <w:sz w:val="18"/>
                <w:szCs w:val="18"/>
              </w:rPr>
              <w:t xml:space="preserve"> [-142.4, -64.7]</w:t>
            </w:r>
          </w:p>
        </w:tc>
        <w:tc>
          <w:tcPr>
            <w:tcW w:w="1559" w:type="dxa"/>
            <w:vAlign w:val="center"/>
          </w:tcPr>
          <w:p w14:paraId="0DE09058" w14:textId="11EF5B82" w:rsidR="00593A35" w:rsidRPr="008C78D9" w:rsidRDefault="00593A35" w:rsidP="00B15CC3">
            <w:pPr>
              <w:rPr>
                <w:sz w:val="18"/>
                <w:szCs w:val="18"/>
              </w:rPr>
            </w:pPr>
            <w:r w:rsidRPr="008C78D9">
              <w:rPr>
                <w:sz w:val="18"/>
                <w:szCs w:val="18"/>
              </w:rPr>
              <w:t>-4.9 [-15.1, 5.3]</w:t>
            </w:r>
          </w:p>
        </w:tc>
        <w:tc>
          <w:tcPr>
            <w:tcW w:w="1843" w:type="dxa"/>
            <w:vAlign w:val="center"/>
          </w:tcPr>
          <w:p w14:paraId="7B0E2701" w14:textId="419938B5" w:rsidR="00593A35" w:rsidRPr="008C78D9" w:rsidRDefault="00593A35" w:rsidP="00B15CC3">
            <w:pPr>
              <w:rPr>
                <w:sz w:val="18"/>
                <w:szCs w:val="18"/>
              </w:rPr>
            </w:pPr>
            <w:r w:rsidRPr="008C78D9">
              <w:rPr>
                <w:b/>
                <w:bCs/>
                <w:sz w:val="18"/>
                <w:szCs w:val="18"/>
              </w:rPr>
              <w:t>-28.2</w:t>
            </w:r>
            <w:r w:rsidRPr="008C78D9">
              <w:rPr>
                <w:sz w:val="18"/>
                <w:szCs w:val="18"/>
              </w:rPr>
              <w:t xml:space="preserve"> [-45.2, -11.2]</w:t>
            </w:r>
          </w:p>
        </w:tc>
        <w:tc>
          <w:tcPr>
            <w:tcW w:w="1984" w:type="dxa"/>
            <w:vAlign w:val="center"/>
          </w:tcPr>
          <w:p w14:paraId="68FB438D" w14:textId="0F5AE2F1" w:rsidR="00593A35" w:rsidRPr="008C78D9" w:rsidRDefault="00593A35" w:rsidP="00B15CC3">
            <w:pPr>
              <w:rPr>
                <w:sz w:val="18"/>
                <w:szCs w:val="18"/>
              </w:rPr>
            </w:pPr>
            <w:r w:rsidRPr="008C78D9">
              <w:rPr>
                <w:sz w:val="18"/>
                <w:szCs w:val="18"/>
              </w:rPr>
              <w:t>-3.8 [-59.4, 51.8]</w:t>
            </w:r>
          </w:p>
        </w:tc>
        <w:tc>
          <w:tcPr>
            <w:tcW w:w="1701" w:type="dxa"/>
            <w:vAlign w:val="center"/>
          </w:tcPr>
          <w:p w14:paraId="0A5B7189" w14:textId="09E08FFA" w:rsidR="00593A35" w:rsidRPr="008C78D9" w:rsidRDefault="00593A35" w:rsidP="00B15CC3">
            <w:pPr>
              <w:rPr>
                <w:sz w:val="18"/>
                <w:szCs w:val="18"/>
              </w:rPr>
            </w:pPr>
            <w:r w:rsidRPr="008C78D9">
              <w:rPr>
                <w:sz w:val="18"/>
                <w:szCs w:val="18"/>
              </w:rPr>
              <w:t>10.2 [-41.4, 61.8]</w:t>
            </w:r>
          </w:p>
        </w:tc>
        <w:tc>
          <w:tcPr>
            <w:tcW w:w="1592" w:type="dxa"/>
            <w:vAlign w:val="center"/>
          </w:tcPr>
          <w:p w14:paraId="7EDA7832" w14:textId="70EB6864" w:rsidR="00593A35" w:rsidRPr="008C78D9" w:rsidRDefault="00593A35" w:rsidP="00B15CC3">
            <w:pPr>
              <w:rPr>
                <w:sz w:val="18"/>
                <w:szCs w:val="18"/>
              </w:rPr>
            </w:pPr>
            <w:r w:rsidRPr="008C78D9">
              <w:rPr>
                <w:b/>
                <w:bCs/>
                <w:sz w:val="18"/>
                <w:szCs w:val="18"/>
              </w:rPr>
              <w:t>13.5</w:t>
            </w:r>
            <w:r w:rsidRPr="008C78D9">
              <w:rPr>
                <w:sz w:val="18"/>
                <w:szCs w:val="18"/>
              </w:rPr>
              <w:t xml:space="preserve"> [8.5, 18.6]</w:t>
            </w:r>
          </w:p>
        </w:tc>
      </w:tr>
      <w:tr w:rsidR="00593A35" w:rsidRPr="008C78D9" w14:paraId="6B1B6E84" w14:textId="1E4221D5" w:rsidTr="0095607B">
        <w:tc>
          <w:tcPr>
            <w:tcW w:w="1668" w:type="dxa"/>
            <w:vAlign w:val="center"/>
          </w:tcPr>
          <w:p w14:paraId="2E75EB27" w14:textId="77777777" w:rsidR="00593A35" w:rsidRPr="008C78D9" w:rsidRDefault="00593A35" w:rsidP="00B15CC3">
            <w:pPr>
              <w:rPr>
                <w:sz w:val="18"/>
                <w:szCs w:val="18"/>
              </w:rPr>
            </w:pPr>
            <w:r w:rsidRPr="008C78D9">
              <w:rPr>
                <w:sz w:val="18"/>
                <w:szCs w:val="18"/>
              </w:rPr>
              <w:t>Third lockdown</w:t>
            </w:r>
          </w:p>
        </w:tc>
        <w:tc>
          <w:tcPr>
            <w:tcW w:w="1842" w:type="dxa"/>
            <w:vAlign w:val="center"/>
          </w:tcPr>
          <w:p w14:paraId="5AFB921E" w14:textId="6566A0B6" w:rsidR="00593A35" w:rsidRPr="00593A35" w:rsidRDefault="00593A35" w:rsidP="00B15CC3">
            <w:pPr>
              <w:rPr>
                <w:sz w:val="18"/>
                <w:szCs w:val="18"/>
              </w:rPr>
            </w:pPr>
            <w:r w:rsidRPr="00593A35">
              <w:rPr>
                <w:b/>
                <w:bCs/>
                <w:sz w:val="18"/>
                <w:szCs w:val="18"/>
              </w:rPr>
              <w:t>-80.5</w:t>
            </w:r>
            <w:r>
              <w:rPr>
                <w:sz w:val="18"/>
                <w:szCs w:val="18"/>
              </w:rPr>
              <w:t xml:space="preserve"> [-145.2, -15.8]</w:t>
            </w:r>
          </w:p>
        </w:tc>
        <w:tc>
          <w:tcPr>
            <w:tcW w:w="1985" w:type="dxa"/>
            <w:vAlign w:val="center"/>
          </w:tcPr>
          <w:p w14:paraId="4F744E35" w14:textId="6FC6E3DF" w:rsidR="00593A35" w:rsidRPr="00593A35" w:rsidRDefault="00472ED0" w:rsidP="00B15CC3">
            <w:pPr>
              <w:rPr>
                <w:sz w:val="18"/>
                <w:szCs w:val="18"/>
              </w:rPr>
            </w:pPr>
            <w:r w:rsidRPr="00472ED0">
              <w:rPr>
                <w:b/>
                <w:bCs/>
                <w:sz w:val="18"/>
                <w:szCs w:val="18"/>
              </w:rPr>
              <w:t>-407.3</w:t>
            </w:r>
            <w:r>
              <w:rPr>
                <w:sz w:val="18"/>
                <w:szCs w:val="18"/>
              </w:rPr>
              <w:t xml:space="preserve"> [-501.0, -313.7]</w:t>
            </w:r>
          </w:p>
        </w:tc>
        <w:tc>
          <w:tcPr>
            <w:tcW w:w="1559" w:type="dxa"/>
            <w:vAlign w:val="center"/>
          </w:tcPr>
          <w:p w14:paraId="7CCAF49B" w14:textId="6EF1DB3B" w:rsidR="00593A35" w:rsidRPr="008C78D9" w:rsidRDefault="00593A35" w:rsidP="00B15CC3">
            <w:pPr>
              <w:rPr>
                <w:sz w:val="18"/>
                <w:szCs w:val="18"/>
              </w:rPr>
            </w:pPr>
            <w:r w:rsidRPr="008C78D9">
              <w:rPr>
                <w:sz w:val="18"/>
                <w:szCs w:val="18"/>
              </w:rPr>
              <w:t>19.8 [-2.8, 42.5]</w:t>
            </w:r>
          </w:p>
        </w:tc>
        <w:tc>
          <w:tcPr>
            <w:tcW w:w="1843" w:type="dxa"/>
            <w:vAlign w:val="center"/>
          </w:tcPr>
          <w:p w14:paraId="1116DC6B" w14:textId="3ABEA2AE" w:rsidR="00593A35" w:rsidRPr="008C78D9" w:rsidRDefault="00593A35" w:rsidP="00B15CC3">
            <w:pPr>
              <w:rPr>
                <w:sz w:val="18"/>
                <w:szCs w:val="18"/>
              </w:rPr>
            </w:pPr>
            <w:r w:rsidRPr="008C78D9">
              <w:rPr>
                <w:b/>
                <w:bCs/>
                <w:sz w:val="18"/>
                <w:szCs w:val="18"/>
              </w:rPr>
              <w:t>-158.4</w:t>
            </w:r>
            <w:r w:rsidRPr="008C78D9">
              <w:rPr>
                <w:sz w:val="18"/>
                <w:szCs w:val="18"/>
              </w:rPr>
              <w:t xml:space="preserve"> [-248.0, -68.8]</w:t>
            </w:r>
          </w:p>
        </w:tc>
        <w:tc>
          <w:tcPr>
            <w:tcW w:w="1984" w:type="dxa"/>
            <w:vAlign w:val="center"/>
          </w:tcPr>
          <w:p w14:paraId="35129CF5" w14:textId="655F8B5B" w:rsidR="00593A35" w:rsidRPr="008C78D9" w:rsidRDefault="00593A35" w:rsidP="00B15CC3">
            <w:pPr>
              <w:rPr>
                <w:sz w:val="18"/>
                <w:szCs w:val="18"/>
              </w:rPr>
            </w:pPr>
            <w:r w:rsidRPr="008C78D9">
              <w:rPr>
                <w:sz w:val="18"/>
                <w:szCs w:val="18"/>
              </w:rPr>
              <w:t>204.7 [-112.1, 521.5]</w:t>
            </w:r>
          </w:p>
        </w:tc>
        <w:tc>
          <w:tcPr>
            <w:tcW w:w="1701" w:type="dxa"/>
            <w:vAlign w:val="center"/>
          </w:tcPr>
          <w:p w14:paraId="261C43AA" w14:textId="73267CA3" w:rsidR="00593A35" w:rsidRPr="008C78D9" w:rsidRDefault="00593A35" w:rsidP="00B15CC3">
            <w:pPr>
              <w:rPr>
                <w:sz w:val="18"/>
                <w:szCs w:val="18"/>
              </w:rPr>
            </w:pPr>
            <w:r w:rsidRPr="008C78D9">
              <w:rPr>
                <w:sz w:val="18"/>
                <w:szCs w:val="18"/>
              </w:rPr>
              <w:t>5.3 [-338.9, 349.6]</w:t>
            </w:r>
          </w:p>
        </w:tc>
        <w:tc>
          <w:tcPr>
            <w:tcW w:w="1592" w:type="dxa"/>
            <w:vAlign w:val="center"/>
          </w:tcPr>
          <w:p w14:paraId="6A18B208" w14:textId="1210BD0A" w:rsidR="00593A35" w:rsidRPr="008C78D9" w:rsidRDefault="00593A35" w:rsidP="00B15CC3">
            <w:pPr>
              <w:rPr>
                <w:sz w:val="18"/>
                <w:szCs w:val="18"/>
              </w:rPr>
            </w:pPr>
            <w:r w:rsidRPr="008C78D9">
              <w:rPr>
                <w:sz w:val="18"/>
                <w:szCs w:val="18"/>
              </w:rPr>
              <w:t>6.5 [-6.4, 19.5]</w:t>
            </w:r>
          </w:p>
        </w:tc>
      </w:tr>
      <w:tr w:rsidR="00593A35" w:rsidRPr="008C78D9" w14:paraId="6CD83C50" w14:textId="5072CBF3" w:rsidTr="0095607B">
        <w:tc>
          <w:tcPr>
            <w:tcW w:w="1668" w:type="dxa"/>
            <w:tcBorders>
              <w:bottom w:val="single" w:sz="4" w:space="0" w:color="auto"/>
            </w:tcBorders>
            <w:vAlign w:val="center"/>
          </w:tcPr>
          <w:p w14:paraId="166BAE46" w14:textId="77777777" w:rsidR="00593A35" w:rsidRPr="008C78D9" w:rsidRDefault="00593A35" w:rsidP="00B15CC3">
            <w:pPr>
              <w:rPr>
                <w:sz w:val="18"/>
                <w:szCs w:val="18"/>
              </w:rPr>
            </w:pPr>
            <w:r w:rsidRPr="008C78D9">
              <w:rPr>
                <w:sz w:val="18"/>
                <w:szCs w:val="18"/>
              </w:rPr>
              <w:t>Time since third lockdown</w:t>
            </w:r>
          </w:p>
        </w:tc>
        <w:tc>
          <w:tcPr>
            <w:tcW w:w="1842" w:type="dxa"/>
            <w:tcBorders>
              <w:bottom w:val="single" w:sz="4" w:space="0" w:color="auto"/>
            </w:tcBorders>
            <w:vAlign w:val="center"/>
          </w:tcPr>
          <w:p w14:paraId="1D796B74" w14:textId="394C0FF5" w:rsidR="00593A35" w:rsidRPr="00593A35" w:rsidRDefault="00593A35" w:rsidP="00B15CC3">
            <w:pPr>
              <w:rPr>
                <w:sz w:val="18"/>
                <w:szCs w:val="18"/>
              </w:rPr>
            </w:pPr>
            <w:r>
              <w:rPr>
                <w:sz w:val="18"/>
                <w:szCs w:val="18"/>
              </w:rPr>
              <w:t>0.7 [-13.2, 14.6]</w:t>
            </w:r>
          </w:p>
        </w:tc>
        <w:tc>
          <w:tcPr>
            <w:tcW w:w="1985" w:type="dxa"/>
            <w:tcBorders>
              <w:bottom w:val="single" w:sz="4" w:space="0" w:color="auto"/>
            </w:tcBorders>
            <w:vAlign w:val="center"/>
          </w:tcPr>
          <w:p w14:paraId="7CF4815E" w14:textId="66DD4263" w:rsidR="00593A35" w:rsidRPr="00593A35" w:rsidRDefault="00472ED0" w:rsidP="00B15CC3">
            <w:pPr>
              <w:rPr>
                <w:sz w:val="18"/>
                <w:szCs w:val="18"/>
              </w:rPr>
            </w:pPr>
            <w:r w:rsidRPr="00472ED0">
              <w:rPr>
                <w:b/>
                <w:bCs/>
                <w:sz w:val="18"/>
                <w:szCs w:val="18"/>
              </w:rPr>
              <w:t>36.2</w:t>
            </w:r>
            <w:r>
              <w:rPr>
                <w:sz w:val="18"/>
                <w:szCs w:val="18"/>
              </w:rPr>
              <w:t xml:space="preserve"> [16.5, 55.9]</w:t>
            </w:r>
          </w:p>
        </w:tc>
        <w:tc>
          <w:tcPr>
            <w:tcW w:w="1559" w:type="dxa"/>
            <w:tcBorders>
              <w:bottom w:val="single" w:sz="4" w:space="0" w:color="auto"/>
            </w:tcBorders>
            <w:vAlign w:val="center"/>
          </w:tcPr>
          <w:p w14:paraId="3C0971B2" w14:textId="3BE9371F" w:rsidR="00593A35" w:rsidRPr="008C78D9" w:rsidRDefault="00593A35" w:rsidP="00B15CC3">
            <w:pPr>
              <w:rPr>
                <w:sz w:val="18"/>
                <w:szCs w:val="18"/>
              </w:rPr>
            </w:pPr>
            <w:r w:rsidRPr="008C78D9">
              <w:rPr>
                <w:sz w:val="18"/>
                <w:szCs w:val="18"/>
              </w:rPr>
              <w:t>0.6 [-5.0, 6.1</w:t>
            </w:r>
          </w:p>
        </w:tc>
        <w:tc>
          <w:tcPr>
            <w:tcW w:w="1843" w:type="dxa"/>
            <w:tcBorders>
              <w:bottom w:val="single" w:sz="4" w:space="0" w:color="auto"/>
            </w:tcBorders>
            <w:vAlign w:val="center"/>
          </w:tcPr>
          <w:p w14:paraId="515B9154" w14:textId="33DB71F2" w:rsidR="00593A35" w:rsidRPr="008C78D9" w:rsidRDefault="00593A35" w:rsidP="00B15CC3">
            <w:pPr>
              <w:rPr>
                <w:sz w:val="18"/>
                <w:szCs w:val="18"/>
              </w:rPr>
            </w:pPr>
            <w:r w:rsidRPr="008C78D9">
              <w:rPr>
                <w:sz w:val="18"/>
                <w:szCs w:val="18"/>
              </w:rPr>
              <w:t>-19.1 [-49.5, 11.2]</w:t>
            </w:r>
          </w:p>
        </w:tc>
        <w:tc>
          <w:tcPr>
            <w:tcW w:w="1984" w:type="dxa"/>
            <w:tcBorders>
              <w:bottom w:val="single" w:sz="4" w:space="0" w:color="auto"/>
            </w:tcBorders>
            <w:vAlign w:val="center"/>
          </w:tcPr>
          <w:p w14:paraId="40E33149" w14:textId="126F0A15" w:rsidR="00593A35" w:rsidRPr="008C78D9" w:rsidRDefault="00593A35" w:rsidP="00B15CC3">
            <w:pPr>
              <w:rPr>
                <w:sz w:val="18"/>
                <w:szCs w:val="18"/>
              </w:rPr>
            </w:pPr>
            <w:r w:rsidRPr="008C78D9">
              <w:rPr>
                <w:sz w:val="18"/>
                <w:szCs w:val="18"/>
              </w:rPr>
              <w:t>7.3 [-79.8, 94.4]</w:t>
            </w:r>
          </w:p>
        </w:tc>
        <w:tc>
          <w:tcPr>
            <w:tcW w:w="1701" w:type="dxa"/>
            <w:tcBorders>
              <w:bottom w:val="single" w:sz="4" w:space="0" w:color="auto"/>
            </w:tcBorders>
            <w:vAlign w:val="center"/>
          </w:tcPr>
          <w:p w14:paraId="66E69B54" w14:textId="51CB5FEA" w:rsidR="00593A35" w:rsidRPr="008C78D9" w:rsidRDefault="00593A35" w:rsidP="00B15CC3">
            <w:pPr>
              <w:rPr>
                <w:sz w:val="18"/>
                <w:szCs w:val="18"/>
              </w:rPr>
            </w:pPr>
            <w:r w:rsidRPr="008C78D9">
              <w:rPr>
                <w:b/>
                <w:bCs/>
                <w:sz w:val="18"/>
                <w:szCs w:val="18"/>
              </w:rPr>
              <w:t>100.5</w:t>
            </w:r>
            <w:r w:rsidRPr="008C78D9">
              <w:rPr>
                <w:sz w:val="18"/>
                <w:szCs w:val="18"/>
              </w:rPr>
              <w:t xml:space="preserve"> [14.9, 189.0]</w:t>
            </w:r>
          </w:p>
        </w:tc>
        <w:tc>
          <w:tcPr>
            <w:tcW w:w="1592" w:type="dxa"/>
            <w:tcBorders>
              <w:bottom w:val="single" w:sz="4" w:space="0" w:color="auto"/>
            </w:tcBorders>
            <w:vAlign w:val="center"/>
          </w:tcPr>
          <w:p w14:paraId="5F070A75" w14:textId="2730F416" w:rsidR="00593A35" w:rsidRPr="008C78D9" w:rsidRDefault="00593A35" w:rsidP="00B15CC3">
            <w:pPr>
              <w:rPr>
                <w:sz w:val="18"/>
                <w:szCs w:val="18"/>
              </w:rPr>
            </w:pPr>
            <w:r w:rsidRPr="008C78D9">
              <w:rPr>
                <w:sz w:val="18"/>
                <w:szCs w:val="18"/>
              </w:rPr>
              <w:t>1.8 [-0.7, 4.4]</w:t>
            </w:r>
          </w:p>
        </w:tc>
      </w:tr>
      <w:tr w:rsidR="00593A35" w:rsidRPr="004675AF" w14:paraId="4BE45114" w14:textId="2C291AE6" w:rsidTr="0095607B">
        <w:tc>
          <w:tcPr>
            <w:tcW w:w="1668" w:type="dxa"/>
            <w:tcBorders>
              <w:top w:val="single" w:sz="4" w:space="0" w:color="auto"/>
              <w:bottom w:val="single" w:sz="4" w:space="0" w:color="auto"/>
            </w:tcBorders>
            <w:vAlign w:val="center"/>
          </w:tcPr>
          <w:p w14:paraId="3E8EAB25" w14:textId="77777777" w:rsidR="00593A35" w:rsidRPr="008C78D9" w:rsidRDefault="00593A35" w:rsidP="00514296">
            <w:pPr>
              <w:rPr>
                <w:sz w:val="18"/>
                <w:szCs w:val="18"/>
              </w:rPr>
            </w:pPr>
            <w:r w:rsidRPr="008C78D9">
              <w:rPr>
                <w:sz w:val="18"/>
                <w:szCs w:val="18"/>
              </w:rPr>
              <w:t>Model components</w:t>
            </w:r>
          </w:p>
        </w:tc>
        <w:tc>
          <w:tcPr>
            <w:tcW w:w="1842" w:type="dxa"/>
            <w:tcBorders>
              <w:top w:val="single" w:sz="4" w:space="0" w:color="auto"/>
              <w:bottom w:val="single" w:sz="4" w:space="0" w:color="auto"/>
            </w:tcBorders>
          </w:tcPr>
          <w:p w14:paraId="0B449D49" w14:textId="57D21D20" w:rsidR="00593A35" w:rsidRPr="00593A35" w:rsidRDefault="00593A35" w:rsidP="00514296">
            <w:pPr>
              <w:rPr>
                <w:sz w:val="18"/>
                <w:szCs w:val="18"/>
              </w:rPr>
            </w:pPr>
            <w:r>
              <w:rPr>
                <w:sz w:val="18"/>
                <w:szCs w:val="18"/>
              </w:rPr>
              <w:t>(1, 1, 1)</w:t>
            </w:r>
          </w:p>
        </w:tc>
        <w:tc>
          <w:tcPr>
            <w:tcW w:w="1985" w:type="dxa"/>
            <w:tcBorders>
              <w:top w:val="single" w:sz="4" w:space="0" w:color="auto"/>
              <w:bottom w:val="single" w:sz="4" w:space="0" w:color="auto"/>
            </w:tcBorders>
          </w:tcPr>
          <w:p w14:paraId="5401BCC2" w14:textId="7679A1FD" w:rsidR="00593A35" w:rsidRPr="00593A35" w:rsidRDefault="00593A35" w:rsidP="00514296">
            <w:pPr>
              <w:rPr>
                <w:sz w:val="18"/>
                <w:szCs w:val="18"/>
              </w:rPr>
            </w:pPr>
            <w:r>
              <w:rPr>
                <w:sz w:val="18"/>
                <w:szCs w:val="18"/>
              </w:rPr>
              <w:t>(1, 2, 8)</w:t>
            </w:r>
          </w:p>
        </w:tc>
        <w:tc>
          <w:tcPr>
            <w:tcW w:w="1559" w:type="dxa"/>
            <w:tcBorders>
              <w:top w:val="single" w:sz="4" w:space="0" w:color="auto"/>
              <w:bottom w:val="single" w:sz="4" w:space="0" w:color="auto"/>
            </w:tcBorders>
          </w:tcPr>
          <w:p w14:paraId="02487B71" w14:textId="4B13DC92" w:rsidR="00593A35" w:rsidRPr="008C78D9" w:rsidRDefault="00593A35" w:rsidP="00514296">
            <w:pPr>
              <w:rPr>
                <w:sz w:val="18"/>
                <w:szCs w:val="18"/>
              </w:rPr>
            </w:pPr>
            <w:r w:rsidRPr="008C78D9">
              <w:rPr>
                <w:sz w:val="18"/>
                <w:szCs w:val="18"/>
              </w:rPr>
              <w:t>(1, 1, 1)</w:t>
            </w:r>
          </w:p>
        </w:tc>
        <w:tc>
          <w:tcPr>
            <w:tcW w:w="1843" w:type="dxa"/>
            <w:tcBorders>
              <w:top w:val="single" w:sz="4" w:space="0" w:color="auto"/>
              <w:bottom w:val="single" w:sz="4" w:space="0" w:color="auto"/>
            </w:tcBorders>
          </w:tcPr>
          <w:p w14:paraId="31B45F17" w14:textId="225ADF0D" w:rsidR="00593A35" w:rsidRPr="008C78D9" w:rsidRDefault="00593A35" w:rsidP="00514296">
            <w:pPr>
              <w:rPr>
                <w:sz w:val="18"/>
                <w:szCs w:val="18"/>
              </w:rPr>
            </w:pPr>
            <w:r w:rsidRPr="008C78D9">
              <w:rPr>
                <w:sz w:val="18"/>
                <w:szCs w:val="18"/>
              </w:rPr>
              <w:t>(4, 5, 0)</w:t>
            </w:r>
          </w:p>
        </w:tc>
        <w:tc>
          <w:tcPr>
            <w:tcW w:w="1984" w:type="dxa"/>
            <w:tcBorders>
              <w:top w:val="single" w:sz="4" w:space="0" w:color="auto"/>
              <w:bottom w:val="single" w:sz="4" w:space="0" w:color="auto"/>
            </w:tcBorders>
          </w:tcPr>
          <w:p w14:paraId="6FB0C24E" w14:textId="6B69B1C4" w:rsidR="00593A35" w:rsidRPr="008C78D9" w:rsidRDefault="00593A35" w:rsidP="00514296">
            <w:pPr>
              <w:rPr>
                <w:sz w:val="18"/>
                <w:szCs w:val="18"/>
              </w:rPr>
            </w:pPr>
            <w:r w:rsidRPr="008C78D9">
              <w:rPr>
                <w:sz w:val="18"/>
                <w:szCs w:val="18"/>
              </w:rPr>
              <w:t>(4, 5, 0)</w:t>
            </w:r>
          </w:p>
        </w:tc>
        <w:tc>
          <w:tcPr>
            <w:tcW w:w="1701" w:type="dxa"/>
            <w:tcBorders>
              <w:top w:val="single" w:sz="4" w:space="0" w:color="auto"/>
              <w:bottom w:val="single" w:sz="4" w:space="0" w:color="auto"/>
            </w:tcBorders>
          </w:tcPr>
          <w:p w14:paraId="6B1B3015" w14:textId="2CD7A855" w:rsidR="00593A35" w:rsidRPr="008C78D9" w:rsidRDefault="00593A35" w:rsidP="00514296">
            <w:pPr>
              <w:rPr>
                <w:sz w:val="18"/>
                <w:szCs w:val="18"/>
              </w:rPr>
            </w:pPr>
            <w:r w:rsidRPr="008C78D9">
              <w:rPr>
                <w:sz w:val="18"/>
                <w:szCs w:val="18"/>
              </w:rPr>
              <w:t>(5, 4, 0)</w:t>
            </w:r>
          </w:p>
        </w:tc>
        <w:tc>
          <w:tcPr>
            <w:tcW w:w="1592" w:type="dxa"/>
            <w:tcBorders>
              <w:top w:val="single" w:sz="4" w:space="0" w:color="auto"/>
              <w:bottom w:val="single" w:sz="4" w:space="0" w:color="auto"/>
            </w:tcBorders>
          </w:tcPr>
          <w:p w14:paraId="3FF9AEB7" w14:textId="07D6B6B2" w:rsidR="00593A35" w:rsidRPr="008C78D9" w:rsidRDefault="00593A35" w:rsidP="00514296">
            <w:pPr>
              <w:rPr>
                <w:sz w:val="18"/>
                <w:szCs w:val="18"/>
              </w:rPr>
            </w:pPr>
            <w:r w:rsidRPr="008C78D9">
              <w:rPr>
                <w:sz w:val="18"/>
                <w:szCs w:val="18"/>
              </w:rPr>
              <w:t>(0, 1, 1)</w:t>
            </w:r>
          </w:p>
        </w:tc>
      </w:tr>
      <w:bookmarkEnd w:id="1"/>
      <w:bookmarkEnd w:id="2"/>
    </w:tbl>
    <w:p w14:paraId="2D920074" w14:textId="3AD86596" w:rsidR="00D0398A" w:rsidRDefault="00D0398A" w:rsidP="00BA56ED">
      <w:pPr>
        <w:rPr>
          <w:i/>
          <w:iCs/>
        </w:rPr>
      </w:pPr>
    </w:p>
    <w:sectPr w:rsidR="00D0398A"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F187" w14:textId="77777777" w:rsidR="00761E7F" w:rsidRDefault="00761E7F" w:rsidP="00BA0654">
      <w:pPr>
        <w:spacing w:after="0" w:line="240" w:lineRule="auto"/>
      </w:pPr>
      <w:r>
        <w:separator/>
      </w:r>
    </w:p>
  </w:endnote>
  <w:endnote w:type="continuationSeparator" w:id="0">
    <w:p w14:paraId="394941A7" w14:textId="77777777" w:rsidR="00761E7F" w:rsidRDefault="00761E7F"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71B61" w14:textId="77777777" w:rsidR="00761E7F" w:rsidRDefault="00761E7F" w:rsidP="00BA0654">
      <w:pPr>
        <w:spacing w:after="0" w:line="240" w:lineRule="auto"/>
      </w:pPr>
      <w:r>
        <w:separator/>
      </w:r>
    </w:p>
  </w:footnote>
  <w:footnote w:type="continuationSeparator" w:id="0">
    <w:p w14:paraId="2658BDC9" w14:textId="77777777" w:rsidR="00761E7F" w:rsidRDefault="00761E7F"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50732"/>
    <w:rsid w:val="0007082B"/>
    <w:rsid w:val="000A68B5"/>
    <w:rsid w:val="000C1175"/>
    <w:rsid w:val="000C33ED"/>
    <w:rsid w:val="000E4671"/>
    <w:rsid w:val="0010584D"/>
    <w:rsid w:val="0010686C"/>
    <w:rsid w:val="0011468F"/>
    <w:rsid w:val="00114C67"/>
    <w:rsid w:val="001154FE"/>
    <w:rsid w:val="0014433D"/>
    <w:rsid w:val="001641C1"/>
    <w:rsid w:val="00176BF5"/>
    <w:rsid w:val="00185A7E"/>
    <w:rsid w:val="001924AD"/>
    <w:rsid w:val="001A410E"/>
    <w:rsid w:val="001C2614"/>
    <w:rsid w:val="001D3935"/>
    <w:rsid w:val="001D4CB5"/>
    <w:rsid w:val="001F1246"/>
    <w:rsid w:val="00207919"/>
    <w:rsid w:val="00225800"/>
    <w:rsid w:val="002369C4"/>
    <w:rsid w:val="0024525D"/>
    <w:rsid w:val="0024709E"/>
    <w:rsid w:val="00265F5B"/>
    <w:rsid w:val="00281E7C"/>
    <w:rsid w:val="002A4380"/>
    <w:rsid w:val="002A78EF"/>
    <w:rsid w:val="002C0BAA"/>
    <w:rsid w:val="002D60F3"/>
    <w:rsid w:val="002E727F"/>
    <w:rsid w:val="002F23A7"/>
    <w:rsid w:val="003072BE"/>
    <w:rsid w:val="00332B61"/>
    <w:rsid w:val="00333DD3"/>
    <w:rsid w:val="00343217"/>
    <w:rsid w:val="00362FF1"/>
    <w:rsid w:val="00364EB7"/>
    <w:rsid w:val="00382C5D"/>
    <w:rsid w:val="00386474"/>
    <w:rsid w:val="003C3385"/>
    <w:rsid w:val="003D57AE"/>
    <w:rsid w:val="0040625E"/>
    <w:rsid w:val="004160CD"/>
    <w:rsid w:val="00465647"/>
    <w:rsid w:val="00465C51"/>
    <w:rsid w:val="004675AF"/>
    <w:rsid w:val="00472ED0"/>
    <w:rsid w:val="0047302D"/>
    <w:rsid w:val="004904E2"/>
    <w:rsid w:val="0049544B"/>
    <w:rsid w:val="004A14EE"/>
    <w:rsid w:val="004A2BA7"/>
    <w:rsid w:val="004B72B5"/>
    <w:rsid w:val="004C6E6E"/>
    <w:rsid w:val="004F1995"/>
    <w:rsid w:val="005060AC"/>
    <w:rsid w:val="005107D9"/>
    <w:rsid w:val="00514296"/>
    <w:rsid w:val="00540645"/>
    <w:rsid w:val="00553175"/>
    <w:rsid w:val="0056217D"/>
    <w:rsid w:val="005629C6"/>
    <w:rsid w:val="00585D32"/>
    <w:rsid w:val="00593A35"/>
    <w:rsid w:val="0059522B"/>
    <w:rsid w:val="005B2DA5"/>
    <w:rsid w:val="005F6FB3"/>
    <w:rsid w:val="006076A0"/>
    <w:rsid w:val="006213A8"/>
    <w:rsid w:val="00627D46"/>
    <w:rsid w:val="00633879"/>
    <w:rsid w:val="00645B5A"/>
    <w:rsid w:val="00660362"/>
    <w:rsid w:val="006702C5"/>
    <w:rsid w:val="00670C06"/>
    <w:rsid w:val="0067178A"/>
    <w:rsid w:val="00671E67"/>
    <w:rsid w:val="0067461D"/>
    <w:rsid w:val="006A741D"/>
    <w:rsid w:val="006B2E5A"/>
    <w:rsid w:val="006B47E2"/>
    <w:rsid w:val="006C3F71"/>
    <w:rsid w:val="006F2495"/>
    <w:rsid w:val="00711869"/>
    <w:rsid w:val="007214B8"/>
    <w:rsid w:val="007406D0"/>
    <w:rsid w:val="00761E7F"/>
    <w:rsid w:val="00763218"/>
    <w:rsid w:val="007768E1"/>
    <w:rsid w:val="007907D6"/>
    <w:rsid w:val="007A702F"/>
    <w:rsid w:val="007C1100"/>
    <w:rsid w:val="008636F6"/>
    <w:rsid w:val="00893E9F"/>
    <w:rsid w:val="008A6291"/>
    <w:rsid w:val="008B2CE6"/>
    <w:rsid w:val="008B3957"/>
    <w:rsid w:val="008C2162"/>
    <w:rsid w:val="008C49C9"/>
    <w:rsid w:val="008C78D9"/>
    <w:rsid w:val="008D342F"/>
    <w:rsid w:val="008F379E"/>
    <w:rsid w:val="00906B7E"/>
    <w:rsid w:val="009235CB"/>
    <w:rsid w:val="00935A52"/>
    <w:rsid w:val="009403F2"/>
    <w:rsid w:val="00946297"/>
    <w:rsid w:val="0095607B"/>
    <w:rsid w:val="009570DE"/>
    <w:rsid w:val="009669C3"/>
    <w:rsid w:val="0097073C"/>
    <w:rsid w:val="00980EE5"/>
    <w:rsid w:val="009A1A73"/>
    <w:rsid w:val="009A3523"/>
    <w:rsid w:val="009B786A"/>
    <w:rsid w:val="009D2E53"/>
    <w:rsid w:val="009E69EE"/>
    <w:rsid w:val="00A1623A"/>
    <w:rsid w:val="00A21481"/>
    <w:rsid w:val="00A34B56"/>
    <w:rsid w:val="00A57E48"/>
    <w:rsid w:val="00A77B60"/>
    <w:rsid w:val="00A90599"/>
    <w:rsid w:val="00A946C1"/>
    <w:rsid w:val="00AB1226"/>
    <w:rsid w:val="00AB69DA"/>
    <w:rsid w:val="00AC2846"/>
    <w:rsid w:val="00AD3BA7"/>
    <w:rsid w:val="00AD7AC7"/>
    <w:rsid w:val="00AE27BE"/>
    <w:rsid w:val="00AF1CC7"/>
    <w:rsid w:val="00B135FA"/>
    <w:rsid w:val="00B14E43"/>
    <w:rsid w:val="00B15CC3"/>
    <w:rsid w:val="00B210BE"/>
    <w:rsid w:val="00B32E43"/>
    <w:rsid w:val="00B6630E"/>
    <w:rsid w:val="00BA0654"/>
    <w:rsid w:val="00BA2FAD"/>
    <w:rsid w:val="00BA307A"/>
    <w:rsid w:val="00BA56ED"/>
    <w:rsid w:val="00BB4456"/>
    <w:rsid w:val="00BC233A"/>
    <w:rsid w:val="00BD0F1E"/>
    <w:rsid w:val="00BE30AA"/>
    <w:rsid w:val="00BF0B59"/>
    <w:rsid w:val="00C11C10"/>
    <w:rsid w:val="00C1485C"/>
    <w:rsid w:val="00C174F0"/>
    <w:rsid w:val="00C23C5B"/>
    <w:rsid w:val="00C257B0"/>
    <w:rsid w:val="00C32A97"/>
    <w:rsid w:val="00C36C12"/>
    <w:rsid w:val="00C54311"/>
    <w:rsid w:val="00C576A7"/>
    <w:rsid w:val="00C82CDF"/>
    <w:rsid w:val="00C90C4C"/>
    <w:rsid w:val="00C9305B"/>
    <w:rsid w:val="00CA1CF2"/>
    <w:rsid w:val="00CB328F"/>
    <w:rsid w:val="00CF4591"/>
    <w:rsid w:val="00D0398A"/>
    <w:rsid w:val="00D21DC4"/>
    <w:rsid w:val="00D2462B"/>
    <w:rsid w:val="00D437D6"/>
    <w:rsid w:val="00D5313A"/>
    <w:rsid w:val="00D564E1"/>
    <w:rsid w:val="00D9492C"/>
    <w:rsid w:val="00DA45E8"/>
    <w:rsid w:val="00DA55B6"/>
    <w:rsid w:val="00DB0B5B"/>
    <w:rsid w:val="00DD13DB"/>
    <w:rsid w:val="00DE22F1"/>
    <w:rsid w:val="00DF6FFF"/>
    <w:rsid w:val="00E15EB6"/>
    <w:rsid w:val="00E20D9F"/>
    <w:rsid w:val="00E24236"/>
    <w:rsid w:val="00E25839"/>
    <w:rsid w:val="00E34132"/>
    <w:rsid w:val="00E53E39"/>
    <w:rsid w:val="00E9544E"/>
    <w:rsid w:val="00EA673B"/>
    <w:rsid w:val="00EA68AA"/>
    <w:rsid w:val="00EC78D7"/>
    <w:rsid w:val="00EE71EC"/>
    <w:rsid w:val="00F00937"/>
    <w:rsid w:val="00F031EC"/>
    <w:rsid w:val="00F04A03"/>
    <w:rsid w:val="00F15B9A"/>
    <w:rsid w:val="00F46100"/>
    <w:rsid w:val="00F64EB6"/>
    <w:rsid w:val="00F71555"/>
    <w:rsid w:val="00FA1B69"/>
    <w:rsid w:val="00FA6F14"/>
    <w:rsid w:val="00FB1F4A"/>
    <w:rsid w:val="00FB41AC"/>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86/s40163-021-00147-8" TargetMode="External"/><Relationship Id="rId21" Type="http://schemas.openxmlformats.org/officeDocument/2006/relationships/image" Target="media/image6.png"/><Relationship Id="rId34" Type="http://schemas.openxmlformats.org/officeDocument/2006/relationships/hyperlink" Target="https://doi.org/10.1080/14616696.2020.1808692" TargetMode="External"/><Relationship Id="rId42" Type="http://schemas.openxmlformats.org/officeDocument/2006/relationships/hyperlink" Target="https://doi.org/10.1177/1527002514554953" TargetMode="External"/><Relationship Id="rId47" Type="http://schemas.openxmlformats.org/officeDocument/2006/relationships/hyperlink" Target="https://doi.org/10.1186/s40163-021-00142-z" TargetMode="External"/><Relationship Id="rId50" Type="http://schemas.openxmlformats.org/officeDocument/2006/relationships/hyperlink" Target="http://doi.org/10.1136/bmj.k2270" TargetMode="External"/><Relationship Id="rId55" Type="http://schemas.openxmlformats.org/officeDocument/2006/relationships/hyperlink" Target="https://www.ofcom.org.uk/__data/assets/pdf_file/0013/220414/online-nation-2021-report.pdf" TargetMode="External"/><Relationship Id="rId63" Type="http://schemas.openxmlformats.org/officeDocument/2006/relationships/hyperlink" Target="http://doi.org/10.1136/jech-2015-20601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datani.gov.uk/dataset/police-recorded-crime-in-northern-ireland" TargetMode="External"/><Relationship Id="rId29" Type="http://schemas.openxmlformats.org/officeDocument/2006/relationships/hyperlink" Target="https://doi.org/10.1080/14616696.2020.1804973" TargetMode="External"/><Relationship Id="rId11" Type="http://schemas.microsoft.com/office/2018/08/relationships/commentsExtensible" Target="commentsExtensible.xml"/><Relationship Id="rId24" Type="http://schemas.openxmlformats.org/officeDocument/2006/relationships/hyperlink" Target="https://doi.org/10.1016/j.jpubeco.2020.104344" TargetMode="External"/><Relationship Id="rId32" Type="http://schemas.openxmlformats.org/officeDocument/2006/relationships/hyperlink" Target="https://doi.org/10.1186/s40163-020-00131-8" TargetMode="External"/><Relationship Id="rId37" Type="http://schemas.openxmlformats.org/officeDocument/2006/relationships/hyperlink" Target="https://doi.org/10.1186/s40163-020-00120-x" TargetMode="External"/><Relationship Id="rId40" Type="http://schemas.openxmlformats.org/officeDocument/2006/relationships/hyperlink" Target="https://doi.org/10.1371/journal.pone.0055581" TargetMode="External"/><Relationship Id="rId45" Type="http://schemas.openxmlformats.org/officeDocument/2006/relationships/hyperlink" Target="https://doi.org/10.1093/geronb/gbaa110" TargetMode="External"/><Relationship Id="rId53" Type="http://schemas.openxmlformats.org/officeDocument/2006/relationships/hyperlink" Target="https://doi.org/10.1080/15614263.2021.1883018" TargetMode="External"/><Relationship Id="rId58" Type="http://schemas.openxmlformats.org/officeDocument/2006/relationships/hyperlink" Target="https://doi.org/10.1093/esr/jcv086" TargetMode="Externa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doi.org/10.1016/j.ajp.2020.102066" TargetMode="External"/><Relationship Id="rId19" Type="http://schemas.openxmlformats.org/officeDocument/2006/relationships/image" Target="media/image4.png"/><Relationship Id="rId14" Type="http://schemas.openxmlformats.org/officeDocument/2006/relationships/hyperlink" Target="https://www.google.com/covid19/mobility/index.html?hl=en" TargetMode="External"/><Relationship Id="rId22" Type="http://schemas.openxmlformats.org/officeDocument/2006/relationships/image" Target="media/image7.png"/><Relationship Id="rId27" Type="http://schemas.openxmlformats.org/officeDocument/2006/relationships/hyperlink" Target="https://doi.org/10.1073/pnas.2006991117" TargetMode="External"/><Relationship Id="rId30" Type="http://schemas.openxmlformats.org/officeDocument/2006/relationships/hyperlink" Target="https://doi.org/10.1108/JFC-02-2021-0042" TargetMode="External"/><Relationship Id="rId35" Type="http://schemas.openxmlformats.org/officeDocument/2006/relationships/hyperlink" Target="https://doi.org/10.1186/s40163-021-00151-y" TargetMode="External"/><Relationship Id="rId43" Type="http://schemas.openxmlformats.org/officeDocument/2006/relationships/hyperlink" Target="https://doi.org/10.1177/10439862211027986" TargetMode="External"/><Relationship Id="rId48" Type="http://schemas.openxmlformats.org/officeDocument/2006/relationships/hyperlink" Target="https://doi.org/10.1016/j.jcrimjus.2021.101830" TargetMode="External"/><Relationship Id="rId56" Type="http://schemas.openxmlformats.org/officeDocument/2006/relationships/hyperlink" Target="https://www.ons.gov.uk/businessindustryandtrade/retailindustry/datasets/retailsales" TargetMode="External"/><Relationship Id="rId64"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doi.org/10.1016/j.jcrimjus.2020.101692"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image" Target="media/image2.png"/><Relationship Id="rId25" Type="http://schemas.openxmlformats.org/officeDocument/2006/relationships/hyperlink" Target="https://doi.org/10.1186/s40163-020-00117-6" TargetMode="External"/><Relationship Id="rId33" Type="http://schemas.openxmlformats.org/officeDocument/2006/relationships/hyperlink" Target="https://doi.org/10.2307/2094589" TargetMode="External"/><Relationship Id="rId38" Type="http://schemas.openxmlformats.org/officeDocument/2006/relationships/hyperlink" Target="https://doi.org/10.1186/s40163-020-00128-3" TargetMode="External"/><Relationship Id="rId46" Type="http://schemas.openxmlformats.org/officeDocument/2006/relationships/hyperlink" Target="https://doi.org/10.1016/j.cose.2021.102248" TargetMode="External"/><Relationship Id="rId59" Type="http://schemas.openxmlformats.org/officeDocument/2006/relationships/hyperlink" Target="https://doi.org/10.1016/j.jcrimjus.2021.101806" TargetMode="External"/><Relationship Id="rId67"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doi.org/10.18637/jss.v027.i03" TargetMode="External"/><Relationship Id="rId54" Type="http://schemas.openxmlformats.org/officeDocument/2006/relationships/hyperlink" Target="https://doi.org/10.1007/978-3-030-78645-8_74" TargetMode="External"/><Relationship Id="rId62" Type="http://schemas.openxmlformats.org/officeDocument/2006/relationships/hyperlink" Target="https://doi.org/10.1016/j.eclinm.2020.10037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sni.police.uk/inside-psni/Statistics/police-recorded-crime-statistics/" TargetMode="External"/><Relationship Id="rId23" Type="http://schemas.openxmlformats.org/officeDocument/2006/relationships/hyperlink" Target="https://doi.org/10.1007/s40615-020-00833-4" TargetMode="External"/><Relationship Id="rId28" Type="http://schemas.openxmlformats.org/officeDocument/2006/relationships/hyperlink" Target="https://doi.org/10.1016/j.drugpo.2020.102870" TargetMode="External"/><Relationship Id="rId36" Type="http://schemas.openxmlformats.org/officeDocument/2006/relationships/hyperlink" Target="https://doi.org/10.1016/j.aap.2020.105670" TargetMode="External"/><Relationship Id="rId49" Type="http://schemas.openxmlformats.org/officeDocument/2006/relationships/hyperlink" Target="https://doi.org/10.1080/00330124.2010.547156" TargetMode="External"/><Relationship Id="rId57" Type="http://schemas.openxmlformats.org/officeDocument/2006/relationships/hyperlink" Target="https://doi.org/10.1186/s40163-020-00136-3" TargetMode="External"/><Relationship Id="rId10" Type="http://schemas.microsoft.com/office/2016/09/relationships/commentsIds" Target="commentsIds.xml"/><Relationship Id="rId31" Type="http://schemas.openxmlformats.org/officeDocument/2006/relationships/hyperlink" Target="https://doi.org/10.1007/s12103-020-09578-6" TargetMode="External"/><Relationship Id="rId44" Type="http://schemas.openxmlformats.org/officeDocument/2006/relationships/hyperlink" Target="https://doi.org/10.1016/j.jcrimjus.2021.101783" TargetMode="External"/><Relationship Id="rId52" Type="http://schemas.openxmlformats.org/officeDocument/2006/relationships/hyperlink" Target="https://doi.org/10.1038/s41562-021-01139-z" TargetMode="External"/><Relationship Id="rId60" Type="http://schemas.openxmlformats.org/officeDocument/2006/relationships/hyperlink" Target="https://www.R-project.org/" TargetMode="External"/><Relationship Id="rId65"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s://doi.org/10.1186/s40163-020-00121-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5315</TotalTime>
  <Pages>19</Pages>
  <Words>7730</Words>
  <Characters>44064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20</cp:revision>
  <dcterms:created xsi:type="dcterms:W3CDTF">2021-06-24T13:28:00Z</dcterms:created>
  <dcterms:modified xsi:type="dcterms:W3CDTF">2021-07-12T17:24:00Z</dcterms:modified>
</cp:coreProperties>
</file>