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1EDB2274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</w:t>
      </w:r>
      <w:r w:rsidR="009A1A73">
        <w:rPr>
          <w:sz w:val="36"/>
          <w:szCs w:val="36"/>
        </w:rPr>
        <w:t>line</w:t>
      </w:r>
      <w:r>
        <w:rPr>
          <w:sz w:val="36"/>
          <w:szCs w:val="36"/>
        </w:rPr>
        <w:t xml:space="preserve"> crime may go back to normal,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>nterrupted time-series analysis during COVID-</w:t>
      </w:r>
      <w:proofErr w:type="gramStart"/>
      <w:r w:rsidRPr="00660362">
        <w:rPr>
          <w:sz w:val="36"/>
          <w:szCs w:val="36"/>
        </w:rPr>
        <w:t>19</w:t>
      </w:r>
      <w:proofErr w:type="gramEnd"/>
    </w:p>
    <w:p w14:paraId="1C2C09C0" w14:textId="25389408" w:rsidR="00AB69DA" w:rsidRDefault="00AB69DA"/>
    <w:p w14:paraId="78F7F7CC" w14:textId="61DB09CA" w:rsidR="00E25839" w:rsidRDefault="00E25839" w:rsidP="009235CB">
      <w:r w:rsidRPr="00E25839">
        <w:t xml:space="preserve">Contributions should be fewer than 5,000 words, not including references, endnotes, </w:t>
      </w:r>
      <w:proofErr w:type="gramStart"/>
      <w:r w:rsidRPr="00E25839">
        <w:t>figures</w:t>
      </w:r>
      <w:proofErr w:type="gramEnd"/>
      <w:r w:rsidRPr="00E25839">
        <w:t xml:space="preserve"> or tables.</w:t>
      </w:r>
    </w:p>
    <w:p w14:paraId="4792A04F" w14:textId="5BDAEE61" w:rsidR="009235CB" w:rsidRDefault="009235CB" w:rsidP="009235CB">
      <w:r>
        <w:t>Ideas</w:t>
      </w:r>
    </w:p>
    <w:p w14:paraId="5F1CD615" w14:textId="77777777" w:rsidR="009235CB" w:rsidRPr="009A1A73" w:rsidRDefault="009235CB" w:rsidP="009235CB"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466583CC" w14:textId="74FEAA97" w:rsidR="00F64EB6" w:rsidRDefault="00E25839">
      <w:r>
        <w:t>The COVID-19 pandemic and the associated stay-at-home orders imposed by national and regional governments to prevent the spread of the virus caused unprecedented changes in the everyday lives of millions worldwide.</w:t>
      </w:r>
      <w:r w:rsidR="00C36C12">
        <w:t xml:space="preserve"> Due to the quick spread and high mortality of the virus (on 24</w:t>
      </w:r>
      <w:r w:rsidR="00C36C12" w:rsidRPr="00C36C12">
        <w:rPr>
          <w:vertAlign w:val="superscript"/>
        </w:rPr>
        <w:t>th</w:t>
      </w:r>
      <w:r w:rsidR="00C36C12">
        <w:t xml:space="preserve"> June 2021, the World Health Organization has recorded more than 179 million cases and almost 4 million deaths), m</w:t>
      </w:r>
      <w:r>
        <w:t xml:space="preserve">any countries </w:t>
      </w:r>
      <w:r w:rsidR="00C36C12">
        <w:t>established and enforced</w:t>
      </w:r>
      <w:r>
        <w:t xml:space="preserve"> lockdown and social distancing measures to control the virus, which</w:t>
      </w:r>
      <w:r w:rsidR="00C36C12">
        <w:t xml:space="preserve"> </w:t>
      </w:r>
      <w:r>
        <w:t xml:space="preserve">had </w:t>
      </w:r>
      <w:r w:rsidR="00C36C12">
        <w:t xml:space="preserve">severe </w:t>
      </w:r>
      <w:r>
        <w:t xml:space="preserve">short- and </w:t>
      </w:r>
      <w:r w:rsidR="00386474">
        <w:t>medium</w:t>
      </w:r>
      <w:r>
        <w:t xml:space="preserve">-term effects </w:t>
      </w:r>
      <w:r w:rsidR="00C36C12">
        <w:t>o</w:t>
      </w:r>
      <w:r>
        <w:t xml:space="preserve">n </w:t>
      </w:r>
      <w:r w:rsidR="00C36C12">
        <w:t>multiple social domains, including</w:t>
      </w:r>
      <w:r w:rsidR="002C0BAA">
        <w:t xml:space="preserve"> </w:t>
      </w:r>
      <w:r w:rsidR="00C36C12">
        <w:t>psychological wellbeing (</w:t>
      </w:r>
      <w:proofErr w:type="spellStart"/>
      <w:r w:rsidR="00AD3BA7">
        <w:t>Krendl</w:t>
      </w:r>
      <w:proofErr w:type="spellEnd"/>
      <w:r w:rsidR="00AD3BA7">
        <w:t xml:space="preserve"> and Perry, 2021; </w:t>
      </w:r>
      <w:r w:rsidR="00AD3BA7" w:rsidRPr="00AD3BA7">
        <w:t>Rajkumar</w:t>
      </w:r>
      <w:r w:rsidR="00AD3BA7">
        <w:t>, 2020</w:t>
      </w:r>
      <w:r w:rsidR="00C36C12">
        <w:t>), inequality (</w:t>
      </w:r>
      <w:r w:rsidR="00AD3BA7">
        <w:t xml:space="preserve">Abedi et al., 2021; </w:t>
      </w:r>
      <w:proofErr w:type="spellStart"/>
      <w:r w:rsidR="00AD3BA7">
        <w:t>Czymara</w:t>
      </w:r>
      <w:proofErr w:type="spellEnd"/>
      <w:r w:rsidR="00AD3BA7">
        <w:t xml:space="preserve"> et al., 2021</w:t>
      </w:r>
      <w:r w:rsidR="00C36C12">
        <w:t xml:space="preserve">), </w:t>
      </w:r>
      <w:r w:rsidR="00386474">
        <w:t>the subsistence of small</w:t>
      </w:r>
      <w:r w:rsidR="00225800">
        <w:t xml:space="preserve"> and medium</w:t>
      </w:r>
      <w:r w:rsidR="00386474">
        <w:t xml:space="preserve"> businesses</w:t>
      </w:r>
      <w:r w:rsidR="00C36C12">
        <w:t xml:space="preserve"> (</w:t>
      </w:r>
      <w:proofErr w:type="spellStart"/>
      <w:r w:rsidR="00FE56D5">
        <w:t>Bartik</w:t>
      </w:r>
      <w:proofErr w:type="spellEnd"/>
      <w:r w:rsidR="00FE56D5">
        <w:t xml:space="preserve"> et al., 2020</w:t>
      </w:r>
      <w:r w:rsidR="00C36C12">
        <w:t xml:space="preserve">) and crime </w:t>
      </w:r>
      <w:r w:rsidR="002C0BAA">
        <w:t xml:space="preserve">rates </w:t>
      </w:r>
      <w:r w:rsidR="00C36C12">
        <w:t>(</w:t>
      </w:r>
      <w:proofErr w:type="spellStart"/>
      <w:r w:rsidR="00FE56D5">
        <w:t>Nivette</w:t>
      </w:r>
      <w:proofErr w:type="spellEnd"/>
      <w:r w:rsidR="00FE56D5">
        <w:t xml:space="preserve"> et al., 2021</w:t>
      </w:r>
      <w:r w:rsidR="00C36C12">
        <w:t>).</w:t>
      </w:r>
    </w:p>
    <w:p w14:paraId="18C855EC" w14:textId="3FBFED30" w:rsidR="00E25839" w:rsidRDefault="00386474">
      <w:r>
        <w:t>Many researchers and public organisations observed</w:t>
      </w:r>
      <w:r w:rsidR="00EA673B">
        <w:t xml:space="preserve"> </w:t>
      </w:r>
      <w:r>
        <w:t>important decrease</w:t>
      </w:r>
      <w:r w:rsidR="004A2BA7">
        <w:t>s</w:t>
      </w:r>
      <w:r>
        <w:t xml:space="preserve"> in</w:t>
      </w:r>
      <w:r w:rsidR="004A2BA7">
        <w:t xml:space="preserve"> some types of</w:t>
      </w:r>
      <w:r>
        <w:t xml:space="preserve"> violent and property crime</w:t>
      </w:r>
      <w:r w:rsidR="00225800">
        <w:t xml:space="preserve"> </w:t>
      </w:r>
      <w:r>
        <w:t>immediately after the first national and regional lockdowns in the United States (</w:t>
      </w:r>
      <w:r w:rsidR="00D437D6">
        <w:t xml:space="preserve">Abrams, 2021; </w:t>
      </w:r>
      <w:r w:rsidR="004A2BA7">
        <w:t xml:space="preserve">Ashby, 2020; </w:t>
      </w:r>
      <w:r w:rsidR="00D437D6">
        <w:t>Mohler et al., 2020</w:t>
      </w:r>
      <w:r>
        <w:t>), the United Kingdom (</w:t>
      </w:r>
      <w:r w:rsidR="004A2BA7">
        <w:t>Halford et al., 2020</w:t>
      </w:r>
      <w:r>
        <w:t>), Australia (</w:t>
      </w:r>
      <w:r w:rsidR="004A2BA7">
        <w:t>Payne et al., 2021</w:t>
      </w:r>
      <w:r>
        <w:t>) and many other countries (</w:t>
      </w:r>
      <w:proofErr w:type="spellStart"/>
      <w:r w:rsidR="004A2BA7">
        <w:t>Nivette</w:t>
      </w:r>
      <w:proofErr w:type="spellEnd"/>
      <w:r w:rsidR="004A2BA7">
        <w:t xml:space="preserve"> et al., 2021</w:t>
      </w:r>
      <w:r>
        <w:t xml:space="preserve">). Simultaneously, others indicated that while street crimes decreased during the first months of the pandemic, other </w:t>
      </w:r>
      <w:r w:rsidR="002C0BAA">
        <w:t>offences</w:t>
      </w:r>
      <w:r>
        <w:t xml:space="preserve"> that occur in physical and digital </w:t>
      </w:r>
      <w:r w:rsidR="002C0BAA">
        <w:t>places</w:t>
      </w:r>
      <w:r>
        <w:t xml:space="preserve"> less affected by </w:t>
      </w:r>
      <w:r w:rsidR="00EA673B">
        <w:t xml:space="preserve">lockdown </w:t>
      </w:r>
      <w:r>
        <w:t>mobility restriction, such as domestic violence (</w:t>
      </w:r>
      <w:r w:rsidR="004A2BA7">
        <w:t>Piquero et al., 2021</w:t>
      </w:r>
      <w:r>
        <w:t xml:space="preserve">), </w:t>
      </w:r>
      <w:r w:rsidR="00EA673B">
        <w:t>cyber-enabled</w:t>
      </w:r>
      <w:r>
        <w:t xml:space="preserve"> fraud (</w:t>
      </w:r>
      <w:r w:rsidR="001C2614">
        <w:t>Kemp et al., 2021</w:t>
      </w:r>
      <w:r>
        <w:t>)</w:t>
      </w:r>
      <w:r w:rsidR="00A57E48">
        <w:t xml:space="preserve">, online hate speech </w:t>
      </w:r>
      <w:r w:rsidR="00A57E48">
        <w:lastRenderedPageBreak/>
        <w:t>(</w:t>
      </w:r>
      <w:proofErr w:type="spellStart"/>
      <w:r w:rsidR="00A57E48" w:rsidRPr="00A57E48">
        <w:t>Stechemesser</w:t>
      </w:r>
      <w:proofErr w:type="spellEnd"/>
      <w:r w:rsidR="00A57E48" w:rsidRPr="00A57E48">
        <w:t xml:space="preserve"> </w:t>
      </w:r>
      <w:r w:rsidR="00A57E48">
        <w:t>et al., 2020)</w:t>
      </w:r>
      <w:r>
        <w:t xml:space="preserve"> and cyber-dependent crime (</w:t>
      </w:r>
      <w:r w:rsidR="001C2614">
        <w:t>Buil-Gil et al., 2020</w:t>
      </w:r>
      <w:r>
        <w:t>)</w:t>
      </w:r>
      <w:r w:rsidR="00225800">
        <w:t>,</w:t>
      </w:r>
      <w:r>
        <w:t xml:space="preserve"> increased.</w:t>
      </w:r>
      <w:r w:rsidR="00EA673B">
        <w:t xml:space="preserve"> After the first months of </w:t>
      </w:r>
      <w:r w:rsidR="00225800">
        <w:t xml:space="preserve">COVID </w:t>
      </w:r>
      <w:r w:rsidR="00EA673B">
        <w:t>pandemic, researchers noted that rates of traditional, offline crime started to bounce back to pre-COVID levels (</w:t>
      </w:r>
      <w:r w:rsidR="001C2614">
        <w:t>Langton et al., 2021</w:t>
      </w:r>
      <w:r w:rsidR="002C0BAA">
        <w:t>; Nix and Richards, 2021</w:t>
      </w:r>
      <w:r w:rsidR="00EA673B">
        <w:t xml:space="preserve">), but there is a lack of research about </w:t>
      </w:r>
      <w:r w:rsidR="00F64EB6">
        <w:t xml:space="preserve">the </w:t>
      </w:r>
      <w:r w:rsidR="00EA673B">
        <w:t>medium-term impact</w:t>
      </w:r>
      <w:r w:rsidR="00F64EB6">
        <w:t>,</w:t>
      </w:r>
      <w:r w:rsidR="00EA673B">
        <w:t xml:space="preserve"> </w:t>
      </w:r>
      <w:r w:rsidR="00F64EB6">
        <w:t xml:space="preserve">and the potential long-term impact, </w:t>
      </w:r>
      <w:r w:rsidR="00EA673B">
        <w:t xml:space="preserve">of stay-at-home order on cybercrime. More importantly, crime research has yet to understand whether the </w:t>
      </w:r>
      <w:r w:rsidR="00225800">
        <w:t xml:space="preserve">peak in cyber-enabled and cyber-dependent crime </w:t>
      </w:r>
      <w:proofErr w:type="spellStart"/>
      <w:r w:rsidR="00225800">
        <w:t>seen</w:t>
      </w:r>
      <w:proofErr w:type="spellEnd"/>
      <w:r w:rsidR="00225800">
        <w:t xml:space="preserve"> immediately after the first lockdown</w:t>
      </w:r>
      <w:r w:rsidR="00F64EB6">
        <w:t xml:space="preserve"> orders</w:t>
      </w:r>
      <w:r w:rsidR="00225800">
        <w:t xml:space="preserve"> returns to pre-COVID levels after the ease of stay-at-home restrictions or remains well above pre-pandemic trends, thus indicating a potential long-term upward trend in cybercrime. This research analyses changes in crime, including both offline and online crime, in Northern Ireland </w:t>
      </w:r>
      <w:r w:rsidR="007406D0">
        <w:t xml:space="preserve">during COVID-19 </w:t>
      </w:r>
      <w:r w:rsidR="00225800">
        <w:t>up until May 2021</w:t>
      </w:r>
      <w:r w:rsidR="007406D0">
        <w:t>, and investigates the short- and medium-term impact of lockdown restrictions on crime</w:t>
      </w:r>
      <w:r w:rsidR="00F64EB6">
        <w:t>.</w:t>
      </w:r>
    </w:p>
    <w:p w14:paraId="34D813FA" w14:textId="523203F2" w:rsidR="00F64EB6" w:rsidRDefault="00A57E48">
      <w:r>
        <w:t xml:space="preserve">The timeline of the COVID-19 pandemic in Northern Ireland </w:t>
      </w:r>
      <w:r w:rsidR="00711869">
        <w:t>was</w:t>
      </w:r>
      <w:r>
        <w:t xml:space="preserve"> </w:t>
      </w:r>
      <w:proofErr w:type="gramStart"/>
      <w:r>
        <w:t>similar to</w:t>
      </w:r>
      <w:proofErr w:type="gramEnd"/>
      <w:r w:rsidR="00711869">
        <w:t xml:space="preserve"> that of</w:t>
      </w:r>
      <w:r>
        <w:t xml:space="preserve"> other parts of </w:t>
      </w:r>
      <w:r w:rsidR="00A34B56">
        <w:t xml:space="preserve">the UK and </w:t>
      </w:r>
      <w:r>
        <w:t>Europe. The first case was detected in</w:t>
      </w:r>
      <w:r w:rsidR="00A34B56">
        <w:t xml:space="preserve"> the town of</w:t>
      </w:r>
      <w:r>
        <w:t xml:space="preserve"> Antrim on February</w:t>
      </w:r>
      <w:r w:rsidR="008D342F">
        <w:t xml:space="preserve"> 27</w:t>
      </w:r>
      <w:r w:rsidR="008D342F" w:rsidRPr="00A57E48">
        <w:rPr>
          <w:vertAlign w:val="superscript"/>
        </w:rPr>
        <w:t>th</w:t>
      </w:r>
      <w:proofErr w:type="gramStart"/>
      <w:r>
        <w:t xml:space="preserve"> 2020</w:t>
      </w:r>
      <w:proofErr w:type="gramEnd"/>
      <w:r>
        <w:t xml:space="preserve">, and the number of cases rose steeply throughout March. </w:t>
      </w:r>
      <w:proofErr w:type="gramStart"/>
      <w:r>
        <w:t>In order to</w:t>
      </w:r>
      <w:proofErr w:type="gramEnd"/>
      <w:r>
        <w:t xml:space="preserve"> control the spread of the virus, the UK Government announced </w:t>
      </w:r>
      <w:r w:rsidR="00A34B56">
        <w:t>the first</w:t>
      </w:r>
      <w:r w:rsidR="008D342F">
        <w:t xml:space="preserve"> COVID</w:t>
      </w:r>
      <w:r>
        <w:t xml:space="preserve"> national lockdown on</w:t>
      </w:r>
      <w:r w:rsidR="008D342F">
        <w:t xml:space="preserve"> </w:t>
      </w:r>
      <w:r>
        <w:t>March</w:t>
      </w:r>
      <w:r w:rsidR="008D342F">
        <w:t xml:space="preserve"> 23</w:t>
      </w:r>
      <w:r w:rsidR="008D342F" w:rsidRPr="00A57E48">
        <w:rPr>
          <w:vertAlign w:val="superscript"/>
        </w:rPr>
        <w:t>rd</w:t>
      </w:r>
      <w:r w:rsidR="008D342F">
        <w:t>,</w:t>
      </w:r>
      <w:r>
        <w:t xml:space="preserve"> which came into force three days later</w:t>
      </w:r>
      <w:r w:rsidR="008D342F">
        <w:t xml:space="preserve"> on March 26</w:t>
      </w:r>
      <w:r w:rsidR="008D342F" w:rsidRPr="008D342F">
        <w:rPr>
          <w:vertAlign w:val="superscript"/>
        </w:rPr>
        <w:t>th</w:t>
      </w:r>
      <w:r>
        <w:t>. A</w:t>
      </w:r>
      <w:r w:rsidR="00711869">
        <w:t>ll</w:t>
      </w:r>
      <w:r>
        <w:t xml:space="preserve"> non-essential social and </w:t>
      </w:r>
      <w:r w:rsidR="00711869">
        <w:t xml:space="preserve">business </w:t>
      </w:r>
      <w:r>
        <w:t>activity</w:t>
      </w:r>
      <w:r w:rsidR="00711869">
        <w:t xml:space="preserve"> </w:t>
      </w:r>
      <w:r w:rsidR="008D342F">
        <w:t xml:space="preserve">was </w:t>
      </w:r>
      <w:r w:rsidR="00711869">
        <w:t xml:space="preserve">restricted for weeks, and non-essential shops, schools and universities, businesses, </w:t>
      </w:r>
      <w:proofErr w:type="gramStart"/>
      <w:r w:rsidR="00711869">
        <w:t>pubs</w:t>
      </w:r>
      <w:proofErr w:type="gramEnd"/>
      <w:r w:rsidR="00711869">
        <w:t xml:space="preserve"> and other venues were closed. The first lockdown was gradually eased during June and July 2020. Due to the steep rise in </w:t>
      </w:r>
      <w:r w:rsidR="008D342F">
        <w:t>COVID</w:t>
      </w:r>
      <w:r w:rsidR="00711869">
        <w:t xml:space="preserve"> infection</w:t>
      </w:r>
      <w:r w:rsidR="008D342F">
        <w:t xml:space="preserve">s </w:t>
      </w:r>
      <w:r w:rsidR="00711869">
        <w:t xml:space="preserve">during </w:t>
      </w:r>
      <w:r w:rsidR="00176BF5">
        <w:t xml:space="preserve">late </w:t>
      </w:r>
      <w:r w:rsidR="00711869">
        <w:t xml:space="preserve">September and </w:t>
      </w:r>
      <w:r w:rsidR="00176BF5">
        <w:t xml:space="preserve">early </w:t>
      </w:r>
      <w:r w:rsidR="00711869">
        <w:t>October</w:t>
      </w:r>
      <w:r w:rsidR="008D342F">
        <w:t xml:space="preserve"> 2020</w:t>
      </w:r>
      <w:r w:rsidR="00711869">
        <w:t>,</w:t>
      </w:r>
      <w:r w:rsidR="008D342F" w:rsidRPr="008D342F">
        <w:t xml:space="preserve"> </w:t>
      </w:r>
      <w:r w:rsidR="008D342F">
        <w:t>the Northern Ireland Government announced</w:t>
      </w:r>
      <w:r w:rsidR="00711869">
        <w:t xml:space="preserve"> </w:t>
      </w:r>
      <w:r w:rsidR="00176BF5">
        <w:t xml:space="preserve">a second lockdown </w:t>
      </w:r>
      <w:r w:rsidR="008D342F">
        <w:t xml:space="preserve">on </w:t>
      </w:r>
      <w:r w:rsidR="00176BF5">
        <w:t>October</w:t>
      </w:r>
      <w:r w:rsidR="008D342F">
        <w:t xml:space="preserve"> 14</w:t>
      </w:r>
      <w:r w:rsidR="008D342F" w:rsidRPr="00176BF5">
        <w:rPr>
          <w:vertAlign w:val="superscript"/>
        </w:rPr>
        <w:t>th</w:t>
      </w:r>
      <w:proofErr w:type="gramStart"/>
      <w:r w:rsidR="008D342F">
        <w:rPr>
          <w:vertAlign w:val="superscript"/>
        </w:rPr>
        <w:t xml:space="preserve"> </w:t>
      </w:r>
      <w:r w:rsidR="008D342F">
        <w:t>2020</w:t>
      </w:r>
      <w:proofErr w:type="gramEnd"/>
      <w:r w:rsidR="00176BF5">
        <w:t xml:space="preserve">, which </w:t>
      </w:r>
      <w:r w:rsidR="008D342F">
        <w:t xml:space="preserve">officially </w:t>
      </w:r>
      <w:r w:rsidR="00176BF5">
        <w:t xml:space="preserve">began on October </w:t>
      </w:r>
      <w:r w:rsidR="008D342F">
        <w:t>16</w:t>
      </w:r>
      <w:r w:rsidR="008D342F" w:rsidRPr="00176BF5">
        <w:rPr>
          <w:vertAlign w:val="superscript"/>
        </w:rPr>
        <w:t>th</w:t>
      </w:r>
      <w:r w:rsidR="008D342F">
        <w:t xml:space="preserve"> </w:t>
      </w:r>
      <w:r w:rsidR="00176BF5">
        <w:t xml:space="preserve">and was mostly lifted by the second week of December. </w:t>
      </w:r>
      <w:r w:rsidR="008D342F">
        <w:t xml:space="preserve">This second lockdown involved the closure of schools, </w:t>
      </w:r>
      <w:proofErr w:type="gramStart"/>
      <w:r w:rsidR="008D342F">
        <w:t>universities</w:t>
      </w:r>
      <w:proofErr w:type="gramEnd"/>
      <w:r w:rsidR="008D342F">
        <w:t xml:space="preserve"> and the hospitality sector, but it was less strict than the first national lockdown and did not involve a stay-at-home order as such.</w:t>
      </w:r>
      <w:r w:rsidR="007406D0">
        <w:t xml:space="preserve"> </w:t>
      </w:r>
      <w:r w:rsidR="00176BF5">
        <w:t xml:space="preserve">A third lockdown was announced on December </w:t>
      </w:r>
      <w:r w:rsidR="007406D0">
        <w:t>17</w:t>
      </w:r>
      <w:r w:rsidR="007406D0" w:rsidRPr="00176BF5">
        <w:rPr>
          <w:vertAlign w:val="superscript"/>
        </w:rPr>
        <w:t>th</w:t>
      </w:r>
      <w:r w:rsidR="007406D0">
        <w:t xml:space="preserve"> </w:t>
      </w:r>
      <w:r w:rsidR="00176BF5">
        <w:t>to begin on December</w:t>
      </w:r>
      <w:r w:rsidR="007406D0">
        <w:t xml:space="preserve"> 26</w:t>
      </w:r>
      <w:r w:rsidR="007406D0" w:rsidRPr="00176BF5">
        <w:rPr>
          <w:vertAlign w:val="superscript"/>
        </w:rPr>
        <w:t>th</w:t>
      </w:r>
      <w:r w:rsidR="00176BF5">
        <w:t xml:space="preserve">, and mobility restrictions were hardened on the </w:t>
      </w:r>
      <w:proofErr w:type="gramStart"/>
      <w:r w:rsidR="00176BF5">
        <w:t>8</w:t>
      </w:r>
      <w:r w:rsidR="00176BF5" w:rsidRPr="00176BF5">
        <w:rPr>
          <w:vertAlign w:val="superscript"/>
        </w:rPr>
        <w:t>th</w:t>
      </w:r>
      <w:proofErr w:type="gramEnd"/>
      <w:r w:rsidR="00176BF5">
        <w:t xml:space="preserve"> January 2021, when a stay-at-home order came into force due to the spread of a new variant of the virus. This last </w:t>
      </w:r>
      <w:r w:rsidR="007406D0">
        <w:t xml:space="preserve">lockdown meant that </w:t>
      </w:r>
      <w:r w:rsidR="007406D0" w:rsidRPr="007406D0">
        <w:t xml:space="preserve">people </w:t>
      </w:r>
      <w:r w:rsidR="007406D0">
        <w:t>were only allowed to</w:t>
      </w:r>
      <w:r w:rsidR="007406D0" w:rsidRPr="007406D0">
        <w:t xml:space="preserve"> leave home for medical </w:t>
      </w:r>
      <w:r w:rsidR="007406D0">
        <w:t xml:space="preserve">reasons, to buy food, exercise and work that cannot be done from home. Stay-at-home orders </w:t>
      </w:r>
      <w:r w:rsidR="00176BF5">
        <w:t>w</w:t>
      </w:r>
      <w:r w:rsidR="007406D0">
        <w:t>ere</w:t>
      </w:r>
      <w:r w:rsidR="00176BF5">
        <w:t xml:space="preserve"> progressively lifted during March and April 2021, following the increase in the </w:t>
      </w:r>
      <w:r w:rsidR="007406D0">
        <w:t>proportions</w:t>
      </w:r>
      <w:r w:rsidR="00176BF5">
        <w:t xml:space="preserve"> of persons vaccinated against COVID.</w:t>
      </w:r>
    </w:p>
    <w:p w14:paraId="233AA1E5" w14:textId="56ADC787" w:rsidR="00E25839" w:rsidRDefault="00E25839"/>
    <w:p w14:paraId="63BFDD75" w14:textId="77777777" w:rsidR="00E25839" w:rsidRDefault="00E25839"/>
    <w:p w14:paraId="7851DE8B" w14:textId="3C407FDB" w:rsidR="0059522B" w:rsidRDefault="0059522B">
      <w:r>
        <w:t xml:space="preserve">Aims of </w:t>
      </w:r>
      <w:proofErr w:type="gramStart"/>
      <w:r>
        <w:t>paper</w:t>
      </w:r>
      <w:proofErr w:type="gramEnd"/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8622FA5" w14:textId="38322383" w:rsidR="007214B8" w:rsidRDefault="007214B8" w:rsidP="009235CB">
      <w:r>
        <w:t>Changes in mobility</w:t>
      </w:r>
    </w:p>
    <w:p w14:paraId="76892F21" w14:textId="24959003" w:rsidR="007214B8" w:rsidRDefault="007214B8" w:rsidP="009235CB">
      <w:r>
        <w:t>Changes in street crime</w:t>
      </w:r>
    </w:p>
    <w:p w14:paraId="18C28255" w14:textId="7B09D236" w:rsidR="007214B8" w:rsidRDefault="007214B8" w:rsidP="009235CB">
      <w:r>
        <w:t>Changes in cyber</w:t>
      </w:r>
    </w:p>
    <w:p w14:paraId="6021DD62" w14:textId="055C12ED" w:rsidR="007214B8" w:rsidRDefault="007214B8" w:rsidP="007214B8">
      <w:pPr>
        <w:ind w:firstLine="720"/>
      </w:pPr>
      <w:r>
        <w:t>Increase in romance fraud suffered by young people in the UK (Buil-Gil and Zeng, 2021)</w:t>
      </w:r>
    </w:p>
    <w:p w14:paraId="42D24A5E" w14:textId="0DFA8DE2" w:rsidR="007214B8" w:rsidRDefault="007214B8" w:rsidP="007214B8">
      <w:pPr>
        <w:ind w:firstLine="720"/>
      </w:pPr>
      <w:r>
        <w:t xml:space="preserve">Reduction in successful deliveries of drugs bought in </w:t>
      </w:r>
      <w:proofErr w:type="spellStart"/>
      <w:r>
        <w:t>cryptomarkets</w:t>
      </w:r>
      <w:proofErr w:type="spellEnd"/>
      <w:r>
        <w:t xml:space="preserve"> (</w:t>
      </w:r>
      <w:r w:rsidRPr="007214B8">
        <w:t>Bergeron</w:t>
      </w:r>
      <w:r>
        <w:t xml:space="preserve"> et al., 2020)</w:t>
      </w:r>
    </w:p>
    <w:p w14:paraId="224DA2BC" w14:textId="2F3943E8" w:rsidR="009235CB" w:rsidRDefault="009235CB" w:rsidP="009235CB">
      <w:pPr>
        <w:pStyle w:val="Heading1"/>
      </w:pPr>
      <w:r>
        <w:lastRenderedPageBreak/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https://www.psni.police.uk/inside-psni/Statistics/police-recorded-crime-statistics/</w:t>
        </w:r>
      </w:hyperlink>
      <w:r>
        <w:t>)</w:t>
      </w:r>
      <w:r w:rsidR="00B32E43">
        <w:t>. Historical crime data can also be downloaded from the online portal of 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59E17770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0B841F93" w14:textId="3FEC0517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</w:t>
      </w:r>
      <w:r w:rsidR="00763218">
        <w:t xml:space="preserve"> in months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380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="002A4380">
        <w:t xml:space="preserve">correspond to </w:t>
      </w:r>
      <w:r>
        <w:t>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 xml:space="preserve">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2A438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A4380">
        <w:t xml:space="preserve"> are </w:t>
      </w:r>
      <w:r>
        <w:t xml:space="preserve">the </w:t>
      </w:r>
      <w:r w:rsidR="00763218">
        <w:t>number of months</w:t>
      </w:r>
      <w:r>
        <w:t xml:space="preserve"> since 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>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3DDDE2CB" w14:textId="1C4B92EF" w:rsidR="00BF0B59" w:rsidRDefault="00763218" w:rsidP="009235CB">
      <w:r>
        <w:t xml:space="preserve">The analysis has been conducted in R software (R Core Team, 2021), and all data and codes are available from a </w:t>
      </w:r>
      <w:proofErr w:type="spellStart"/>
      <w:r>
        <w:t>Github</w:t>
      </w:r>
      <w:proofErr w:type="spellEnd"/>
      <w:r>
        <w:t xml:space="preserve"> repository ()</w:t>
      </w:r>
      <w:r w:rsidR="00EC78D7">
        <w:t>.</w:t>
      </w:r>
    </w:p>
    <w:p w14:paraId="74D68CF6" w14:textId="5E0119A6" w:rsidR="009235CB" w:rsidRDefault="009235CB" w:rsidP="009235CB">
      <w:pPr>
        <w:pStyle w:val="Heading1"/>
      </w:pPr>
      <w:r>
        <w:t>Results</w:t>
      </w:r>
    </w:p>
    <w:p w14:paraId="64844C5D" w14:textId="128FDD20" w:rsidR="00BC233A" w:rsidRDefault="00BC233A" w:rsidP="005629C6"/>
    <w:p w14:paraId="2936443D" w14:textId="5044556C" w:rsidR="002A4380" w:rsidRDefault="002A4380" w:rsidP="005629C6">
      <w:r>
        <w:rPr>
          <w:noProof/>
        </w:rPr>
        <w:drawing>
          <wp:inline distT="0" distB="0" distL="0" distR="0" wp14:anchorId="048B2C06" wp14:editId="610EDF0D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65DD3473" w:rsidR="0007082B" w:rsidRPr="00763218" w:rsidRDefault="000708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1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0A8A6B84" w:rsidR="00BC233A" w:rsidRDefault="00BC233A" w:rsidP="009235CB">
      <w:pPr>
        <w:rPr>
          <w:lang w:val="es-ES"/>
        </w:rPr>
      </w:pPr>
    </w:p>
    <w:p w14:paraId="3934B326" w14:textId="0669D579" w:rsidR="002A4380" w:rsidRDefault="002A4380" w:rsidP="009235CB">
      <w:pPr>
        <w:rPr>
          <w:lang w:val="es-ES"/>
        </w:rPr>
      </w:pPr>
      <w:r>
        <w:rPr>
          <w:noProof/>
        </w:rPr>
        <w:drawing>
          <wp:inline distT="0" distB="0" distL="0" distR="0" wp14:anchorId="6FFF2943" wp14:editId="18D04F99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77E1DDDC" w:rsidR="00333DD3" w:rsidRDefault="00333DD3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violent and sexual crimes</w:t>
      </w:r>
    </w:p>
    <w:p w14:paraId="710EA909" w14:textId="77777777" w:rsidR="00763218" w:rsidRDefault="00763218" w:rsidP="00763218"/>
    <w:p w14:paraId="2F092E3E" w14:textId="5874CC6F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>Table 1.</w:t>
      </w:r>
      <w:r w:rsidRPr="00763218">
        <w:rPr>
          <w:i/>
          <w:iCs/>
        </w:rPr>
        <w:t xml:space="preserve"> Interrupted time series models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2A4380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2A4380" w:rsidRDefault="002A4380" w:rsidP="002A4380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C915094" w:rsidR="002A4380" w:rsidRDefault="002A4380" w:rsidP="002A4380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62461E6A" w:rsidR="002A4380" w:rsidRDefault="001924AD" w:rsidP="002A4380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FF13B84" w:rsidR="002A4380" w:rsidRDefault="001924AD" w:rsidP="002A4380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73543346" w:rsidR="002A4380" w:rsidRDefault="001924AD" w:rsidP="002A4380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2A4380" w14:paraId="7EA56972" w14:textId="77777777" w:rsidTr="006B47E2">
        <w:tc>
          <w:tcPr>
            <w:tcW w:w="1803" w:type="dxa"/>
            <w:vAlign w:val="center"/>
          </w:tcPr>
          <w:p w14:paraId="4E8EB45D" w14:textId="21D52838" w:rsidR="002A4380" w:rsidRDefault="002A4380" w:rsidP="002A4380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026BAB75" w:rsidR="002A4380" w:rsidRDefault="002A4380" w:rsidP="002A4380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4556F066" w:rsidR="002A4380" w:rsidRDefault="001924AD" w:rsidP="002A4380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785468AB" w:rsidR="002A4380" w:rsidRDefault="001924AD" w:rsidP="002A4380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AABDAD6" w:rsidR="002A4380" w:rsidRDefault="001924AD" w:rsidP="002A4380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2A4380" w14:paraId="01950A1F" w14:textId="77777777" w:rsidTr="006B47E2">
        <w:tc>
          <w:tcPr>
            <w:tcW w:w="1803" w:type="dxa"/>
            <w:vAlign w:val="center"/>
          </w:tcPr>
          <w:p w14:paraId="2ACB3CF1" w14:textId="38D6C1CA" w:rsidR="002A4380" w:rsidRDefault="002A4380" w:rsidP="002A4380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403305C3" w:rsidR="002A4380" w:rsidRDefault="002A4380" w:rsidP="002A4380">
            <w:pPr>
              <w:tabs>
                <w:tab w:val="decimal" w:pos="632"/>
              </w:tabs>
            </w:pPr>
            <w:r>
              <w:t>-253.5**</w:t>
            </w:r>
          </w:p>
        </w:tc>
        <w:tc>
          <w:tcPr>
            <w:tcW w:w="1803" w:type="dxa"/>
            <w:vAlign w:val="center"/>
          </w:tcPr>
          <w:p w14:paraId="261ACB48" w14:textId="3309E66E" w:rsidR="002A4380" w:rsidRDefault="001924AD" w:rsidP="002A4380">
            <w:pPr>
              <w:tabs>
                <w:tab w:val="decimal" w:pos="816"/>
              </w:tabs>
            </w:pPr>
            <w:r>
              <w:t>-297.1**</w:t>
            </w:r>
          </w:p>
        </w:tc>
        <w:tc>
          <w:tcPr>
            <w:tcW w:w="1803" w:type="dxa"/>
            <w:vAlign w:val="center"/>
          </w:tcPr>
          <w:p w14:paraId="6CF55AC0" w14:textId="7F7D4CB3" w:rsidR="002A4380" w:rsidRDefault="001924AD" w:rsidP="002A4380">
            <w:pPr>
              <w:tabs>
                <w:tab w:val="decimal" w:pos="708"/>
              </w:tabs>
            </w:pPr>
            <w:r>
              <w:t>-83.7**</w:t>
            </w:r>
          </w:p>
        </w:tc>
        <w:tc>
          <w:tcPr>
            <w:tcW w:w="1804" w:type="dxa"/>
            <w:vAlign w:val="center"/>
          </w:tcPr>
          <w:p w14:paraId="1BA77089" w14:textId="06382211" w:rsidR="002A4380" w:rsidRDefault="001924AD" w:rsidP="002A4380">
            <w:pPr>
              <w:tabs>
                <w:tab w:val="decimal" w:pos="696"/>
              </w:tabs>
            </w:pPr>
            <w:r>
              <w:t>169.3</w:t>
            </w:r>
          </w:p>
        </w:tc>
      </w:tr>
      <w:tr w:rsidR="002A4380" w14:paraId="4C3D6022" w14:textId="77777777" w:rsidTr="006B47E2">
        <w:tc>
          <w:tcPr>
            <w:tcW w:w="1803" w:type="dxa"/>
            <w:vAlign w:val="center"/>
          </w:tcPr>
          <w:p w14:paraId="4DB1EC47" w14:textId="6822D498" w:rsidR="002A4380" w:rsidRDefault="002A4380" w:rsidP="002A4380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266412A6" w:rsidR="002A4380" w:rsidRDefault="002A4380" w:rsidP="002A4380">
            <w:pPr>
              <w:tabs>
                <w:tab w:val="decimal" w:pos="632"/>
              </w:tabs>
            </w:pPr>
            <w:r>
              <w:t>47.7*</w:t>
            </w:r>
          </w:p>
        </w:tc>
        <w:tc>
          <w:tcPr>
            <w:tcW w:w="1803" w:type="dxa"/>
            <w:vAlign w:val="center"/>
          </w:tcPr>
          <w:p w14:paraId="5D9D2AD5" w14:textId="5A4E2887" w:rsidR="002A4380" w:rsidRDefault="001924AD" w:rsidP="002A4380">
            <w:pPr>
              <w:tabs>
                <w:tab w:val="decimal" w:pos="816"/>
              </w:tabs>
            </w:pPr>
            <w:r>
              <w:t>53.4*</w:t>
            </w:r>
          </w:p>
        </w:tc>
        <w:tc>
          <w:tcPr>
            <w:tcW w:w="1803" w:type="dxa"/>
            <w:vAlign w:val="center"/>
          </w:tcPr>
          <w:p w14:paraId="71811E5E" w14:textId="571894C2" w:rsidR="002A4380" w:rsidRDefault="001924AD" w:rsidP="002A4380">
            <w:pPr>
              <w:tabs>
                <w:tab w:val="decimal" w:pos="708"/>
              </w:tabs>
            </w:pPr>
            <w:r>
              <w:t>12.6*</w:t>
            </w:r>
          </w:p>
        </w:tc>
        <w:tc>
          <w:tcPr>
            <w:tcW w:w="1804" w:type="dxa"/>
            <w:vAlign w:val="center"/>
          </w:tcPr>
          <w:p w14:paraId="0176F90F" w14:textId="63CF8332" w:rsidR="002A4380" w:rsidRDefault="001924AD" w:rsidP="002A4380">
            <w:pPr>
              <w:tabs>
                <w:tab w:val="decimal" w:pos="696"/>
              </w:tabs>
            </w:pPr>
            <w:r>
              <w:t>-0.0</w:t>
            </w:r>
          </w:p>
        </w:tc>
      </w:tr>
      <w:tr w:rsidR="002A4380" w14:paraId="521665DB" w14:textId="77777777" w:rsidTr="006B47E2">
        <w:tc>
          <w:tcPr>
            <w:tcW w:w="1803" w:type="dxa"/>
            <w:vAlign w:val="center"/>
          </w:tcPr>
          <w:p w14:paraId="699DCE38" w14:textId="7C9590A7" w:rsidR="002A4380" w:rsidRDefault="002A4380" w:rsidP="002A4380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2DABFE8E" w:rsidR="002A4380" w:rsidRDefault="002A4380" w:rsidP="002A4380">
            <w:pPr>
              <w:tabs>
                <w:tab w:val="decimal" w:pos="632"/>
              </w:tabs>
            </w:pPr>
            <w:r>
              <w:t>-215.5</w:t>
            </w:r>
          </w:p>
        </w:tc>
        <w:tc>
          <w:tcPr>
            <w:tcW w:w="1803" w:type="dxa"/>
            <w:vAlign w:val="center"/>
          </w:tcPr>
          <w:p w14:paraId="3B9FA25B" w14:textId="30A5CE3E" w:rsidR="002A4380" w:rsidRDefault="001924AD" w:rsidP="002A4380">
            <w:pPr>
              <w:tabs>
                <w:tab w:val="decimal" w:pos="816"/>
              </w:tabs>
            </w:pPr>
            <w:r>
              <w:t>-73.0</w:t>
            </w:r>
          </w:p>
        </w:tc>
        <w:tc>
          <w:tcPr>
            <w:tcW w:w="1803" w:type="dxa"/>
            <w:vAlign w:val="center"/>
          </w:tcPr>
          <w:p w14:paraId="76244D14" w14:textId="113F8F0A" w:rsidR="002A4380" w:rsidRDefault="001924AD" w:rsidP="002A4380">
            <w:pPr>
              <w:tabs>
                <w:tab w:val="decimal" w:pos="708"/>
              </w:tabs>
            </w:pPr>
            <w:r>
              <w:t>-56.9</w:t>
            </w:r>
          </w:p>
        </w:tc>
        <w:tc>
          <w:tcPr>
            <w:tcW w:w="1804" w:type="dxa"/>
            <w:vAlign w:val="center"/>
          </w:tcPr>
          <w:p w14:paraId="69ADF82A" w14:textId="26E6DEF9" w:rsidR="002A4380" w:rsidRDefault="001924AD" w:rsidP="002A4380">
            <w:pPr>
              <w:tabs>
                <w:tab w:val="decimal" w:pos="696"/>
              </w:tabs>
            </w:pPr>
            <w:r>
              <w:t>164.3</w:t>
            </w:r>
          </w:p>
        </w:tc>
      </w:tr>
      <w:tr w:rsidR="002A4380" w14:paraId="77B8A3B5" w14:textId="77777777" w:rsidTr="002A4380">
        <w:tc>
          <w:tcPr>
            <w:tcW w:w="1803" w:type="dxa"/>
            <w:vAlign w:val="center"/>
          </w:tcPr>
          <w:p w14:paraId="404E7367" w14:textId="3EF9E91C" w:rsidR="002A4380" w:rsidRDefault="002A4380" w:rsidP="002A4380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1CADFF07" w14:textId="2E3369EA" w:rsidR="002A4380" w:rsidRDefault="002A4380" w:rsidP="002A4380">
            <w:pPr>
              <w:tabs>
                <w:tab w:val="decimal" w:pos="632"/>
              </w:tabs>
            </w:pPr>
            <w:r>
              <w:t>18.6</w:t>
            </w:r>
          </w:p>
        </w:tc>
        <w:tc>
          <w:tcPr>
            <w:tcW w:w="1803" w:type="dxa"/>
            <w:vAlign w:val="center"/>
          </w:tcPr>
          <w:p w14:paraId="5A1D6364" w14:textId="6773A3BA" w:rsidR="002A4380" w:rsidRDefault="001924AD" w:rsidP="002A4380">
            <w:pPr>
              <w:tabs>
                <w:tab w:val="decimal" w:pos="816"/>
              </w:tabs>
            </w:pPr>
            <w:r>
              <w:t>18.5</w:t>
            </w:r>
          </w:p>
        </w:tc>
        <w:tc>
          <w:tcPr>
            <w:tcW w:w="1803" w:type="dxa"/>
            <w:vAlign w:val="center"/>
          </w:tcPr>
          <w:p w14:paraId="347AE7D8" w14:textId="00A56E22" w:rsidR="002A4380" w:rsidRDefault="001924AD" w:rsidP="002A4380">
            <w:pPr>
              <w:tabs>
                <w:tab w:val="decimal" w:pos="708"/>
              </w:tabs>
            </w:pPr>
            <w:r>
              <w:t>1.5</w:t>
            </w:r>
          </w:p>
        </w:tc>
        <w:tc>
          <w:tcPr>
            <w:tcW w:w="1804" w:type="dxa"/>
            <w:vAlign w:val="center"/>
          </w:tcPr>
          <w:p w14:paraId="6A1D0E40" w14:textId="05EC3652" w:rsidR="002A4380" w:rsidRDefault="001924AD" w:rsidP="002A4380">
            <w:pPr>
              <w:tabs>
                <w:tab w:val="decimal" w:pos="696"/>
              </w:tabs>
            </w:pPr>
            <w:r>
              <w:t>-7.3</w:t>
            </w:r>
          </w:p>
        </w:tc>
      </w:tr>
      <w:tr w:rsidR="002A4380" w14:paraId="637C7441" w14:textId="77777777" w:rsidTr="002A4380">
        <w:tc>
          <w:tcPr>
            <w:tcW w:w="1803" w:type="dxa"/>
            <w:vAlign w:val="center"/>
          </w:tcPr>
          <w:p w14:paraId="536C2837" w14:textId="4C95689F" w:rsidR="002A4380" w:rsidRDefault="002A4380" w:rsidP="002A4380">
            <w:r>
              <w:t>Third lockdown</w:t>
            </w:r>
          </w:p>
        </w:tc>
        <w:tc>
          <w:tcPr>
            <w:tcW w:w="1803" w:type="dxa"/>
            <w:vAlign w:val="center"/>
          </w:tcPr>
          <w:p w14:paraId="774FA7C2" w14:textId="66012809" w:rsidR="002A4380" w:rsidRDefault="001924AD" w:rsidP="002A4380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45E3BF41" w14:textId="6EBE84FC" w:rsidR="002A4380" w:rsidRDefault="001924AD" w:rsidP="002A4380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4D2CEB2B" w14:textId="72F49435" w:rsidR="002A4380" w:rsidRDefault="001924AD" w:rsidP="002A4380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4F46A032" w14:textId="3FE0E025" w:rsidR="002A4380" w:rsidRDefault="001924AD" w:rsidP="002A4380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2A4380" w14:paraId="1B3CFB2D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10D58EE" w14:textId="23E5C866" w:rsidR="002A4380" w:rsidRDefault="002A4380" w:rsidP="002A4380">
            <w:r>
              <w:t>Time since third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81950C4" w14:textId="0E8F191B" w:rsidR="002A4380" w:rsidRDefault="001924AD" w:rsidP="002A4380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0E3C52C9" w14:textId="79547187" w:rsidR="002A4380" w:rsidRDefault="001924AD" w:rsidP="002A4380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B40ABDB" w14:textId="0103C939" w:rsidR="002A4380" w:rsidRDefault="001924AD" w:rsidP="002A4380">
            <w:pPr>
              <w:tabs>
                <w:tab w:val="decimal" w:pos="708"/>
              </w:tabs>
            </w:pPr>
            <w:r>
              <w:t>13.13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3B0DCB4C" w14:textId="321BF9C6" w:rsidR="002A4380" w:rsidRDefault="001924AD" w:rsidP="002A4380">
            <w:pPr>
              <w:tabs>
                <w:tab w:val="decimal" w:pos="696"/>
              </w:tabs>
            </w:pPr>
            <w:r>
              <w:t>77.7</w:t>
            </w:r>
            <w:r w:rsidRPr="001924AD">
              <w:rPr>
                <w:vertAlign w:val="superscript"/>
              </w:rPr>
              <w:t>+</w:t>
            </w:r>
          </w:p>
        </w:tc>
      </w:tr>
      <w:tr w:rsidR="002A4380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2A4380" w:rsidRDefault="002A4380" w:rsidP="002A4380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64ADA5C3" w:rsidR="002A4380" w:rsidRDefault="001924AD" w:rsidP="002A4380">
            <w:pPr>
              <w:tabs>
                <w:tab w:val="decimal" w:pos="632"/>
              </w:tabs>
            </w:pPr>
            <w:r>
              <w:t>0.42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0C8AC20D" w:rsidR="002A4380" w:rsidRDefault="001924AD" w:rsidP="002A4380">
            <w:pPr>
              <w:tabs>
                <w:tab w:val="decimal" w:pos="816"/>
              </w:tabs>
            </w:pPr>
            <w:r>
              <w:t>0.24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3313EC3D" w:rsidR="002A4380" w:rsidRDefault="001924AD" w:rsidP="002A4380">
            <w:pPr>
              <w:tabs>
                <w:tab w:val="decimal" w:pos="708"/>
              </w:tabs>
            </w:pPr>
            <w:r>
              <w:t>0.28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2928C5F2" w:rsidR="002A4380" w:rsidRDefault="001924AD" w:rsidP="002A4380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 xml:space="preserve">, </w:t>
      </w:r>
      <w:proofErr w:type="gramStart"/>
      <w:r>
        <w:t>damage</w:t>
      </w:r>
      <w:proofErr w:type="gramEnd"/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4836820A" w:rsidR="00BC233A" w:rsidRDefault="00BC233A" w:rsidP="00F46100"/>
    <w:p w14:paraId="12C8176F" w14:textId="11754BA6" w:rsidR="002A4380" w:rsidRDefault="002A4380" w:rsidP="00F46100">
      <w:r>
        <w:rPr>
          <w:noProof/>
        </w:rPr>
        <w:lastRenderedPageBreak/>
        <w:drawing>
          <wp:inline distT="0" distB="0" distL="0" distR="0" wp14:anchorId="18D53049" wp14:editId="78D2C0AC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4196783" w:rsidR="0059522B" w:rsidRPr="00763218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3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drug crimes, </w:t>
      </w:r>
      <w:proofErr w:type="gramStart"/>
      <w:r w:rsidRPr="00763218">
        <w:rPr>
          <w:i/>
          <w:iCs/>
        </w:rPr>
        <w:t>damage</w:t>
      </w:r>
      <w:proofErr w:type="gramEnd"/>
      <w:r w:rsidRPr="00763218">
        <w:rPr>
          <w:i/>
          <w:iCs/>
        </w:rPr>
        <w:t xml:space="preserve"> and public order</w:t>
      </w:r>
    </w:p>
    <w:p w14:paraId="2C423FA3" w14:textId="77777777" w:rsidR="00763218" w:rsidRDefault="00763218" w:rsidP="00763218"/>
    <w:p w14:paraId="1351A609" w14:textId="51D75B10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 xml:space="preserve">Table </w:t>
      </w:r>
      <w:r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763218">
        <w:rPr>
          <w:i/>
          <w:iCs/>
        </w:rPr>
        <w:t xml:space="preserve"> of drug crimes, </w:t>
      </w:r>
      <w:proofErr w:type="gramStart"/>
      <w:r w:rsidRPr="00763218">
        <w:rPr>
          <w:i/>
          <w:iCs/>
        </w:rPr>
        <w:t>damage</w:t>
      </w:r>
      <w:proofErr w:type="gramEnd"/>
      <w:r w:rsidRPr="00763218">
        <w:rPr>
          <w:i/>
          <w:iCs/>
        </w:rPr>
        <w:t xml:space="preserve">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1924AD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1924AD" w:rsidRDefault="001924AD" w:rsidP="001924AD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212AE245" w:rsidR="001924AD" w:rsidRDefault="001924AD" w:rsidP="001924AD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45012459" w:rsidR="001924AD" w:rsidRDefault="001924AD" w:rsidP="001924AD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4E8BE74C" w:rsidR="001924AD" w:rsidRDefault="001924AD" w:rsidP="001924AD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16D2DCBD" w:rsidR="001924AD" w:rsidRDefault="001924AD" w:rsidP="001924AD">
            <w:pPr>
              <w:tabs>
                <w:tab w:val="decimal" w:pos="792"/>
              </w:tabs>
            </w:pPr>
            <w:r>
              <w:t>1715.9***</w:t>
            </w:r>
          </w:p>
        </w:tc>
      </w:tr>
      <w:tr w:rsidR="001924AD" w14:paraId="0A096E36" w14:textId="77777777" w:rsidTr="006B47E2">
        <w:tc>
          <w:tcPr>
            <w:tcW w:w="1803" w:type="dxa"/>
            <w:vAlign w:val="center"/>
          </w:tcPr>
          <w:p w14:paraId="601D4FCF" w14:textId="77777777" w:rsidR="001924AD" w:rsidRDefault="001924AD" w:rsidP="001924AD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272F4000" w:rsidR="001924AD" w:rsidRDefault="001924AD" w:rsidP="001924AD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57DC4047" w:rsidR="001924AD" w:rsidRDefault="001924AD" w:rsidP="001924AD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5B16D9C5" w:rsidR="001924AD" w:rsidRDefault="001924AD" w:rsidP="001924AD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01747323" w:rsidR="001924AD" w:rsidRDefault="001924AD" w:rsidP="001924AD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1924AD" w14:paraId="284C3B9A" w14:textId="77777777" w:rsidTr="006B47E2">
        <w:tc>
          <w:tcPr>
            <w:tcW w:w="1803" w:type="dxa"/>
            <w:vAlign w:val="center"/>
          </w:tcPr>
          <w:p w14:paraId="26D5D4BA" w14:textId="77777777" w:rsidR="001924AD" w:rsidRDefault="001924AD" w:rsidP="001924AD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F748B20" w:rsidR="001924AD" w:rsidRDefault="001924AD" w:rsidP="001924AD">
            <w:pPr>
              <w:tabs>
                <w:tab w:val="decimal" w:pos="648"/>
              </w:tabs>
            </w:pPr>
            <w:r>
              <w:t>-75.5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08304013" w14:textId="379ABB63" w:rsidR="001924AD" w:rsidRDefault="001924AD" w:rsidP="001924AD">
            <w:pPr>
              <w:tabs>
                <w:tab w:val="decimal" w:pos="660"/>
              </w:tabs>
            </w:pPr>
            <w:r>
              <w:t>-21.0*</w:t>
            </w:r>
          </w:p>
        </w:tc>
        <w:tc>
          <w:tcPr>
            <w:tcW w:w="1803" w:type="dxa"/>
            <w:vAlign w:val="center"/>
          </w:tcPr>
          <w:p w14:paraId="3E16D645" w14:textId="62A85EC3" w:rsidR="001924AD" w:rsidRDefault="001924AD" w:rsidP="001924AD">
            <w:pPr>
              <w:tabs>
                <w:tab w:val="decimal" w:pos="780"/>
              </w:tabs>
            </w:pPr>
            <w:r>
              <w:t>-30.5</w:t>
            </w:r>
          </w:p>
        </w:tc>
        <w:tc>
          <w:tcPr>
            <w:tcW w:w="1804" w:type="dxa"/>
            <w:vAlign w:val="center"/>
          </w:tcPr>
          <w:p w14:paraId="0D26E5D8" w14:textId="5BF2E58E" w:rsidR="001924AD" w:rsidRDefault="001924AD" w:rsidP="001924AD">
            <w:pPr>
              <w:tabs>
                <w:tab w:val="decimal" w:pos="792"/>
              </w:tabs>
            </w:pPr>
            <w:r>
              <w:t>-245.2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1375829E" w14:textId="77777777" w:rsidTr="006B47E2">
        <w:tc>
          <w:tcPr>
            <w:tcW w:w="1803" w:type="dxa"/>
            <w:vAlign w:val="center"/>
          </w:tcPr>
          <w:p w14:paraId="0F975C43" w14:textId="77777777" w:rsidR="001924AD" w:rsidRDefault="001924AD" w:rsidP="001924AD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72889C59" w:rsidR="001924AD" w:rsidRDefault="001924AD" w:rsidP="001924AD">
            <w:pPr>
              <w:tabs>
                <w:tab w:val="decimal" w:pos="648"/>
              </w:tabs>
            </w:pPr>
            <w:r>
              <w:t>4.4</w:t>
            </w:r>
          </w:p>
        </w:tc>
        <w:tc>
          <w:tcPr>
            <w:tcW w:w="1803" w:type="dxa"/>
            <w:vAlign w:val="center"/>
          </w:tcPr>
          <w:p w14:paraId="7636E674" w14:textId="46138567" w:rsidR="001924AD" w:rsidRDefault="001924AD" w:rsidP="001924AD">
            <w:pPr>
              <w:tabs>
                <w:tab w:val="decimal" w:pos="660"/>
              </w:tabs>
            </w:pPr>
            <w:r>
              <w:t>5.1*</w:t>
            </w:r>
          </w:p>
        </w:tc>
        <w:tc>
          <w:tcPr>
            <w:tcW w:w="1803" w:type="dxa"/>
            <w:vAlign w:val="center"/>
          </w:tcPr>
          <w:p w14:paraId="3333E21C" w14:textId="5AA53AAA" w:rsidR="001924AD" w:rsidRDefault="001924AD" w:rsidP="001924AD">
            <w:pPr>
              <w:tabs>
                <w:tab w:val="decimal" w:pos="780"/>
              </w:tabs>
            </w:pPr>
            <w:r>
              <w:t>11.8*</w:t>
            </w:r>
          </w:p>
        </w:tc>
        <w:tc>
          <w:tcPr>
            <w:tcW w:w="1804" w:type="dxa"/>
            <w:vAlign w:val="center"/>
          </w:tcPr>
          <w:p w14:paraId="68760A49" w14:textId="2234BC04" w:rsidR="001924AD" w:rsidRDefault="001924AD" w:rsidP="001924AD">
            <w:pPr>
              <w:tabs>
                <w:tab w:val="decimal" w:pos="792"/>
              </w:tabs>
            </w:pPr>
            <w:r>
              <w:t>66.1*</w:t>
            </w:r>
          </w:p>
        </w:tc>
      </w:tr>
      <w:tr w:rsidR="001924AD" w14:paraId="18BAEC44" w14:textId="77777777" w:rsidTr="006B47E2">
        <w:tc>
          <w:tcPr>
            <w:tcW w:w="1803" w:type="dxa"/>
            <w:vAlign w:val="center"/>
          </w:tcPr>
          <w:p w14:paraId="127AC254" w14:textId="43B5378B" w:rsidR="001924AD" w:rsidRDefault="001924AD" w:rsidP="001924AD">
            <w:r>
              <w:t>Second lockdown</w:t>
            </w:r>
          </w:p>
        </w:tc>
        <w:tc>
          <w:tcPr>
            <w:tcW w:w="1803" w:type="dxa"/>
            <w:vAlign w:val="center"/>
          </w:tcPr>
          <w:p w14:paraId="0A7DBB4E" w14:textId="3E57957B" w:rsidR="001924AD" w:rsidRDefault="001924AD" w:rsidP="001924AD">
            <w:pPr>
              <w:tabs>
                <w:tab w:val="decimal" w:pos="648"/>
              </w:tabs>
            </w:pPr>
            <w:r>
              <w:t>-46.4</w:t>
            </w:r>
          </w:p>
        </w:tc>
        <w:tc>
          <w:tcPr>
            <w:tcW w:w="1803" w:type="dxa"/>
            <w:vAlign w:val="center"/>
          </w:tcPr>
          <w:p w14:paraId="148747F3" w14:textId="75F1A259" w:rsidR="001924AD" w:rsidRDefault="001924AD" w:rsidP="001924AD">
            <w:pPr>
              <w:tabs>
                <w:tab w:val="decimal" w:pos="660"/>
              </w:tabs>
            </w:pPr>
            <w:r>
              <w:t>3.2</w:t>
            </w:r>
          </w:p>
        </w:tc>
        <w:tc>
          <w:tcPr>
            <w:tcW w:w="1803" w:type="dxa"/>
            <w:vAlign w:val="center"/>
          </w:tcPr>
          <w:p w14:paraId="24DFF9FD" w14:textId="6AAD6411" w:rsidR="001924AD" w:rsidRDefault="001924AD" w:rsidP="001924AD">
            <w:pPr>
              <w:tabs>
                <w:tab w:val="decimal" w:pos="780"/>
              </w:tabs>
            </w:pPr>
            <w:r>
              <w:t>37.8</w:t>
            </w:r>
          </w:p>
        </w:tc>
        <w:tc>
          <w:tcPr>
            <w:tcW w:w="1804" w:type="dxa"/>
            <w:vAlign w:val="center"/>
          </w:tcPr>
          <w:p w14:paraId="3F86280A" w14:textId="5FB3AB7D" w:rsidR="001924AD" w:rsidRDefault="001924AD" w:rsidP="001924AD">
            <w:pPr>
              <w:tabs>
                <w:tab w:val="decimal" w:pos="792"/>
              </w:tabs>
            </w:pPr>
            <w:r>
              <w:t>426.3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CB21858" w14:textId="77777777" w:rsidTr="006B47E2">
        <w:tc>
          <w:tcPr>
            <w:tcW w:w="1803" w:type="dxa"/>
            <w:vAlign w:val="center"/>
          </w:tcPr>
          <w:p w14:paraId="38CE7374" w14:textId="1A20B45A" w:rsidR="001924AD" w:rsidRDefault="001924AD" w:rsidP="001924AD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633007FF" w14:textId="79D0192B" w:rsidR="001924AD" w:rsidRDefault="001924AD" w:rsidP="001924AD">
            <w:pPr>
              <w:tabs>
                <w:tab w:val="decimal" w:pos="648"/>
              </w:tabs>
            </w:pPr>
            <w:r>
              <w:t>31.1</w:t>
            </w:r>
          </w:p>
        </w:tc>
        <w:tc>
          <w:tcPr>
            <w:tcW w:w="1803" w:type="dxa"/>
            <w:vAlign w:val="center"/>
          </w:tcPr>
          <w:p w14:paraId="44AFC031" w14:textId="51EE19AE" w:rsidR="001924AD" w:rsidRDefault="001924AD" w:rsidP="001924AD">
            <w:pPr>
              <w:tabs>
                <w:tab w:val="decimal" w:pos="660"/>
              </w:tabs>
            </w:pPr>
            <w:r>
              <w:t>5.3</w:t>
            </w:r>
          </w:p>
        </w:tc>
        <w:tc>
          <w:tcPr>
            <w:tcW w:w="1803" w:type="dxa"/>
            <w:vAlign w:val="center"/>
          </w:tcPr>
          <w:p w14:paraId="256CE9A0" w14:textId="6AB64364" w:rsidR="001924AD" w:rsidRDefault="001924AD" w:rsidP="001924AD">
            <w:pPr>
              <w:tabs>
                <w:tab w:val="decimal" w:pos="780"/>
              </w:tabs>
            </w:pPr>
            <w:r>
              <w:t>-8.4</w:t>
            </w:r>
          </w:p>
        </w:tc>
        <w:tc>
          <w:tcPr>
            <w:tcW w:w="1804" w:type="dxa"/>
            <w:vAlign w:val="center"/>
          </w:tcPr>
          <w:p w14:paraId="5E4B6016" w14:textId="48995B07" w:rsidR="001924AD" w:rsidRDefault="001924AD" w:rsidP="001924AD">
            <w:pPr>
              <w:tabs>
                <w:tab w:val="decimal" w:pos="792"/>
              </w:tabs>
            </w:pPr>
            <w:r>
              <w:t>-181.5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61344B1A" w14:textId="77777777" w:rsidTr="006B47E2">
        <w:tc>
          <w:tcPr>
            <w:tcW w:w="1803" w:type="dxa"/>
            <w:vAlign w:val="center"/>
          </w:tcPr>
          <w:p w14:paraId="1E2090B0" w14:textId="1B235AA9" w:rsidR="001924AD" w:rsidRDefault="001924AD" w:rsidP="001924AD">
            <w:r>
              <w:t>Third lockdown</w:t>
            </w:r>
          </w:p>
        </w:tc>
        <w:tc>
          <w:tcPr>
            <w:tcW w:w="1803" w:type="dxa"/>
            <w:vAlign w:val="center"/>
          </w:tcPr>
          <w:p w14:paraId="625B66A2" w14:textId="19E90389" w:rsidR="001924AD" w:rsidRDefault="001924AD" w:rsidP="001924AD">
            <w:pPr>
              <w:tabs>
                <w:tab w:val="decimal" w:pos="648"/>
              </w:tabs>
            </w:pPr>
            <w:r>
              <w:t>-93.7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365C1109" w:rsidR="001924AD" w:rsidRDefault="001924AD" w:rsidP="001924AD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6DBCF734" w:rsidR="001924AD" w:rsidRDefault="001924AD" w:rsidP="001924AD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6B601477" w:rsidR="001924AD" w:rsidRDefault="001924AD" w:rsidP="001924AD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1924AD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50BE41EF" w:rsidR="001924AD" w:rsidRDefault="001924AD" w:rsidP="001924AD">
            <w:r>
              <w:t>Time since third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13E6E17E" w:rsidR="001924AD" w:rsidRDefault="001924AD" w:rsidP="001924AD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05066489" w:rsidR="001924AD" w:rsidRDefault="001924AD" w:rsidP="001924AD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351F0E2E" w:rsidR="001924AD" w:rsidRDefault="001924AD" w:rsidP="001924AD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704A173D" w:rsidR="001924AD" w:rsidRDefault="001924AD" w:rsidP="001924AD">
            <w:pPr>
              <w:tabs>
                <w:tab w:val="decimal" w:pos="792"/>
              </w:tabs>
            </w:pPr>
            <w:r>
              <w:t>78.8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6AABB0BF" w:rsidR="001924AD" w:rsidRDefault="001924AD" w:rsidP="001924AD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614B7C36" w:rsidR="001924AD" w:rsidRDefault="001924AD" w:rsidP="001924AD">
            <w:pPr>
              <w:tabs>
                <w:tab w:val="decimal" w:pos="660"/>
              </w:tabs>
            </w:pPr>
            <w:r>
              <w:t>0.29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10E5D15" w:rsidR="001924AD" w:rsidRDefault="001924AD" w:rsidP="001924AD">
            <w:pPr>
              <w:tabs>
                <w:tab w:val="decimal" w:pos="780"/>
              </w:tabs>
            </w:pPr>
            <w:r>
              <w:t>0.05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8AFCA4F" w:rsidR="001924AD" w:rsidRDefault="001924AD" w:rsidP="001924AD">
            <w:pPr>
              <w:tabs>
                <w:tab w:val="decimal" w:pos="792"/>
              </w:tabs>
            </w:pPr>
            <w:r>
              <w:t>0.28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33CD1BE" w:rsidR="00BC233A" w:rsidRDefault="00BC233A" w:rsidP="0059522B"/>
    <w:p w14:paraId="025977B7" w14:textId="55B671F6" w:rsidR="002A4380" w:rsidRDefault="002A4380" w:rsidP="0059522B">
      <w:r>
        <w:rPr>
          <w:noProof/>
        </w:rPr>
        <w:lastRenderedPageBreak/>
        <w:drawing>
          <wp:inline distT="0" distB="0" distL="0" distR="0" wp14:anchorId="56410CB0" wp14:editId="5028AB34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7C0EEE23" w:rsidR="0059522B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4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burglary</w:t>
      </w:r>
    </w:p>
    <w:p w14:paraId="63D2C001" w14:textId="7681A0CC" w:rsidR="00763218" w:rsidRDefault="00763218" w:rsidP="00763218"/>
    <w:p w14:paraId="6602B083" w14:textId="74FBB141" w:rsidR="002F23A7" w:rsidRPr="002F23A7" w:rsidRDefault="002F23A7" w:rsidP="00763218">
      <w:pPr>
        <w:rPr>
          <w:i/>
          <w:iCs/>
        </w:rPr>
      </w:pPr>
      <w:r w:rsidRPr="002F23A7">
        <w:rPr>
          <w:b/>
          <w:bCs/>
          <w:i/>
          <w:iCs/>
        </w:rPr>
        <w:t>Table 3.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1924AD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1924AD" w:rsidRDefault="001924AD" w:rsidP="001924AD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32F924FE" w:rsidR="001924AD" w:rsidRDefault="001924AD" w:rsidP="001924AD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092E7866" w:rsidR="001924AD" w:rsidRDefault="0049544B" w:rsidP="001924AD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1924AD" w14:paraId="1FE924D8" w14:textId="77777777" w:rsidTr="006B47E2">
        <w:tc>
          <w:tcPr>
            <w:tcW w:w="2972" w:type="dxa"/>
            <w:vAlign w:val="center"/>
          </w:tcPr>
          <w:p w14:paraId="031A4043" w14:textId="77777777" w:rsidR="001924AD" w:rsidRDefault="001924AD" w:rsidP="001924AD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0DD8948A" w:rsidR="001924AD" w:rsidRDefault="001924AD" w:rsidP="001924AD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7E360B60" w:rsidR="001924AD" w:rsidRDefault="0049544B" w:rsidP="001924AD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1924AD" w14:paraId="468569F1" w14:textId="77777777" w:rsidTr="006B47E2">
        <w:tc>
          <w:tcPr>
            <w:tcW w:w="2972" w:type="dxa"/>
            <w:vAlign w:val="center"/>
          </w:tcPr>
          <w:p w14:paraId="4E3747A9" w14:textId="77777777" w:rsidR="001924AD" w:rsidRDefault="001924AD" w:rsidP="001924AD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1633CAEC" w:rsidR="001924AD" w:rsidRDefault="001924AD" w:rsidP="001924AD">
            <w:pPr>
              <w:tabs>
                <w:tab w:val="decimal" w:pos="1308"/>
              </w:tabs>
            </w:pPr>
            <w:r>
              <w:t>-98.3*</w:t>
            </w:r>
          </w:p>
        </w:tc>
        <w:tc>
          <w:tcPr>
            <w:tcW w:w="3260" w:type="dxa"/>
            <w:vAlign w:val="center"/>
          </w:tcPr>
          <w:p w14:paraId="577924AE" w14:textId="5ED630DC" w:rsidR="001924AD" w:rsidRDefault="0049544B" w:rsidP="001924AD">
            <w:pPr>
              <w:tabs>
                <w:tab w:val="decimal" w:pos="1476"/>
              </w:tabs>
            </w:pPr>
            <w:r>
              <w:t>4.4</w:t>
            </w:r>
          </w:p>
        </w:tc>
      </w:tr>
      <w:tr w:rsidR="001924AD" w14:paraId="6CEBDFDB" w14:textId="77777777" w:rsidTr="006B47E2">
        <w:tc>
          <w:tcPr>
            <w:tcW w:w="2972" w:type="dxa"/>
            <w:vAlign w:val="center"/>
          </w:tcPr>
          <w:p w14:paraId="073E2263" w14:textId="77777777" w:rsidR="001924AD" w:rsidRDefault="001924AD" w:rsidP="001924AD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20D5F53D" w:rsidR="001924AD" w:rsidRDefault="001924AD" w:rsidP="001924AD">
            <w:pPr>
              <w:tabs>
                <w:tab w:val="decimal" w:pos="1308"/>
              </w:tabs>
            </w:pPr>
            <w:r>
              <w:t>2.9</w:t>
            </w:r>
          </w:p>
        </w:tc>
        <w:tc>
          <w:tcPr>
            <w:tcW w:w="3260" w:type="dxa"/>
            <w:vAlign w:val="center"/>
          </w:tcPr>
          <w:p w14:paraId="792BC2A4" w14:textId="0F848F87" w:rsidR="001924AD" w:rsidRDefault="0049544B" w:rsidP="001924AD">
            <w:pPr>
              <w:tabs>
                <w:tab w:val="decimal" w:pos="1476"/>
              </w:tabs>
            </w:pPr>
            <w:r>
              <w:t>-1.8</w:t>
            </w:r>
          </w:p>
        </w:tc>
      </w:tr>
      <w:tr w:rsidR="001924AD" w14:paraId="7FBA3647" w14:textId="77777777" w:rsidTr="006B47E2">
        <w:tc>
          <w:tcPr>
            <w:tcW w:w="2972" w:type="dxa"/>
            <w:vAlign w:val="center"/>
          </w:tcPr>
          <w:p w14:paraId="6569C21D" w14:textId="4980A533" w:rsidR="001924AD" w:rsidRDefault="001924AD" w:rsidP="001924AD">
            <w:r>
              <w:t>Second lockdown</w:t>
            </w:r>
          </w:p>
        </w:tc>
        <w:tc>
          <w:tcPr>
            <w:tcW w:w="2835" w:type="dxa"/>
            <w:vAlign w:val="center"/>
          </w:tcPr>
          <w:p w14:paraId="2548ADBA" w14:textId="09CEBE84" w:rsidR="001924AD" w:rsidRDefault="001924AD" w:rsidP="001924AD">
            <w:pPr>
              <w:tabs>
                <w:tab w:val="decimal" w:pos="1308"/>
              </w:tabs>
            </w:pPr>
            <w:r>
              <w:t>-11.5</w:t>
            </w:r>
          </w:p>
        </w:tc>
        <w:tc>
          <w:tcPr>
            <w:tcW w:w="3260" w:type="dxa"/>
            <w:vAlign w:val="center"/>
          </w:tcPr>
          <w:p w14:paraId="703D6E37" w14:textId="6F6934D1" w:rsidR="001924AD" w:rsidRDefault="0049544B" w:rsidP="001924AD">
            <w:pPr>
              <w:tabs>
                <w:tab w:val="decimal" w:pos="1476"/>
              </w:tabs>
            </w:pPr>
            <w:r>
              <w:t>18.1</w:t>
            </w:r>
          </w:p>
        </w:tc>
      </w:tr>
      <w:tr w:rsidR="001924AD" w14:paraId="4A184371" w14:textId="77777777" w:rsidTr="006B47E2">
        <w:tc>
          <w:tcPr>
            <w:tcW w:w="2972" w:type="dxa"/>
            <w:vAlign w:val="center"/>
          </w:tcPr>
          <w:p w14:paraId="02E21A80" w14:textId="674E6267" w:rsidR="001924AD" w:rsidRDefault="001924AD" w:rsidP="001924AD">
            <w:r>
              <w:t>Time since second lockdown</w:t>
            </w:r>
          </w:p>
        </w:tc>
        <w:tc>
          <w:tcPr>
            <w:tcW w:w="2835" w:type="dxa"/>
            <w:vAlign w:val="center"/>
          </w:tcPr>
          <w:p w14:paraId="371F4CEF" w14:textId="1F564F08" w:rsidR="001924AD" w:rsidRDefault="001924AD" w:rsidP="001924AD">
            <w:pPr>
              <w:tabs>
                <w:tab w:val="decimal" w:pos="1308"/>
              </w:tabs>
            </w:pPr>
            <w:r>
              <w:t>-15.3</w:t>
            </w:r>
          </w:p>
        </w:tc>
        <w:tc>
          <w:tcPr>
            <w:tcW w:w="3260" w:type="dxa"/>
            <w:vAlign w:val="center"/>
          </w:tcPr>
          <w:p w14:paraId="46D73BA7" w14:textId="12382E80" w:rsidR="001924AD" w:rsidRDefault="0049544B" w:rsidP="001924AD">
            <w:pPr>
              <w:tabs>
                <w:tab w:val="decimal" w:pos="1476"/>
              </w:tabs>
            </w:pPr>
            <w:r>
              <w:t>-3.9</w:t>
            </w:r>
          </w:p>
        </w:tc>
      </w:tr>
      <w:tr w:rsidR="001924AD" w14:paraId="4A9CED46" w14:textId="77777777" w:rsidTr="006B47E2">
        <w:tc>
          <w:tcPr>
            <w:tcW w:w="2972" w:type="dxa"/>
            <w:vAlign w:val="center"/>
          </w:tcPr>
          <w:p w14:paraId="2FF7D476" w14:textId="14E58A31" w:rsidR="001924AD" w:rsidRDefault="001924AD" w:rsidP="001924AD">
            <w:r>
              <w:t>Third lockdown</w:t>
            </w:r>
          </w:p>
        </w:tc>
        <w:tc>
          <w:tcPr>
            <w:tcW w:w="2835" w:type="dxa"/>
            <w:vAlign w:val="center"/>
          </w:tcPr>
          <w:p w14:paraId="519E8F1A" w14:textId="7800A399" w:rsidR="001924AD" w:rsidRDefault="0049544B" w:rsidP="001924AD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1CA14D3D" w:rsidR="001924AD" w:rsidRDefault="0049544B" w:rsidP="001924AD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1924AD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6E1560A8" w:rsidR="001924AD" w:rsidRDefault="001924AD" w:rsidP="001924AD">
            <w:r>
              <w:t>Time since third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1ABF8B59" w:rsidR="001924AD" w:rsidRDefault="0049544B" w:rsidP="001924AD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6269EDAC" w:rsidR="001924AD" w:rsidRDefault="0049544B" w:rsidP="001924AD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1924AD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61E69127" w:rsidR="001924AD" w:rsidRDefault="0049544B" w:rsidP="001924AD">
            <w:pPr>
              <w:tabs>
                <w:tab w:val="decimal" w:pos="1308"/>
              </w:tabs>
            </w:pPr>
            <w:r>
              <w:t>0.62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7B4AA625" w:rsidR="001924AD" w:rsidRDefault="0049544B" w:rsidP="001924AD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36097328" w:rsidR="00BC233A" w:rsidRDefault="00BC233A" w:rsidP="00F46100"/>
    <w:p w14:paraId="39FFA341" w14:textId="6B6FB96E" w:rsidR="002A4380" w:rsidRDefault="002A4380" w:rsidP="00F46100">
      <w:r>
        <w:rPr>
          <w:noProof/>
        </w:rPr>
        <w:lastRenderedPageBreak/>
        <w:drawing>
          <wp:inline distT="0" distB="0" distL="0" distR="0" wp14:anchorId="79468138" wp14:editId="603D9852">
            <wp:extent cx="5731510" cy="3779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37D51BBD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5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theft and robbery</w:t>
      </w:r>
    </w:p>
    <w:p w14:paraId="07813AA1" w14:textId="77777777" w:rsidR="002F23A7" w:rsidRDefault="002F23A7" w:rsidP="002F23A7"/>
    <w:p w14:paraId="0C5A8A97" w14:textId="5C9669FB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4.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1418"/>
        <w:gridCol w:w="1275"/>
        <w:gridCol w:w="993"/>
        <w:gridCol w:w="1219"/>
      </w:tblGrid>
      <w:tr w:rsidR="00DB0B5B" w14:paraId="21DF0DB1" w14:textId="5488D3DC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2FB022CB" w:rsidR="00DB0B5B" w:rsidRDefault="00DB0B5B" w:rsidP="00343217">
            <w:pPr>
              <w:jc w:val="center"/>
            </w:pPr>
            <w:r>
              <w:t>Theft of/</w:t>
            </w:r>
            <w:r w:rsidR="0049544B">
              <w:t xml:space="preserve"> </w:t>
            </w:r>
            <w:r>
              <w:t>from vehicle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49544B" w14:paraId="5492F8B6" w14:textId="19A4B005" w:rsidTr="0049544B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51CF508" w14:textId="77777777" w:rsidR="0049544B" w:rsidRDefault="0049544B" w:rsidP="0049544B">
            <w:r>
              <w:t>(Intercept)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2F0E117" w14:textId="418CE0E3" w:rsidR="0049544B" w:rsidRDefault="0049544B" w:rsidP="0049544B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F7F723" w14:textId="0F47E4D6" w:rsidR="0049544B" w:rsidRDefault="0049544B" w:rsidP="0049544B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2CFA76FE" w:rsidR="0049544B" w:rsidRDefault="0049544B" w:rsidP="0049544B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261FF7C" w14:textId="7C20AD2D" w:rsidR="0049544B" w:rsidRDefault="0049544B" w:rsidP="0049544B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12A61BF" w14:textId="542C0F06" w:rsidR="0049544B" w:rsidRDefault="0049544B" w:rsidP="0049544B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5E017B58" w14:textId="27EC3630" w:rsidR="0049544B" w:rsidRDefault="0049544B" w:rsidP="0049544B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49544B" w14:paraId="106DE364" w14:textId="79E5BC67" w:rsidTr="0049544B">
        <w:tc>
          <w:tcPr>
            <w:tcW w:w="1701" w:type="dxa"/>
            <w:vAlign w:val="center"/>
          </w:tcPr>
          <w:p w14:paraId="255C2E98" w14:textId="77777777" w:rsidR="0049544B" w:rsidRDefault="0049544B" w:rsidP="0049544B">
            <w:r>
              <w:t>Time</w:t>
            </w:r>
          </w:p>
        </w:tc>
        <w:tc>
          <w:tcPr>
            <w:tcW w:w="1276" w:type="dxa"/>
            <w:vAlign w:val="center"/>
          </w:tcPr>
          <w:p w14:paraId="5C7433D7" w14:textId="1206DFD3" w:rsidR="0049544B" w:rsidRDefault="0049544B" w:rsidP="0049544B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134" w:type="dxa"/>
            <w:vAlign w:val="center"/>
          </w:tcPr>
          <w:p w14:paraId="70F5A8E7" w14:textId="644E8A39" w:rsidR="0049544B" w:rsidRDefault="0049544B" w:rsidP="0049544B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5B6AE86A" w:rsidR="0049544B" w:rsidRDefault="0049544B" w:rsidP="0049544B">
            <w:pPr>
              <w:tabs>
                <w:tab w:val="decimal" w:pos="564"/>
              </w:tabs>
            </w:pPr>
            <w:r>
              <w:t>-2.7***</w:t>
            </w:r>
          </w:p>
        </w:tc>
        <w:tc>
          <w:tcPr>
            <w:tcW w:w="1275" w:type="dxa"/>
            <w:vAlign w:val="center"/>
          </w:tcPr>
          <w:p w14:paraId="6FB867AA" w14:textId="73996393" w:rsidR="0049544B" w:rsidRDefault="0049544B" w:rsidP="0049544B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993" w:type="dxa"/>
            <w:vAlign w:val="center"/>
          </w:tcPr>
          <w:p w14:paraId="407EC918" w14:textId="5D93090E" w:rsidR="0049544B" w:rsidRDefault="0049544B" w:rsidP="0049544B">
            <w:pPr>
              <w:tabs>
                <w:tab w:val="decimal" w:pos="444"/>
              </w:tabs>
            </w:pPr>
            <w:r>
              <w:t>-0.1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219" w:type="dxa"/>
            <w:vAlign w:val="center"/>
          </w:tcPr>
          <w:p w14:paraId="7D79A8A9" w14:textId="415CDCE7" w:rsidR="0049544B" w:rsidRDefault="0049544B" w:rsidP="0049544B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49544B" w14:paraId="72C370BA" w14:textId="3F48554E" w:rsidTr="0049544B">
        <w:tc>
          <w:tcPr>
            <w:tcW w:w="1701" w:type="dxa"/>
            <w:vAlign w:val="center"/>
          </w:tcPr>
          <w:p w14:paraId="62B925E7" w14:textId="77777777" w:rsidR="0049544B" w:rsidRDefault="0049544B" w:rsidP="0049544B">
            <w:r>
              <w:t>First lockdown</w:t>
            </w:r>
          </w:p>
        </w:tc>
        <w:tc>
          <w:tcPr>
            <w:tcW w:w="1276" w:type="dxa"/>
            <w:vAlign w:val="center"/>
          </w:tcPr>
          <w:p w14:paraId="73F0000F" w14:textId="26330B40" w:rsidR="0049544B" w:rsidRDefault="0049544B" w:rsidP="0049544B">
            <w:pPr>
              <w:tabs>
                <w:tab w:val="decimal" w:pos="528"/>
              </w:tabs>
            </w:pPr>
            <w:r>
              <w:t>-20.0*</w:t>
            </w:r>
          </w:p>
        </w:tc>
        <w:tc>
          <w:tcPr>
            <w:tcW w:w="1134" w:type="dxa"/>
            <w:vAlign w:val="center"/>
          </w:tcPr>
          <w:p w14:paraId="593F23ED" w14:textId="5748EE64" w:rsidR="0049544B" w:rsidRDefault="0049544B" w:rsidP="0049544B">
            <w:pPr>
              <w:tabs>
                <w:tab w:val="decimal" w:pos="492"/>
              </w:tabs>
            </w:pPr>
            <w:r>
              <w:t>-12.5</w:t>
            </w:r>
          </w:p>
        </w:tc>
        <w:tc>
          <w:tcPr>
            <w:tcW w:w="1418" w:type="dxa"/>
            <w:vAlign w:val="center"/>
          </w:tcPr>
          <w:p w14:paraId="66522B43" w14:textId="74B30C11" w:rsidR="0049544B" w:rsidRDefault="0049544B" w:rsidP="0049544B">
            <w:pPr>
              <w:tabs>
                <w:tab w:val="decimal" w:pos="564"/>
              </w:tabs>
            </w:pPr>
            <w:r>
              <w:t>-30.9</w:t>
            </w:r>
          </w:p>
        </w:tc>
        <w:tc>
          <w:tcPr>
            <w:tcW w:w="1275" w:type="dxa"/>
            <w:vAlign w:val="center"/>
          </w:tcPr>
          <w:p w14:paraId="7952A651" w14:textId="1821B6B0" w:rsidR="0049544B" w:rsidRDefault="0049544B" w:rsidP="0049544B">
            <w:pPr>
              <w:tabs>
                <w:tab w:val="decimal" w:pos="468"/>
              </w:tabs>
            </w:pPr>
            <w:r>
              <w:t>-263.6***</w:t>
            </w:r>
          </w:p>
        </w:tc>
        <w:tc>
          <w:tcPr>
            <w:tcW w:w="993" w:type="dxa"/>
            <w:vAlign w:val="center"/>
          </w:tcPr>
          <w:p w14:paraId="131E5B79" w14:textId="35D4822A" w:rsidR="0049544B" w:rsidRDefault="0049544B" w:rsidP="0049544B">
            <w:pPr>
              <w:tabs>
                <w:tab w:val="decimal" w:pos="444"/>
              </w:tabs>
            </w:pPr>
            <w:r>
              <w:t>-19.4*</w:t>
            </w:r>
          </w:p>
        </w:tc>
        <w:tc>
          <w:tcPr>
            <w:tcW w:w="1219" w:type="dxa"/>
            <w:vAlign w:val="center"/>
          </w:tcPr>
          <w:p w14:paraId="54FD5931" w14:textId="04504892" w:rsidR="0049544B" w:rsidRDefault="0049544B" w:rsidP="0049544B">
            <w:pPr>
              <w:tabs>
                <w:tab w:val="decimal" w:pos="372"/>
              </w:tabs>
            </w:pPr>
            <w:r>
              <w:t>-333.9***</w:t>
            </w:r>
          </w:p>
        </w:tc>
      </w:tr>
      <w:tr w:rsidR="0049544B" w14:paraId="687BDD2B" w14:textId="16538E10" w:rsidTr="0049544B">
        <w:tc>
          <w:tcPr>
            <w:tcW w:w="1701" w:type="dxa"/>
            <w:vAlign w:val="center"/>
          </w:tcPr>
          <w:p w14:paraId="4EC880C9" w14:textId="77777777" w:rsidR="0049544B" w:rsidRDefault="0049544B" w:rsidP="0049544B">
            <w:r>
              <w:t>Time since first lockdown</w:t>
            </w:r>
          </w:p>
        </w:tc>
        <w:tc>
          <w:tcPr>
            <w:tcW w:w="1276" w:type="dxa"/>
            <w:vAlign w:val="center"/>
          </w:tcPr>
          <w:p w14:paraId="7D018A8A" w14:textId="0EA1B635" w:rsidR="0049544B" w:rsidRDefault="0049544B" w:rsidP="0049544B">
            <w:pPr>
              <w:tabs>
                <w:tab w:val="decimal" w:pos="528"/>
              </w:tabs>
            </w:pPr>
            <w:r>
              <w:t>0.0</w:t>
            </w:r>
          </w:p>
        </w:tc>
        <w:tc>
          <w:tcPr>
            <w:tcW w:w="1134" w:type="dxa"/>
            <w:vAlign w:val="center"/>
          </w:tcPr>
          <w:p w14:paraId="3F2CC313" w14:textId="7D150760" w:rsidR="0049544B" w:rsidRDefault="0049544B" w:rsidP="0049544B">
            <w:pPr>
              <w:tabs>
                <w:tab w:val="decimal" w:pos="492"/>
              </w:tabs>
            </w:pPr>
            <w:r>
              <w:t>3.0</w:t>
            </w:r>
          </w:p>
        </w:tc>
        <w:tc>
          <w:tcPr>
            <w:tcW w:w="1418" w:type="dxa"/>
            <w:vAlign w:val="center"/>
          </w:tcPr>
          <w:p w14:paraId="33447BF5" w14:textId="13EA68CB" w:rsidR="0049544B" w:rsidRDefault="0049544B" w:rsidP="0049544B">
            <w:pPr>
              <w:tabs>
                <w:tab w:val="decimal" w:pos="564"/>
              </w:tabs>
            </w:pPr>
            <w:r>
              <w:t>-1.3</w:t>
            </w:r>
          </w:p>
        </w:tc>
        <w:tc>
          <w:tcPr>
            <w:tcW w:w="1275" w:type="dxa"/>
            <w:vAlign w:val="center"/>
          </w:tcPr>
          <w:p w14:paraId="6554277D" w14:textId="764D308F" w:rsidR="0049544B" w:rsidRDefault="0049544B" w:rsidP="0049544B">
            <w:pPr>
              <w:tabs>
                <w:tab w:val="decimal" w:pos="468"/>
              </w:tabs>
            </w:pPr>
            <w:r>
              <w:t>26.1*</w:t>
            </w:r>
          </w:p>
        </w:tc>
        <w:tc>
          <w:tcPr>
            <w:tcW w:w="993" w:type="dxa"/>
            <w:vAlign w:val="center"/>
          </w:tcPr>
          <w:p w14:paraId="5B85B5E4" w14:textId="702B9789" w:rsidR="0049544B" w:rsidRDefault="0049544B" w:rsidP="0049544B">
            <w:pPr>
              <w:tabs>
                <w:tab w:val="decimal" w:pos="444"/>
              </w:tabs>
            </w:pPr>
            <w:r>
              <w:t>2.0</w:t>
            </w:r>
          </w:p>
        </w:tc>
        <w:tc>
          <w:tcPr>
            <w:tcW w:w="1219" w:type="dxa"/>
            <w:vAlign w:val="center"/>
          </w:tcPr>
          <w:p w14:paraId="1E7DA673" w14:textId="73A42900" w:rsidR="0049544B" w:rsidRDefault="0049544B" w:rsidP="0049544B">
            <w:pPr>
              <w:tabs>
                <w:tab w:val="decimal" w:pos="372"/>
              </w:tabs>
            </w:pPr>
            <w:r>
              <w:t>10.3</w:t>
            </w:r>
          </w:p>
        </w:tc>
      </w:tr>
      <w:tr w:rsidR="0049544B" w14:paraId="65F89A0F" w14:textId="55674AD0" w:rsidTr="0049544B">
        <w:tc>
          <w:tcPr>
            <w:tcW w:w="1701" w:type="dxa"/>
            <w:vAlign w:val="center"/>
          </w:tcPr>
          <w:p w14:paraId="72E0B700" w14:textId="77777777" w:rsidR="0049544B" w:rsidRDefault="0049544B" w:rsidP="0049544B">
            <w:r>
              <w:t>Second lockdown</w:t>
            </w:r>
          </w:p>
        </w:tc>
        <w:tc>
          <w:tcPr>
            <w:tcW w:w="1276" w:type="dxa"/>
            <w:vAlign w:val="center"/>
          </w:tcPr>
          <w:p w14:paraId="31D968EC" w14:textId="2340C2FB" w:rsidR="0049544B" w:rsidRDefault="0049544B" w:rsidP="0049544B">
            <w:pPr>
              <w:tabs>
                <w:tab w:val="decimal" w:pos="528"/>
              </w:tabs>
            </w:pPr>
            <w:r>
              <w:t>-33.9*</w:t>
            </w:r>
          </w:p>
        </w:tc>
        <w:tc>
          <w:tcPr>
            <w:tcW w:w="1134" w:type="dxa"/>
            <w:vAlign w:val="center"/>
          </w:tcPr>
          <w:p w14:paraId="7C9AEB31" w14:textId="00D69AD0" w:rsidR="0049544B" w:rsidRDefault="0049544B" w:rsidP="0049544B">
            <w:pPr>
              <w:tabs>
                <w:tab w:val="decimal" w:pos="492"/>
              </w:tabs>
            </w:pPr>
            <w:r>
              <w:t>33.5</w:t>
            </w:r>
          </w:p>
        </w:tc>
        <w:tc>
          <w:tcPr>
            <w:tcW w:w="1418" w:type="dxa"/>
            <w:vAlign w:val="center"/>
          </w:tcPr>
          <w:p w14:paraId="5E3D9F40" w14:textId="0DF3784E" w:rsidR="0049544B" w:rsidRDefault="0049544B" w:rsidP="0049544B">
            <w:pPr>
              <w:tabs>
                <w:tab w:val="decimal" w:pos="564"/>
              </w:tabs>
            </w:pPr>
            <w:r>
              <w:t>22.1</w:t>
            </w:r>
          </w:p>
        </w:tc>
        <w:tc>
          <w:tcPr>
            <w:tcW w:w="1275" w:type="dxa"/>
            <w:vAlign w:val="center"/>
          </w:tcPr>
          <w:p w14:paraId="7D133C2E" w14:textId="320C0C3F" w:rsidR="0049544B" w:rsidRDefault="0049544B" w:rsidP="0049544B">
            <w:pPr>
              <w:tabs>
                <w:tab w:val="decimal" w:pos="468"/>
              </w:tabs>
            </w:pPr>
            <w:r>
              <w:t>71.7</w:t>
            </w:r>
          </w:p>
        </w:tc>
        <w:tc>
          <w:tcPr>
            <w:tcW w:w="993" w:type="dxa"/>
            <w:vAlign w:val="center"/>
          </w:tcPr>
          <w:p w14:paraId="13244629" w14:textId="77BD3CB8" w:rsidR="0049544B" w:rsidRDefault="0049544B" w:rsidP="0049544B">
            <w:pPr>
              <w:tabs>
                <w:tab w:val="decimal" w:pos="444"/>
              </w:tabs>
            </w:pPr>
            <w:r>
              <w:t>-14.5</w:t>
            </w:r>
          </w:p>
        </w:tc>
        <w:tc>
          <w:tcPr>
            <w:tcW w:w="1219" w:type="dxa"/>
            <w:vAlign w:val="center"/>
          </w:tcPr>
          <w:p w14:paraId="76AE00E0" w14:textId="58206EA9" w:rsidR="0049544B" w:rsidRDefault="0049544B" w:rsidP="0049544B">
            <w:pPr>
              <w:tabs>
                <w:tab w:val="decimal" w:pos="372"/>
              </w:tabs>
            </w:pPr>
            <w:r>
              <w:t>-245.0</w:t>
            </w:r>
            <w:r w:rsidR="00A34B56">
              <w:t>*</w:t>
            </w:r>
          </w:p>
        </w:tc>
      </w:tr>
      <w:tr w:rsidR="0049544B" w14:paraId="52631650" w14:textId="77777777" w:rsidTr="0049544B">
        <w:tc>
          <w:tcPr>
            <w:tcW w:w="1701" w:type="dxa"/>
            <w:vAlign w:val="center"/>
          </w:tcPr>
          <w:p w14:paraId="6F9117ED" w14:textId="7104CF48" w:rsidR="0049544B" w:rsidRDefault="0049544B" w:rsidP="0049544B">
            <w:r>
              <w:t>Time since second lockdown</w:t>
            </w:r>
          </w:p>
        </w:tc>
        <w:tc>
          <w:tcPr>
            <w:tcW w:w="1276" w:type="dxa"/>
            <w:vAlign w:val="center"/>
          </w:tcPr>
          <w:p w14:paraId="2C4FD749" w14:textId="60927C1C" w:rsidR="0049544B" w:rsidRDefault="0049544B" w:rsidP="0049544B">
            <w:pPr>
              <w:tabs>
                <w:tab w:val="decimal" w:pos="528"/>
              </w:tabs>
            </w:pPr>
            <w:r>
              <w:t>7.5</w:t>
            </w:r>
          </w:p>
        </w:tc>
        <w:tc>
          <w:tcPr>
            <w:tcW w:w="1134" w:type="dxa"/>
            <w:vAlign w:val="center"/>
          </w:tcPr>
          <w:p w14:paraId="0E02CC7C" w14:textId="6CA1DCFA" w:rsidR="0049544B" w:rsidRDefault="0049544B" w:rsidP="0049544B">
            <w:pPr>
              <w:tabs>
                <w:tab w:val="decimal" w:pos="492"/>
              </w:tabs>
            </w:pPr>
            <w:r>
              <w:t>-26.1</w:t>
            </w:r>
          </w:p>
        </w:tc>
        <w:tc>
          <w:tcPr>
            <w:tcW w:w="1418" w:type="dxa"/>
            <w:vAlign w:val="center"/>
          </w:tcPr>
          <w:p w14:paraId="1C6B7708" w14:textId="4BF30EA3" w:rsidR="0049544B" w:rsidRDefault="0049544B" w:rsidP="0049544B">
            <w:pPr>
              <w:tabs>
                <w:tab w:val="decimal" w:pos="564"/>
              </w:tabs>
            </w:pPr>
            <w:r>
              <w:t>-13.7</w:t>
            </w:r>
          </w:p>
        </w:tc>
        <w:tc>
          <w:tcPr>
            <w:tcW w:w="1275" w:type="dxa"/>
            <w:vAlign w:val="center"/>
          </w:tcPr>
          <w:p w14:paraId="61C23A68" w14:textId="50B8EA17" w:rsidR="0049544B" w:rsidRDefault="0049544B" w:rsidP="0049544B">
            <w:pPr>
              <w:tabs>
                <w:tab w:val="decimal" w:pos="468"/>
              </w:tabs>
            </w:pPr>
            <w:r>
              <w:t>-74.0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993" w:type="dxa"/>
            <w:vAlign w:val="center"/>
          </w:tcPr>
          <w:p w14:paraId="73479313" w14:textId="0762D68C" w:rsidR="0049544B" w:rsidRDefault="0049544B" w:rsidP="0049544B">
            <w:pPr>
              <w:tabs>
                <w:tab w:val="decimal" w:pos="444"/>
              </w:tabs>
            </w:pPr>
            <w:r>
              <w:t>6.6</w:t>
            </w:r>
          </w:p>
        </w:tc>
        <w:tc>
          <w:tcPr>
            <w:tcW w:w="1219" w:type="dxa"/>
            <w:vAlign w:val="center"/>
          </w:tcPr>
          <w:p w14:paraId="1BE2444E" w14:textId="0737FB8B" w:rsidR="0049544B" w:rsidRDefault="00A34B56" w:rsidP="0049544B">
            <w:pPr>
              <w:tabs>
                <w:tab w:val="decimal" w:pos="372"/>
              </w:tabs>
            </w:pPr>
            <w:r>
              <w:t>-36.5</w:t>
            </w:r>
          </w:p>
        </w:tc>
      </w:tr>
      <w:tr w:rsidR="0049544B" w14:paraId="70E114E6" w14:textId="77777777" w:rsidTr="0049544B">
        <w:tc>
          <w:tcPr>
            <w:tcW w:w="1701" w:type="dxa"/>
            <w:vAlign w:val="center"/>
          </w:tcPr>
          <w:p w14:paraId="6DCE9A7B" w14:textId="5BA967F9" w:rsidR="0049544B" w:rsidRDefault="0049544B" w:rsidP="0049544B">
            <w:r>
              <w:t>Third lockdown</w:t>
            </w:r>
          </w:p>
        </w:tc>
        <w:tc>
          <w:tcPr>
            <w:tcW w:w="1276" w:type="dxa"/>
            <w:vAlign w:val="center"/>
          </w:tcPr>
          <w:p w14:paraId="2A09531A" w14:textId="67E750AB" w:rsidR="0049544B" w:rsidRDefault="0049544B" w:rsidP="0049544B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134" w:type="dxa"/>
            <w:vAlign w:val="center"/>
          </w:tcPr>
          <w:p w14:paraId="42C5CE02" w14:textId="0EE7A8AE" w:rsidR="0049544B" w:rsidRDefault="0049544B" w:rsidP="0049544B">
            <w:pPr>
              <w:tabs>
                <w:tab w:val="decimal" w:pos="492"/>
              </w:tabs>
            </w:pPr>
            <w:r>
              <w:t>-44.0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397CFA18" w14:textId="21DFFD92" w:rsidR="0049544B" w:rsidRDefault="0049544B" w:rsidP="0049544B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5" w:type="dxa"/>
            <w:vAlign w:val="center"/>
          </w:tcPr>
          <w:p w14:paraId="0A933C9E" w14:textId="35E8BDDB" w:rsidR="0049544B" w:rsidRDefault="0049544B" w:rsidP="0049544B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993" w:type="dxa"/>
            <w:vAlign w:val="center"/>
          </w:tcPr>
          <w:p w14:paraId="4D894154" w14:textId="4EA32638" w:rsidR="0049544B" w:rsidRDefault="0049544B" w:rsidP="0049544B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219" w:type="dxa"/>
            <w:vAlign w:val="center"/>
          </w:tcPr>
          <w:p w14:paraId="259C1BBE" w14:textId="1221C0B2" w:rsidR="0049544B" w:rsidRDefault="00A34B56" w:rsidP="0049544B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49544B" w14:paraId="7F8005CC" w14:textId="0C64801F" w:rsidTr="0049544B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3B1A47" w14:textId="67854E82" w:rsidR="0049544B" w:rsidRDefault="0049544B" w:rsidP="0049544B">
            <w:r>
              <w:t>Time since third lockdown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F6BCDB1" w14:textId="096542D0" w:rsidR="0049544B" w:rsidRDefault="0049544B" w:rsidP="0049544B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BEC61B" w14:textId="07DEEB7C" w:rsidR="0049544B" w:rsidRDefault="0049544B" w:rsidP="0049544B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67E122C" w:rsidR="0049544B" w:rsidRDefault="0049544B" w:rsidP="0049544B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AFB8DE9" w14:textId="3EAA1323" w:rsidR="0049544B" w:rsidRDefault="0049544B" w:rsidP="0049544B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4EA8AAB" w14:textId="1CA1AF0B" w:rsidR="0049544B" w:rsidRDefault="0049544B" w:rsidP="0049544B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0693EAB9" w14:textId="26293F48" w:rsidR="0049544B" w:rsidRDefault="00A34B56" w:rsidP="0049544B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49544B" w14:paraId="06A00213" w14:textId="73A07D4A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49544B" w:rsidRDefault="0049544B" w:rsidP="0049544B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62ADF559" w:rsidR="0049544B" w:rsidRDefault="0049544B" w:rsidP="0049544B">
            <w:pPr>
              <w:tabs>
                <w:tab w:val="decimal" w:pos="528"/>
              </w:tabs>
            </w:pPr>
            <w:r>
              <w:t>0.46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7E166B89" w:rsidR="0049544B" w:rsidRDefault="0049544B" w:rsidP="0049544B">
            <w:pPr>
              <w:tabs>
                <w:tab w:val="decimal" w:pos="492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47690936" w:rsidR="0049544B" w:rsidRDefault="0049544B" w:rsidP="0049544B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1933AE2B" w:rsidR="0049544B" w:rsidRDefault="0049544B" w:rsidP="0049544B">
            <w:pPr>
              <w:tabs>
                <w:tab w:val="decimal" w:pos="468"/>
              </w:tabs>
            </w:pPr>
            <w:r>
              <w:t>0.57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61CA39D0" w:rsidR="0049544B" w:rsidRDefault="0049544B" w:rsidP="0049544B">
            <w:pPr>
              <w:tabs>
                <w:tab w:val="decimal" w:pos="444"/>
              </w:tabs>
            </w:pPr>
            <w:r>
              <w:t>0.31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2B6B1018" w:rsidR="0049544B" w:rsidRDefault="00A34B56" w:rsidP="0049544B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00CD4E33" w14:textId="6EA0DB09" w:rsidR="00BC233A" w:rsidRDefault="00BC233A" w:rsidP="00DB0B5B"/>
    <w:p w14:paraId="70503CF3" w14:textId="00FDBE2F" w:rsidR="002A4380" w:rsidRDefault="002A4380" w:rsidP="00DB0B5B">
      <w:r>
        <w:rPr>
          <w:noProof/>
        </w:rPr>
        <w:lastRenderedPageBreak/>
        <w:drawing>
          <wp:inline distT="0" distB="0" distL="0" distR="0" wp14:anchorId="74F69BB6" wp14:editId="7D1D7866">
            <wp:extent cx="5731510" cy="3779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7EE7918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6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fraud and cybercrime</w:t>
      </w:r>
    </w:p>
    <w:p w14:paraId="5E4186DA" w14:textId="77777777" w:rsidR="002F23A7" w:rsidRDefault="002F23A7" w:rsidP="002F23A7"/>
    <w:p w14:paraId="127BCEE3" w14:textId="18A16757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5.</w:t>
      </w:r>
      <w:r w:rsidRPr="002F23A7">
        <w:rPr>
          <w:i/>
          <w:iCs/>
        </w:rPr>
        <w:t xml:space="preserve"> Interrupted time series model of 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  <w:gridCol w:w="1275"/>
        <w:gridCol w:w="993"/>
        <w:gridCol w:w="1219"/>
      </w:tblGrid>
      <w:tr w:rsidR="00DB0B5B" w14:paraId="1887A115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A34B56" w14:paraId="2C0574DC" w14:textId="77777777" w:rsidTr="00A34B56"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63B6012" w14:textId="77777777" w:rsidR="00A34B56" w:rsidRDefault="00A34B56" w:rsidP="00A34B56">
            <w: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EE16A48" w14:textId="5CA0C533" w:rsidR="00A34B56" w:rsidRDefault="00A34B56" w:rsidP="00A34B56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8B71A88" w14:textId="690B3843" w:rsidR="00A34B56" w:rsidRDefault="00A34B56" w:rsidP="00A34B56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381AD18" w14:textId="5AECE5BA" w:rsidR="00A34B56" w:rsidRDefault="00A34B56" w:rsidP="00A34B56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DA5BD2" w14:textId="2E123746" w:rsidR="00A34B56" w:rsidRDefault="00A34B56" w:rsidP="00A34B56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401428E" w14:textId="51615A57" w:rsidR="00A34B56" w:rsidRDefault="00A34B56" w:rsidP="00A34B56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4F63356D" w14:textId="1F739A3B" w:rsidR="00A34B56" w:rsidRDefault="00A34B56" w:rsidP="00A34B56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A34B56" w14:paraId="78ADF101" w14:textId="77777777" w:rsidTr="00A34B56">
        <w:tc>
          <w:tcPr>
            <w:tcW w:w="1843" w:type="dxa"/>
            <w:vAlign w:val="center"/>
          </w:tcPr>
          <w:p w14:paraId="6860E2BA" w14:textId="77777777" w:rsidR="00A34B56" w:rsidRDefault="00A34B56" w:rsidP="00A34B56">
            <w:r>
              <w:t>Time</w:t>
            </w:r>
          </w:p>
        </w:tc>
        <w:tc>
          <w:tcPr>
            <w:tcW w:w="1134" w:type="dxa"/>
            <w:vAlign w:val="center"/>
          </w:tcPr>
          <w:p w14:paraId="67E6EC5C" w14:textId="08A3164E" w:rsidR="00A34B56" w:rsidRDefault="00A34B56" w:rsidP="00A34B56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418" w:type="dxa"/>
            <w:vAlign w:val="center"/>
          </w:tcPr>
          <w:p w14:paraId="210669C1" w14:textId="363F5F8A" w:rsidR="00A34B56" w:rsidRDefault="00A34B56" w:rsidP="00A34B56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134" w:type="dxa"/>
            <w:vAlign w:val="center"/>
          </w:tcPr>
          <w:p w14:paraId="0E13CCE9" w14:textId="44D3CAAD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A8B82D" w14:textId="1D8294FC" w:rsidR="00A34B56" w:rsidRDefault="00A34B56" w:rsidP="00A34B56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993" w:type="dxa"/>
            <w:vAlign w:val="center"/>
          </w:tcPr>
          <w:p w14:paraId="6BAE4C4B" w14:textId="4D1CA6C2" w:rsidR="00A34B56" w:rsidRDefault="00A34B56" w:rsidP="00A34B56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19" w:type="dxa"/>
            <w:vAlign w:val="center"/>
          </w:tcPr>
          <w:p w14:paraId="18B1D10F" w14:textId="79B5653E" w:rsidR="00A34B56" w:rsidRDefault="00A34B56" w:rsidP="00A34B56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A34B56" w14:paraId="3D9FBAB0" w14:textId="77777777" w:rsidTr="00A34B56">
        <w:tc>
          <w:tcPr>
            <w:tcW w:w="1843" w:type="dxa"/>
            <w:vAlign w:val="center"/>
          </w:tcPr>
          <w:p w14:paraId="4403BB49" w14:textId="77777777" w:rsidR="00A34B56" w:rsidRDefault="00A34B56" w:rsidP="00A34B56">
            <w:r>
              <w:t>First lockdown</w:t>
            </w:r>
          </w:p>
        </w:tc>
        <w:tc>
          <w:tcPr>
            <w:tcW w:w="1134" w:type="dxa"/>
            <w:vAlign w:val="center"/>
          </w:tcPr>
          <w:p w14:paraId="5E34A62D" w14:textId="70153AAD" w:rsidR="00A34B56" w:rsidRDefault="00A34B56" w:rsidP="00A34B56">
            <w:pPr>
              <w:tabs>
                <w:tab w:val="decimal" w:pos="468"/>
              </w:tabs>
            </w:pPr>
            <w:r>
              <w:t>21.0</w:t>
            </w:r>
          </w:p>
        </w:tc>
        <w:tc>
          <w:tcPr>
            <w:tcW w:w="1418" w:type="dxa"/>
            <w:vAlign w:val="center"/>
          </w:tcPr>
          <w:p w14:paraId="24D7F134" w14:textId="6CE93E62" w:rsidR="00A34B56" w:rsidRDefault="00A34B56" w:rsidP="00A34B56">
            <w:pPr>
              <w:tabs>
                <w:tab w:val="decimal" w:pos="504"/>
              </w:tabs>
            </w:pPr>
            <w:r>
              <w:t>-21.7</w:t>
            </w:r>
          </w:p>
        </w:tc>
        <w:tc>
          <w:tcPr>
            <w:tcW w:w="1134" w:type="dxa"/>
            <w:vAlign w:val="center"/>
          </w:tcPr>
          <w:p w14:paraId="0B4D1E1A" w14:textId="2FF00385" w:rsidR="00A34B56" w:rsidRDefault="00A34B56" w:rsidP="00A34B56">
            <w:pPr>
              <w:tabs>
                <w:tab w:val="decimal" w:pos="612"/>
              </w:tabs>
            </w:pPr>
            <w:r>
              <w:t>-21.4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88867E" w14:textId="5B9F21B5" w:rsidR="00A34B56" w:rsidRDefault="00A34B56" w:rsidP="00A34B56">
            <w:pPr>
              <w:tabs>
                <w:tab w:val="decimal" w:pos="576"/>
              </w:tabs>
            </w:pPr>
            <w:r>
              <w:t>-14.0</w:t>
            </w:r>
          </w:p>
        </w:tc>
        <w:tc>
          <w:tcPr>
            <w:tcW w:w="993" w:type="dxa"/>
            <w:vAlign w:val="center"/>
          </w:tcPr>
          <w:p w14:paraId="189C4859" w14:textId="0C890F6C" w:rsidR="00A34B56" w:rsidRDefault="00A34B56" w:rsidP="00A34B56">
            <w:pPr>
              <w:tabs>
                <w:tab w:val="decimal" w:pos="444"/>
              </w:tabs>
            </w:pPr>
            <w:r>
              <w:t>-23.4</w:t>
            </w:r>
          </w:p>
        </w:tc>
        <w:tc>
          <w:tcPr>
            <w:tcW w:w="1219" w:type="dxa"/>
            <w:vAlign w:val="center"/>
          </w:tcPr>
          <w:p w14:paraId="3E903721" w14:textId="489A66CE" w:rsidR="00A34B56" w:rsidRDefault="00A34B56" w:rsidP="00A34B56">
            <w:pPr>
              <w:tabs>
                <w:tab w:val="decimal" w:pos="480"/>
              </w:tabs>
            </w:pPr>
            <w:r>
              <w:t>6.9</w:t>
            </w:r>
          </w:p>
        </w:tc>
      </w:tr>
      <w:tr w:rsidR="00A34B56" w14:paraId="60344481" w14:textId="77777777" w:rsidTr="00A34B56">
        <w:tc>
          <w:tcPr>
            <w:tcW w:w="1843" w:type="dxa"/>
            <w:vAlign w:val="center"/>
          </w:tcPr>
          <w:p w14:paraId="33C9D9A4" w14:textId="77777777" w:rsidR="00A34B56" w:rsidRDefault="00A34B56" w:rsidP="00A34B56">
            <w:r>
              <w:t>Time since first lockdown</w:t>
            </w:r>
          </w:p>
        </w:tc>
        <w:tc>
          <w:tcPr>
            <w:tcW w:w="1134" w:type="dxa"/>
            <w:vAlign w:val="center"/>
          </w:tcPr>
          <w:p w14:paraId="61AF2B0A" w14:textId="282C6EAC" w:rsidR="00A34B56" w:rsidRDefault="00A34B56" w:rsidP="00A34B56">
            <w:pPr>
              <w:tabs>
                <w:tab w:val="decimal" w:pos="468"/>
              </w:tabs>
            </w:pPr>
            <w:r>
              <w:t>2.4</w:t>
            </w:r>
          </w:p>
        </w:tc>
        <w:tc>
          <w:tcPr>
            <w:tcW w:w="1418" w:type="dxa"/>
            <w:vAlign w:val="center"/>
          </w:tcPr>
          <w:p w14:paraId="1812FCE5" w14:textId="68B6185F" w:rsidR="00A34B56" w:rsidRDefault="00A34B56" w:rsidP="00A34B56">
            <w:pPr>
              <w:tabs>
                <w:tab w:val="decimal" w:pos="504"/>
              </w:tabs>
            </w:pPr>
            <w:r>
              <w:t>4.9</w:t>
            </w:r>
          </w:p>
        </w:tc>
        <w:tc>
          <w:tcPr>
            <w:tcW w:w="1134" w:type="dxa"/>
            <w:vAlign w:val="center"/>
          </w:tcPr>
          <w:p w14:paraId="2B7CA400" w14:textId="1AD46AD0" w:rsidR="00A34B56" w:rsidRDefault="00A34B56" w:rsidP="00A34B56">
            <w:pPr>
              <w:tabs>
                <w:tab w:val="decimal" w:pos="612"/>
              </w:tabs>
            </w:pPr>
            <w:r>
              <w:t>5.1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67AC606D" w14:textId="1CFBB159" w:rsidR="00A34B56" w:rsidRDefault="00A34B56" w:rsidP="00A34B56">
            <w:pPr>
              <w:tabs>
                <w:tab w:val="decimal" w:pos="576"/>
              </w:tabs>
            </w:pPr>
            <w:r>
              <w:t>2.7</w:t>
            </w:r>
          </w:p>
        </w:tc>
        <w:tc>
          <w:tcPr>
            <w:tcW w:w="993" w:type="dxa"/>
            <w:vAlign w:val="center"/>
          </w:tcPr>
          <w:p w14:paraId="5AFC19ED" w14:textId="410EF312" w:rsidR="00A34B56" w:rsidRDefault="00A34B56" w:rsidP="00A34B56">
            <w:pPr>
              <w:tabs>
                <w:tab w:val="decimal" w:pos="444"/>
              </w:tabs>
            </w:pPr>
            <w:r>
              <w:t>10.5**</w:t>
            </w:r>
          </w:p>
        </w:tc>
        <w:tc>
          <w:tcPr>
            <w:tcW w:w="1219" w:type="dxa"/>
            <w:vAlign w:val="center"/>
          </w:tcPr>
          <w:p w14:paraId="147B7B42" w14:textId="25355DC8" w:rsidR="00A34B56" w:rsidRDefault="00A34B56" w:rsidP="00A34B56">
            <w:pPr>
              <w:tabs>
                <w:tab w:val="decimal" w:pos="480"/>
              </w:tabs>
            </w:pPr>
            <w:r>
              <w:t>-0.3</w:t>
            </w:r>
          </w:p>
        </w:tc>
      </w:tr>
      <w:tr w:rsidR="00A34B56" w14:paraId="1B419CA3" w14:textId="77777777" w:rsidTr="00A34B56">
        <w:tc>
          <w:tcPr>
            <w:tcW w:w="1843" w:type="dxa"/>
            <w:vAlign w:val="center"/>
          </w:tcPr>
          <w:p w14:paraId="5034E52D" w14:textId="77777777" w:rsidR="00A34B56" w:rsidRDefault="00A34B56" w:rsidP="00A34B56">
            <w:r>
              <w:t>Second lockdown</w:t>
            </w:r>
          </w:p>
        </w:tc>
        <w:tc>
          <w:tcPr>
            <w:tcW w:w="1134" w:type="dxa"/>
            <w:vAlign w:val="center"/>
          </w:tcPr>
          <w:p w14:paraId="1848C0CC" w14:textId="4839E870" w:rsidR="00A34B56" w:rsidRDefault="00A34B56" w:rsidP="00A34B56">
            <w:pPr>
              <w:tabs>
                <w:tab w:val="decimal" w:pos="468"/>
              </w:tabs>
            </w:pPr>
            <w:r>
              <w:t>18.7</w:t>
            </w:r>
          </w:p>
        </w:tc>
        <w:tc>
          <w:tcPr>
            <w:tcW w:w="1418" w:type="dxa"/>
            <w:vAlign w:val="center"/>
          </w:tcPr>
          <w:p w14:paraId="3A191698" w14:textId="34AB5627" w:rsidR="00A34B56" w:rsidRDefault="00A34B56" w:rsidP="00A34B56">
            <w:pPr>
              <w:tabs>
                <w:tab w:val="decimal" w:pos="504"/>
              </w:tabs>
            </w:pPr>
            <w:r>
              <w:t>20.0</w:t>
            </w:r>
          </w:p>
        </w:tc>
        <w:tc>
          <w:tcPr>
            <w:tcW w:w="1134" w:type="dxa"/>
            <w:vAlign w:val="center"/>
          </w:tcPr>
          <w:p w14:paraId="6F849FCE" w14:textId="0205C994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</w:p>
        </w:tc>
        <w:tc>
          <w:tcPr>
            <w:tcW w:w="1275" w:type="dxa"/>
            <w:vAlign w:val="center"/>
          </w:tcPr>
          <w:p w14:paraId="4DF392D4" w14:textId="05EA8C65" w:rsidR="00A34B56" w:rsidRDefault="00A34B56" w:rsidP="00A34B56">
            <w:pPr>
              <w:tabs>
                <w:tab w:val="decimal" w:pos="576"/>
              </w:tabs>
            </w:pPr>
            <w:r>
              <w:t>-4.0</w:t>
            </w:r>
          </w:p>
        </w:tc>
        <w:tc>
          <w:tcPr>
            <w:tcW w:w="993" w:type="dxa"/>
            <w:vAlign w:val="center"/>
          </w:tcPr>
          <w:p w14:paraId="1454A590" w14:textId="744E4797" w:rsidR="00A34B56" w:rsidRDefault="00A34B56" w:rsidP="00A34B56">
            <w:pPr>
              <w:tabs>
                <w:tab w:val="decimal" w:pos="444"/>
              </w:tabs>
            </w:pPr>
            <w:r>
              <w:t>46.5</w:t>
            </w:r>
          </w:p>
        </w:tc>
        <w:tc>
          <w:tcPr>
            <w:tcW w:w="1219" w:type="dxa"/>
            <w:vAlign w:val="center"/>
          </w:tcPr>
          <w:p w14:paraId="0E6030ED" w14:textId="61BF35BD" w:rsidR="00A34B56" w:rsidRDefault="00A34B56" w:rsidP="00A34B56">
            <w:pPr>
              <w:tabs>
                <w:tab w:val="decimal" w:pos="480"/>
              </w:tabs>
            </w:pPr>
            <w:r>
              <w:t>-16.8</w:t>
            </w:r>
          </w:p>
        </w:tc>
      </w:tr>
      <w:tr w:rsidR="00A34B56" w14:paraId="0B8D29CB" w14:textId="77777777" w:rsidTr="00A34B56">
        <w:tc>
          <w:tcPr>
            <w:tcW w:w="1843" w:type="dxa"/>
            <w:vAlign w:val="center"/>
          </w:tcPr>
          <w:p w14:paraId="2A5F7C70" w14:textId="0E218A18" w:rsidR="00A34B56" w:rsidRDefault="00A34B56" w:rsidP="00A34B56">
            <w:r>
              <w:t>Time since second lockdown</w:t>
            </w:r>
          </w:p>
        </w:tc>
        <w:tc>
          <w:tcPr>
            <w:tcW w:w="1134" w:type="dxa"/>
            <w:vAlign w:val="center"/>
          </w:tcPr>
          <w:p w14:paraId="2C35A217" w14:textId="14ED7850" w:rsidR="00A34B56" w:rsidRDefault="00A34B56" w:rsidP="00A34B56">
            <w:pPr>
              <w:tabs>
                <w:tab w:val="decimal" w:pos="468"/>
              </w:tabs>
            </w:pPr>
            <w:r>
              <w:t>17.7</w:t>
            </w:r>
          </w:p>
        </w:tc>
        <w:tc>
          <w:tcPr>
            <w:tcW w:w="1418" w:type="dxa"/>
            <w:vAlign w:val="center"/>
          </w:tcPr>
          <w:p w14:paraId="2098182F" w14:textId="36EC2B4D" w:rsidR="00A34B56" w:rsidRDefault="00A34B56" w:rsidP="00A34B56">
            <w:pPr>
              <w:tabs>
                <w:tab w:val="decimal" w:pos="504"/>
              </w:tabs>
            </w:pPr>
            <w:r>
              <w:t>-9.8</w:t>
            </w:r>
          </w:p>
        </w:tc>
        <w:tc>
          <w:tcPr>
            <w:tcW w:w="1134" w:type="dxa"/>
            <w:vAlign w:val="center"/>
          </w:tcPr>
          <w:p w14:paraId="05E49606" w14:textId="070506A1" w:rsidR="00A34B56" w:rsidRDefault="00A34B56" w:rsidP="00A34B56">
            <w:pPr>
              <w:tabs>
                <w:tab w:val="decimal" w:pos="612"/>
              </w:tabs>
            </w:pPr>
            <w:r>
              <w:t>4.3</w:t>
            </w:r>
          </w:p>
        </w:tc>
        <w:tc>
          <w:tcPr>
            <w:tcW w:w="1275" w:type="dxa"/>
            <w:vAlign w:val="center"/>
          </w:tcPr>
          <w:p w14:paraId="2D5C1A94" w14:textId="608A38F2" w:rsidR="00A34B56" w:rsidRDefault="00A34B56" w:rsidP="00A34B56">
            <w:pPr>
              <w:tabs>
                <w:tab w:val="decimal" w:pos="576"/>
              </w:tabs>
            </w:pPr>
            <w:r>
              <w:t>6.9</w:t>
            </w:r>
          </w:p>
        </w:tc>
        <w:tc>
          <w:tcPr>
            <w:tcW w:w="993" w:type="dxa"/>
            <w:vAlign w:val="center"/>
          </w:tcPr>
          <w:p w14:paraId="417474A9" w14:textId="615C7969" w:rsidR="00A34B56" w:rsidRDefault="00A34B56" w:rsidP="00A34B56">
            <w:pPr>
              <w:tabs>
                <w:tab w:val="decimal" w:pos="444"/>
              </w:tabs>
            </w:pPr>
            <w:r>
              <w:t>-11.0</w:t>
            </w:r>
          </w:p>
        </w:tc>
        <w:tc>
          <w:tcPr>
            <w:tcW w:w="1219" w:type="dxa"/>
            <w:vAlign w:val="center"/>
          </w:tcPr>
          <w:p w14:paraId="2BAC4984" w14:textId="4E164381" w:rsidR="00A34B56" w:rsidRDefault="00A34B56" w:rsidP="00A34B56">
            <w:pPr>
              <w:tabs>
                <w:tab w:val="decimal" w:pos="480"/>
              </w:tabs>
            </w:pPr>
            <w:r>
              <w:t>15.8**</w:t>
            </w:r>
          </w:p>
        </w:tc>
      </w:tr>
      <w:tr w:rsidR="00A34B56" w14:paraId="5D88F33D" w14:textId="77777777" w:rsidTr="00A34B56">
        <w:tc>
          <w:tcPr>
            <w:tcW w:w="1843" w:type="dxa"/>
            <w:vAlign w:val="center"/>
          </w:tcPr>
          <w:p w14:paraId="2AA539E1" w14:textId="5DE91672" w:rsidR="00A34B56" w:rsidRDefault="00A34B56" w:rsidP="00A34B56">
            <w:r>
              <w:t>Third lockdown</w:t>
            </w:r>
          </w:p>
        </w:tc>
        <w:tc>
          <w:tcPr>
            <w:tcW w:w="1134" w:type="dxa"/>
            <w:vAlign w:val="center"/>
          </w:tcPr>
          <w:p w14:paraId="1FAA2AB5" w14:textId="0836D148" w:rsidR="00A34B56" w:rsidRDefault="00A34B56" w:rsidP="00A34B56">
            <w:pPr>
              <w:tabs>
                <w:tab w:val="decimal" w:pos="468"/>
              </w:tabs>
            </w:pPr>
            <w:r>
              <w:t>32.8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51D8C" w14:textId="12188325" w:rsidR="00A34B56" w:rsidRDefault="00A34B56" w:rsidP="00A34B56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134" w:type="dxa"/>
            <w:vAlign w:val="center"/>
          </w:tcPr>
          <w:p w14:paraId="36BB5BC0" w14:textId="562143E9" w:rsidR="00A34B56" w:rsidRDefault="00A34B56" w:rsidP="00A34B56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5" w:type="dxa"/>
            <w:vAlign w:val="center"/>
          </w:tcPr>
          <w:p w14:paraId="4CBBB110" w14:textId="607F57EF" w:rsidR="00A34B56" w:rsidRDefault="00A34B56" w:rsidP="00A34B56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993" w:type="dxa"/>
            <w:vAlign w:val="center"/>
          </w:tcPr>
          <w:p w14:paraId="57848442" w14:textId="288E23C8" w:rsidR="00A34B56" w:rsidRDefault="00A34B56" w:rsidP="00A34B56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19" w:type="dxa"/>
            <w:vAlign w:val="center"/>
          </w:tcPr>
          <w:p w14:paraId="11D2C2D4" w14:textId="6CBF6FE2" w:rsidR="00A34B56" w:rsidRDefault="00A34B56" w:rsidP="00A34B56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A34B56" w14:paraId="21D92165" w14:textId="77777777" w:rsidTr="00A34B56"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22D6F5" w14:textId="20C32074" w:rsidR="00A34B56" w:rsidRDefault="00A34B56" w:rsidP="00A34B56">
            <w:r>
              <w:t>Time since third lockdown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9D4242" w14:textId="66A1ABA7" w:rsidR="00A34B56" w:rsidRDefault="00A34B56" w:rsidP="00A34B56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039BDE" w14:textId="1E9C9A5B" w:rsidR="00A34B56" w:rsidRDefault="00A34B56" w:rsidP="00A34B56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77F6ED7" w14:textId="1B0D2D36" w:rsidR="00A34B56" w:rsidRDefault="00A34B56" w:rsidP="00A34B56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ECBE3C1" w14:textId="277F53E5" w:rsidR="00A34B56" w:rsidRDefault="00A34B56" w:rsidP="00A34B56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EED3F0D" w14:textId="7B19D1AF" w:rsidR="00A34B56" w:rsidRDefault="00A34B56" w:rsidP="00A34B56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5E98AAB1" w14:textId="345AE543" w:rsidR="00A34B56" w:rsidRDefault="00A34B56" w:rsidP="00A34B56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A34B56" w14:paraId="334AA316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A34B56" w:rsidRDefault="00A34B56" w:rsidP="00A34B56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6AF7F1BA" w:rsidR="00A34B56" w:rsidRDefault="00A34B56" w:rsidP="00A34B56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6CBD3DF1" w:rsidR="00A34B56" w:rsidRDefault="00A34B56" w:rsidP="00A34B56">
            <w:pPr>
              <w:tabs>
                <w:tab w:val="decimal" w:pos="504"/>
              </w:tabs>
            </w:pPr>
            <w:r>
              <w:t>0.10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54BD2B34" w:rsidR="00A34B56" w:rsidRDefault="00A34B56" w:rsidP="00A34B56">
            <w:pPr>
              <w:tabs>
                <w:tab w:val="decimal" w:pos="612"/>
              </w:tabs>
            </w:pPr>
            <w:r>
              <w:t>0.23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55A8A51C" w:rsidR="00A34B56" w:rsidRDefault="00A34B56" w:rsidP="00A34B56">
            <w:pPr>
              <w:tabs>
                <w:tab w:val="decimal" w:pos="576"/>
              </w:tabs>
            </w:pPr>
            <w:r>
              <w:t>0.59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C8C7159" w:rsidR="00A34B56" w:rsidRDefault="00A34B56" w:rsidP="00A34B56">
            <w:pPr>
              <w:tabs>
                <w:tab w:val="decimal" w:pos="444"/>
              </w:tabs>
            </w:pPr>
            <w:r>
              <w:t>0.79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19E8D97B" w:rsidR="00A34B56" w:rsidRDefault="00A34B56" w:rsidP="00A34B56">
            <w:pPr>
              <w:tabs>
                <w:tab w:val="decimal" w:pos="480"/>
              </w:tabs>
            </w:pPr>
            <w:r>
              <w:t>0.52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7E0EB5E" w14:textId="03062EFB" w:rsidR="00DB0B5B" w:rsidRDefault="00DB0B5B" w:rsidP="00DB0B5B"/>
    <w:p w14:paraId="1F44F368" w14:textId="14CEE82A" w:rsidR="002F23A7" w:rsidRDefault="002F23A7" w:rsidP="002F23A7">
      <w:pPr>
        <w:pStyle w:val="Heading1"/>
      </w:pPr>
      <w:r>
        <w:t>Discussion and conclusions</w:t>
      </w:r>
    </w:p>
    <w:p w14:paraId="60AD3D84" w14:textId="77777777" w:rsidR="002F23A7" w:rsidRPr="002F23A7" w:rsidRDefault="002F23A7" w:rsidP="002F23A7"/>
    <w:p w14:paraId="229633BA" w14:textId="25704BF5" w:rsidR="00DB0B5B" w:rsidRDefault="00DB0B5B" w:rsidP="00DB0B5B">
      <w:pPr>
        <w:pStyle w:val="Heading1"/>
      </w:pPr>
      <w:r>
        <w:lastRenderedPageBreak/>
        <w:t>References</w:t>
      </w:r>
    </w:p>
    <w:p w14:paraId="5EDF6DFE" w14:textId="124CCC5A" w:rsidR="00FE56D5" w:rsidRDefault="00FE56D5" w:rsidP="00763218">
      <w:r w:rsidRPr="00FE56D5">
        <w:t xml:space="preserve">Abedi, V., </w:t>
      </w:r>
      <w:proofErr w:type="spellStart"/>
      <w:r w:rsidRPr="00FE56D5">
        <w:t>Olulana</w:t>
      </w:r>
      <w:proofErr w:type="spellEnd"/>
      <w:r w:rsidRPr="00FE56D5">
        <w:t xml:space="preserve">, O., </w:t>
      </w:r>
      <w:proofErr w:type="spellStart"/>
      <w:r w:rsidRPr="00FE56D5">
        <w:t>Avula</w:t>
      </w:r>
      <w:proofErr w:type="spellEnd"/>
      <w:r w:rsidRPr="00FE56D5">
        <w:t>, V.</w:t>
      </w:r>
      <w:r>
        <w:t xml:space="preserve">, </w:t>
      </w:r>
      <w:r w:rsidRPr="00FE56D5">
        <w:t>Chaudhary, D., Khan, A.,</w:t>
      </w:r>
      <w:r>
        <w:t xml:space="preserve"> </w:t>
      </w:r>
      <w:proofErr w:type="spellStart"/>
      <w:r w:rsidRPr="00FE56D5">
        <w:t>Shahjouei</w:t>
      </w:r>
      <w:proofErr w:type="spellEnd"/>
      <w:r w:rsidRPr="00FE56D5">
        <w:t xml:space="preserve">, </w:t>
      </w:r>
      <w:r>
        <w:t xml:space="preserve">S., </w:t>
      </w:r>
      <w:r w:rsidRPr="00FE56D5">
        <w:t>Li</w:t>
      </w:r>
      <w:r>
        <w:t>, J., and</w:t>
      </w:r>
      <w:r w:rsidRPr="00FE56D5">
        <w:t xml:space="preserve"> </w:t>
      </w:r>
      <w:proofErr w:type="spellStart"/>
      <w:r w:rsidRPr="00FE56D5">
        <w:t>Zand</w:t>
      </w:r>
      <w:proofErr w:type="spellEnd"/>
      <w:r>
        <w:t xml:space="preserve">, R. (2021). </w:t>
      </w:r>
      <w:r w:rsidRPr="00FE56D5">
        <w:t xml:space="preserve">Racial, </w:t>
      </w:r>
      <w:r>
        <w:t>e</w:t>
      </w:r>
      <w:r w:rsidRPr="00FE56D5">
        <w:t xml:space="preserve">conomic, and </w:t>
      </w:r>
      <w:r>
        <w:t>h</w:t>
      </w:r>
      <w:r w:rsidRPr="00FE56D5">
        <w:t xml:space="preserve">ealth </w:t>
      </w:r>
      <w:r>
        <w:t>i</w:t>
      </w:r>
      <w:r w:rsidRPr="00FE56D5">
        <w:t xml:space="preserve">nequality and COVID-19 </w:t>
      </w:r>
      <w:r>
        <w:t>i</w:t>
      </w:r>
      <w:r w:rsidRPr="00FE56D5">
        <w:t xml:space="preserve">nfection in the United States. </w:t>
      </w:r>
      <w:r w:rsidRPr="00FE56D5">
        <w:rPr>
          <w:i/>
          <w:iCs/>
        </w:rPr>
        <w:t>Journal of Racial and Ethnic Health Disparities</w:t>
      </w:r>
      <w:r>
        <w:t>,</w:t>
      </w:r>
      <w:r w:rsidRPr="00FE56D5">
        <w:t xml:space="preserve"> 8, 732</w:t>
      </w:r>
      <w:r>
        <w:t>-</w:t>
      </w:r>
      <w:r w:rsidRPr="00FE56D5">
        <w:t xml:space="preserve">742. </w:t>
      </w:r>
      <w:hyperlink r:id="rId15" w:history="1">
        <w:r w:rsidRPr="00991EC2">
          <w:rPr>
            <w:rStyle w:val="Hyperlink"/>
          </w:rPr>
          <w:t>https://doi.org/10.1007/s40615-020-00833-4</w:t>
        </w:r>
      </w:hyperlink>
    </w:p>
    <w:p w14:paraId="47CE5331" w14:textId="43DDF66F" w:rsidR="00D437D6" w:rsidRDefault="00D437D6" w:rsidP="00D437D6">
      <w:r>
        <w:t xml:space="preserve">Abrams, D. S. (2021). </w:t>
      </w:r>
      <w:r w:rsidRPr="00D437D6">
        <w:t>COVID and crime: An early empirical look</w:t>
      </w:r>
      <w:r>
        <w:t xml:space="preserve">. </w:t>
      </w:r>
      <w:r w:rsidRPr="00D437D6">
        <w:rPr>
          <w:i/>
          <w:iCs/>
        </w:rPr>
        <w:t>Journal of Public Economics</w:t>
      </w:r>
      <w:r>
        <w:t xml:space="preserve">, 194, 104344. </w:t>
      </w:r>
      <w:hyperlink r:id="rId16" w:history="1">
        <w:r w:rsidRPr="00991EC2">
          <w:rPr>
            <w:rStyle w:val="Hyperlink"/>
          </w:rPr>
          <w:t>https://doi.org/10.1016/j.jpubeco.2020.104344</w:t>
        </w:r>
      </w:hyperlink>
    </w:p>
    <w:p w14:paraId="2ECF11F4" w14:textId="3776A21C" w:rsidR="004A2BA7" w:rsidRDefault="004A2BA7" w:rsidP="004A2BA7">
      <w:r>
        <w:t xml:space="preserve">Ashby, M. P. J. (2020). Initial evidence on the relationship between the coronavirus pandemic and crime in the United States. </w:t>
      </w:r>
      <w:r w:rsidRPr="004A2BA7">
        <w:rPr>
          <w:i/>
          <w:iCs/>
        </w:rPr>
        <w:t>Crime Science</w:t>
      </w:r>
      <w:r>
        <w:t xml:space="preserve">, 9, 6. </w:t>
      </w:r>
      <w:hyperlink r:id="rId17" w:history="1">
        <w:r w:rsidRPr="00991EC2">
          <w:rPr>
            <w:rStyle w:val="Hyperlink"/>
          </w:rPr>
          <w:t>https://doi.org/10.1186/s40163-020-00117-6</w:t>
        </w:r>
      </w:hyperlink>
    </w:p>
    <w:p w14:paraId="3FBACEB5" w14:textId="688D7112" w:rsidR="00FE56D5" w:rsidRDefault="00FE56D5" w:rsidP="00763218">
      <w:proofErr w:type="spellStart"/>
      <w:r>
        <w:t>Bartik</w:t>
      </w:r>
      <w:proofErr w:type="spellEnd"/>
      <w:r>
        <w:t xml:space="preserve">, A. W., Bertrand, M., Cullen, Z., </w:t>
      </w:r>
      <w:proofErr w:type="spellStart"/>
      <w:r>
        <w:t>Glaeser</w:t>
      </w:r>
      <w:proofErr w:type="spellEnd"/>
      <w:r>
        <w:t xml:space="preserve">, E. L., Luca, M., and Stanton, C. (2020). </w:t>
      </w:r>
      <w:r w:rsidRPr="00FE56D5">
        <w:t>The impact of COVID-19 on small business outcomes and expectations</w:t>
      </w:r>
      <w:r>
        <w:t xml:space="preserve">. </w:t>
      </w:r>
      <w:r w:rsidRPr="00FE56D5">
        <w:rPr>
          <w:i/>
          <w:iCs/>
        </w:rPr>
        <w:t>Proceedings of the National Academy of Sciences of the United States of America</w:t>
      </w:r>
      <w:r>
        <w:t xml:space="preserve">, </w:t>
      </w:r>
      <w:r w:rsidRPr="00FE56D5">
        <w:t>117(30) 17656-17666</w:t>
      </w:r>
      <w:r>
        <w:t xml:space="preserve">. </w:t>
      </w:r>
      <w:hyperlink r:id="rId18" w:history="1">
        <w:r w:rsidRPr="00991EC2">
          <w:rPr>
            <w:rStyle w:val="Hyperlink"/>
          </w:rPr>
          <w:t>https://doi.org/10.1073/pnas.2006991117</w:t>
        </w:r>
      </w:hyperlink>
    </w:p>
    <w:p w14:paraId="4CFAD126" w14:textId="1FAEBFA3" w:rsidR="007214B8" w:rsidRDefault="007214B8" w:rsidP="007214B8">
      <w:r w:rsidRPr="007214B8">
        <w:t>Bergeron</w:t>
      </w:r>
      <w:r>
        <w:t xml:space="preserve">, A., </w:t>
      </w:r>
      <w:proofErr w:type="spellStart"/>
      <w:r w:rsidRPr="007214B8">
        <w:t>Décary-Hétu</w:t>
      </w:r>
      <w:proofErr w:type="spellEnd"/>
      <w:r>
        <w:t xml:space="preserve">, D., and </w:t>
      </w:r>
      <w:proofErr w:type="spellStart"/>
      <w:r w:rsidRPr="007214B8">
        <w:t>Giommoni</w:t>
      </w:r>
      <w:proofErr w:type="spellEnd"/>
      <w:r>
        <w:t xml:space="preserve">, L. (2020). </w:t>
      </w:r>
      <w:r w:rsidRPr="007214B8">
        <w:t>Preliminary findings of the impact of COVID-19 on drugs crypto markets</w:t>
      </w:r>
      <w:r>
        <w:t xml:space="preserve">. </w:t>
      </w:r>
      <w:r w:rsidRPr="007214B8">
        <w:rPr>
          <w:i/>
          <w:iCs/>
        </w:rPr>
        <w:t>International Journal of Drug Policy</w:t>
      </w:r>
      <w:r>
        <w:t xml:space="preserve">, </w:t>
      </w:r>
      <w:r>
        <w:t>83, 102870</w:t>
      </w:r>
      <w:r>
        <w:t xml:space="preserve">. </w:t>
      </w:r>
      <w:hyperlink r:id="rId19" w:history="1">
        <w:r w:rsidRPr="00991EC2">
          <w:rPr>
            <w:rStyle w:val="Hyperlink"/>
          </w:rPr>
          <w:t>https://doi.org/10.1016/j.drugpo.2020.102870</w:t>
        </w:r>
      </w:hyperlink>
    </w:p>
    <w:p w14:paraId="47FC76AB" w14:textId="07AA96DC" w:rsidR="002C0BAA" w:rsidRDefault="001C2614" w:rsidP="00763218">
      <w:r w:rsidRPr="001C2614">
        <w:t>Buil-Gil,</w:t>
      </w:r>
      <w:r>
        <w:t xml:space="preserve"> D., </w:t>
      </w:r>
      <w:r w:rsidRPr="001C2614">
        <w:t xml:space="preserve">Miró-Llinares, </w:t>
      </w:r>
      <w:r>
        <w:t xml:space="preserve">F., </w:t>
      </w:r>
      <w:r w:rsidRPr="001C2614">
        <w:t xml:space="preserve">Moneva, </w:t>
      </w:r>
      <w:r>
        <w:t>A., Ke</w:t>
      </w:r>
      <w:r w:rsidRPr="001C2614">
        <w:t>mp</w:t>
      </w:r>
      <w:r>
        <w:t>, S., and</w:t>
      </w:r>
      <w:r w:rsidRPr="001C2614">
        <w:t xml:space="preserve"> Díaz-</w:t>
      </w:r>
      <w:proofErr w:type="spellStart"/>
      <w:r w:rsidRPr="001C2614">
        <w:t>Castaño</w:t>
      </w:r>
      <w:proofErr w:type="spellEnd"/>
      <w:r>
        <w:t>, N.</w:t>
      </w:r>
      <w:r w:rsidRPr="001C2614">
        <w:t xml:space="preserve"> (2021)</w:t>
      </w:r>
      <w:r>
        <w:t>.</w:t>
      </w:r>
      <w:r w:rsidRPr="001C2614">
        <w:t xml:space="preserve"> Cybercrime and shifts in opportunities during COVID-19: </w:t>
      </w:r>
      <w:r>
        <w:t>A</w:t>
      </w:r>
      <w:r w:rsidRPr="001C2614">
        <w:t xml:space="preserve"> preliminary analysis in the UK</w:t>
      </w:r>
      <w:r>
        <w:t xml:space="preserve">. </w:t>
      </w:r>
      <w:r w:rsidRPr="002C0BAA">
        <w:rPr>
          <w:i/>
          <w:iCs/>
        </w:rPr>
        <w:t>European Societies</w:t>
      </w:r>
      <w:r w:rsidRPr="001C2614">
        <w:t>, 23</w:t>
      </w:r>
      <w:r w:rsidR="002C0BAA">
        <w:t>(</w:t>
      </w:r>
      <w:r w:rsidRPr="001C2614">
        <w:t>sup1</w:t>
      </w:r>
      <w:r w:rsidR="002C0BAA">
        <w:t>)</w:t>
      </w:r>
      <w:r w:rsidRPr="001C2614">
        <w:t>, S47-S59</w:t>
      </w:r>
      <w:r w:rsidR="002C0BAA">
        <w:t>.</w:t>
      </w:r>
      <w:r w:rsidRPr="001C2614">
        <w:t xml:space="preserve"> </w:t>
      </w:r>
      <w:hyperlink r:id="rId20" w:history="1">
        <w:r w:rsidR="002C0BAA" w:rsidRPr="00991EC2">
          <w:rPr>
            <w:rStyle w:val="Hyperlink"/>
          </w:rPr>
          <w:t>https://doi.org/10.1080/14616696.2020.1804973</w:t>
        </w:r>
      </w:hyperlink>
    </w:p>
    <w:p w14:paraId="39AA0F20" w14:textId="7E95FEE1" w:rsidR="007214B8" w:rsidRDefault="007214B8" w:rsidP="00763218">
      <w:r>
        <w:t xml:space="preserve">Buil-Gil, D., and Zeng, Y. (2021). </w:t>
      </w:r>
      <w:r w:rsidRPr="007214B8">
        <w:t xml:space="preserve">Meeting you was a fake: </w:t>
      </w:r>
      <w:r>
        <w:t>I</w:t>
      </w:r>
      <w:r w:rsidRPr="007214B8">
        <w:t>nvestigating the increase in romance fraud during COVID-19</w:t>
      </w:r>
      <w:r>
        <w:t xml:space="preserve">. </w:t>
      </w:r>
      <w:r w:rsidRPr="007214B8">
        <w:rPr>
          <w:i/>
          <w:iCs/>
        </w:rPr>
        <w:t>Journal of Financial Crime</w:t>
      </w:r>
      <w:r>
        <w:t>.</w:t>
      </w:r>
      <w:r w:rsidRPr="007214B8">
        <w:t xml:space="preserve"> </w:t>
      </w:r>
      <w:hyperlink r:id="rId21" w:history="1">
        <w:r w:rsidRPr="00991EC2">
          <w:rPr>
            <w:rStyle w:val="Hyperlink"/>
          </w:rPr>
          <w:t>https://doi.org/10.1108/JFC-02-2021-0042</w:t>
        </w:r>
      </w:hyperlink>
    </w:p>
    <w:p w14:paraId="0A824092" w14:textId="384EC6E5" w:rsidR="00FE56D5" w:rsidRDefault="00FE56D5" w:rsidP="00763218">
      <w:proofErr w:type="spellStart"/>
      <w:r w:rsidRPr="00FE56D5">
        <w:t>Czymara</w:t>
      </w:r>
      <w:proofErr w:type="spellEnd"/>
      <w:r w:rsidRPr="00FE56D5">
        <w:t xml:space="preserve">, </w:t>
      </w:r>
      <w:r>
        <w:t xml:space="preserve">C. S., </w:t>
      </w:r>
      <w:proofErr w:type="spellStart"/>
      <w:r w:rsidRPr="00FE56D5">
        <w:t>Langenkamp</w:t>
      </w:r>
      <w:proofErr w:type="spellEnd"/>
      <w:r>
        <w:t>, A.,</w:t>
      </w:r>
      <w:r w:rsidRPr="00FE56D5">
        <w:t xml:space="preserve"> </w:t>
      </w:r>
      <w:r>
        <w:t>and</w:t>
      </w:r>
      <w:r w:rsidRPr="00FE56D5">
        <w:t xml:space="preserve"> Cano</w:t>
      </w:r>
      <w:r>
        <w:t>, T.</w:t>
      </w:r>
      <w:r w:rsidRPr="00FE56D5">
        <w:t xml:space="preserve"> (2021)</w:t>
      </w:r>
      <w:r>
        <w:t>.</w:t>
      </w:r>
      <w:r w:rsidRPr="00FE56D5">
        <w:t xml:space="preserve"> Cause for concerns: gender inequality in experiencing the COVID-19 lockdown in Germany</w:t>
      </w:r>
      <w:r>
        <w:t xml:space="preserve">. </w:t>
      </w:r>
      <w:r w:rsidRPr="00FE56D5">
        <w:rPr>
          <w:i/>
          <w:iCs/>
        </w:rPr>
        <w:t>European Societies</w:t>
      </w:r>
      <w:r w:rsidRPr="00FE56D5">
        <w:t>, 23</w:t>
      </w:r>
      <w:r>
        <w:t>(</w:t>
      </w:r>
      <w:r w:rsidRPr="00FE56D5">
        <w:t>sup1</w:t>
      </w:r>
      <w:r>
        <w:t>)</w:t>
      </w:r>
      <w:r w:rsidRPr="00FE56D5">
        <w:t>, S68-S81</w:t>
      </w:r>
      <w:r>
        <w:t xml:space="preserve">. </w:t>
      </w:r>
      <w:hyperlink r:id="rId22" w:history="1">
        <w:r w:rsidRPr="00991EC2">
          <w:rPr>
            <w:rStyle w:val="Hyperlink"/>
          </w:rPr>
          <w:t>https://doi.org/10.1080/14616696.2020.1808692</w:t>
        </w:r>
      </w:hyperlink>
    </w:p>
    <w:p w14:paraId="5654DF6E" w14:textId="22C3DEDF" w:rsidR="004A2BA7" w:rsidRDefault="004A2BA7" w:rsidP="00763218">
      <w:r>
        <w:t xml:space="preserve">Halford, E., Dixon, A., Farrell, G., </w:t>
      </w:r>
      <w:proofErr w:type="spellStart"/>
      <w:r>
        <w:t>Malleson</w:t>
      </w:r>
      <w:proofErr w:type="spellEnd"/>
      <w:r>
        <w:t xml:space="preserve">, N., and Tilley, N. (2020). </w:t>
      </w:r>
      <w:r w:rsidRPr="004A2BA7">
        <w:t xml:space="preserve">Crime and coronavirus: </w:t>
      </w:r>
      <w:r>
        <w:t>S</w:t>
      </w:r>
      <w:r w:rsidRPr="004A2BA7">
        <w:t>ocial distancing, lockdown, and the mobility elasticity of crime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9, 11. </w:t>
      </w:r>
      <w:hyperlink r:id="rId23" w:history="1">
        <w:r w:rsidRPr="00991EC2">
          <w:rPr>
            <w:rStyle w:val="Hyperlink"/>
          </w:rPr>
          <w:t>https://doi.org/10.1186/s40163-020-00121-w</w:t>
        </w:r>
      </w:hyperlink>
    </w:p>
    <w:p w14:paraId="4482D7C5" w14:textId="6A9C7C47" w:rsidR="001C2614" w:rsidRDefault="001C2614" w:rsidP="001C2614">
      <w:r>
        <w:t>Kemp, S., Buil-Gil, D., Moneva, A., Mir</w:t>
      </w:r>
      <w:r w:rsidRPr="001C2614">
        <w:t>ó</w:t>
      </w:r>
      <w:r>
        <w:t>-Llinares, F., and Díaz-</w:t>
      </w:r>
      <w:proofErr w:type="spellStart"/>
      <w:r>
        <w:t>Castaño</w:t>
      </w:r>
      <w:proofErr w:type="spellEnd"/>
      <w:r>
        <w:t xml:space="preserve">, N. (2021). Empty streets, busy internet: A time-series analysis of cybercrime and fraud trends during COVID-19. </w:t>
      </w:r>
      <w:r w:rsidRPr="001C2614">
        <w:rPr>
          <w:i/>
          <w:iCs/>
        </w:rPr>
        <w:t>Journal of Contemporary Criminal Justice</w:t>
      </w:r>
      <w:r>
        <w:t xml:space="preserve">. </w:t>
      </w:r>
      <w:hyperlink r:id="rId24" w:history="1">
        <w:r w:rsidRPr="00991EC2">
          <w:rPr>
            <w:rStyle w:val="Hyperlink"/>
          </w:rPr>
          <w:t>https://doi.org/10.1177/10439862211027986</w:t>
        </w:r>
      </w:hyperlink>
    </w:p>
    <w:p w14:paraId="3594CB44" w14:textId="46B3BA46" w:rsidR="00AD3BA7" w:rsidRDefault="00AD3BA7" w:rsidP="00763218">
      <w:proofErr w:type="spellStart"/>
      <w:r w:rsidRPr="00AD3BA7">
        <w:t>Krendl</w:t>
      </w:r>
      <w:proofErr w:type="spellEnd"/>
      <w:r w:rsidRPr="00AD3BA7">
        <w:t xml:space="preserve">, </w:t>
      </w:r>
      <w:r>
        <w:t>A. C.</w:t>
      </w:r>
      <w:r w:rsidR="00FE56D5">
        <w:t>,</w:t>
      </w:r>
      <w:r>
        <w:t xml:space="preserve"> and </w:t>
      </w:r>
      <w:r w:rsidRPr="00AD3BA7">
        <w:t xml:space="preserve">Perry, </w:t>
      </w:r>
      <w:r>
        <w:t xml:space="preserve">B. L. (2021). </w:t>
      </w:r>
      <w:r w:rsidRPr="00AD3BA7">
        <w:t xml:space="preserve">The </w:t>
      </w:r>
      <w:r>
        <w:t>i</w:t>
      </w:r>
      <w:r w:rsidRPr="00AD3BA7">
        <w:t xml:space="preserve">mpact of </w:t>
      </w:r>
      <w:r>
        <w:t>s</w:t>
      </w:r>
      <w:r w:rsidRPr="00AD3BA7">
        <w:t xml:space="preserve">heltering in </w:t>
      </w:r>
      <w:r>
        <w:t>p</w:t>
      </w:r>
      <w:r w:rsidRPr="00AD3BA7">
        <w:t xml:space="preserve">lace </w:t>
      </w:r>
      <w:r>
        <w:t>d</w:t>
      </w:r>
      <w:r w:rsidRPr="00AD3BA7">
        <w:t xml:space="preserve">uring the COVID-19 </w:t>
      </w:r>
      <w:r>
        <w:t>p</w:t>
      </w:r>
      <w:r w:rsidRPr="00AD3BA7">
        <w:t xml:space="preserve">andemic on </w:t>
      </w:r>
      <w:r>
        <w:t>o</w:t>
      </w:r>
      <w:r w:rsidRPr="00AD3BA7">
        <w:t xml:space="preserve">lder </w:t>
      </w:r>
      <w:r>
        <w:t>a</w:t>
      </w:r>
      <w:r w:rsidRPr="00AD3BA7">
        <w:t xml:space="preserve">dults’ </w:t>
      </w:r>
      <w:r>
        <w:t>s</w:t>
      </w:r>
      <w:r w:rsidRPr="00AD3BA7">
        <w:t xml:space="preserve">ocial and </w:t>
      </w:r>
      <w:r>
        <w:t>m</w:t>
      </w:r>
      <w:r w:rsidRPr="00AD3BA7">
        <w:t xml:space="preserve">ental </w:t>
      </w:r>
      <w:r>
        <w:t>w</w:t>
      </w:r>
      <w:r w:rsidRPr="00AD3BA7">
        <w:t>ell-</w:t>
      </w:r>
      <w:r>
        <w:t>b</w:t>
      </w:r>
      <w:r w:rsidRPr="00AD3BA7">
        <w:t>eing</w:t>
      </w:r>
      <w:r>
        <w:t>.</w:t>
      </w:r>
      <w:r w:rsidRPr="00AD3BA7">
        <w:t xml:space="preserve"> </w:t>
      </w:r>
      <w:r w:rsidRPr="00AD3BA7">
        <w:rPr>
          <w:i/>
          <w:iCs/>
        </w:rPr>
        <w:t>The Journals of Gerontology: Series B</w:t>
      </w:r>
      <w:r w:rsidRPr="00AD3BA7">
        <w:t>, 76</w:t>
      </w:r>
      <w:r>
        <w:t>(</w:t>
      </w:r>
      <w:r w:rsidRPr="00AD3BA7">
        <w:t>2</w:t>
      </w:r>
      <w:r>
        <w:t>)</w:t>
      </w:r>
      <w:r w:rsidRPr="00AD3BA7">
        <w:t>, e53</w:t>
      </w:r>
      <w:r>
        <w:t>-</w:t>
      </w:r>
      <w:r w:rsidRPr="00AD3BA7">
        <w:t>e58</w:t>
      </w:r>
      <w:r>
        <w:t>.</w:t>
      </w:r>
      <w:r w:rsidRPr="00AD3BA7">
        <w:t xml:space="preserve"> </w:t>
      </w:r>
      <w:hyperlink r:id="rId25" w:history="1">
        <w:r w:rsidRPr="00991EC2">
          <w:rPr>
            <w:rStyle w:val="Hyperlink"/>
          </w:rPr>
          <w:t>https://doi.org/10.1093/geronb/gbaa110</w:t>
        </w:r>
      </w:hyperlink>
    </w:p>
    <w:p w14:paraId="6D1AC82E" w14:textId="05E4E9DD" w:rsidR="001C2614" w:rsidRDefault="001C2614" w:rsidP="00763218">
      <w:r w:rsidRPr="001C2614">
        <w:t>Langton, S., Dixon, A.</w:t>
      </w:r>
      <w:r>
        <w:t>, and</w:t>
      </w:r>
      <w:r w:rsidRPr="001C2614">
        <w:t xml:space="preserve"> Farrell, G. </w:t>
      </w:r>
      <w:r>
        <w:t xml:space="preserve">(2021). </w:t>
      </w:r>
      <w:r w:rsidRPr="001C2614">
        <w:t xml:space="preserve">Six months in: pandemic crime trends in England and Wales. </w:t>
      </w:r>
      <w:r w:rsidRPr="001C2614">
        <w:rPr>
          <w:i/>
          <w:iCs/>
        </w:rPr>
        <w:t>Crime Science</w:t>
      </w:r>
      <w:r>
        <w:t>,</w:t>
      </w:r>
      <w:r w:rsidRPr="001C2614">
        <w:t xml:space="preserve"> 10, 6. </w:t>
      </w:r>
      <w:hyperlink r:id="rId26" w:history="1">
        <w:r w:rsidRPr="00991EC2">
          <w:rPr>
            <w:rStyle w:val="Hyperlink"/>
          </w:rPr>
          <w:t>https://doi.org/10.1186/s40163-021-00142-z</w:t>
        </w:r>
      </w:hyperlink>
    </w:p>
    <w:p w14:paraId="179A93BA" w14:textId="110AA9EC" w:rsidR="004A2BA7" w:rsidRPr="004A2BA7" w:rsidRDefault="004A2BA7" w:rsidP="00763218">
      <w:r w:rsidRPr="004A2BA7">
        <w:t xml:space="preserve">Mohler, G., </w:t>
      </w:r>
      <w:proofErr w:type="spellStart"/>
      <w:r w:rsidRPr="004A2BA7">
        <w:t>Bertozzi</w:t>
      </w:r>
      <w:proofErr w:type="spellEnd"/>
      <w:r w:rsidRPr="004A2BA7">
        <w:t>, A. L., Carter, J</w:t>
      </w:r>
      <w:r>
        <w:t xml:space="preserve">., Short, M. B., Sledge, D., </w:t>
      </w:r>
      <w:proofErr w:type="spellStart"/>
      <w:r>
        <w:t>Tita</w:t>
      </w:r>
      <w:proofErr w:type="spellEnd"/>
      <w:r>
        <w:t xml:space="preserve">, G. E., Uchida, C. D., and </w:t>
      </w:r>
      <w:proofErr w:type="spellStart"/>
      <w:r>
        <w:t>Brantingham</w:t>
      </w:r>
      <w:proofErr w:type="spellEnd"/>
      <w:r>
        <w:t xml:space="preserve">, P. J. (2020). </w:t>
      </w:r>
      <w:r w:rsidRPr="004A2BA7">
        <w:t>Impact of social distancing during COVID-19 pandemic on crime in Los Angeles and Indianapolis</w:t>
      </w:r>
      <w:r>
        <w:t xml:space="preserve">. </w:t>
      </w:r>
      <w:r w:rsidRPr="004A2BA7">
        <w:rPr>
          <w:i/>
          <w:iCs/>
        </w:rPr>
        <w:t>Journal of Criminal Justice</w:t>
      </w:r>
      <w:r>
        <w:t xml:space="preserve">, 68, </w:t>
      </w:r>
      <w:r w:rsidRPr="004A2BA7">
        <w:t>101692</w:t>
      </w:r>
      <w:r>
        <w:t xml:space="preserve">. </w:t>
      </w:r>
      <w:hyperlink r:id="rId27" w:history="1">
        <w:r w:rsidRPr="00991EC2">
          <w:rPr>
            <w:rStyle w:val="Hyperlink"/>
          </w:rPr>
          <w:t>https://doi.org/10.1016/j.jcrimjus.2020.101692</w:t>
        </w:r>
      </w:hyperlink>
    </w:p>
    <w:p w14:paraId="2EB38687" w14:textId="5D35DC92" w:rsidR="00D437D6" w:rsidRPr="00D437D6" w:rsidRDefault="00FE56D5" w:rsidP="00763218">
      <w:proofErr w:type="spellStart"/>
      <w:r w:rsidRPr="00FE56D5">
        <w:t>Nivette</w:t>
      </w:r>
      <w:proofErr w:type="spellEnd"/>
      <w:r w:rsidRPr="00FE56D5">
        <w:t xml:space="preserve">, </w:t>
      </w:r>
      <w:r>
        <w:t>A. E.,</w:t>
      </w:r>
      <w:r w:rsidRPr="00FE56D5">
        <w:t xml:space="preserve"> </w:t>
      </w:r>
      <w:proofErr w:type="spellStart"/>
      <w:r w:rsidRPr="00FE56D5">
        <w:t>Zahnow</w:t>
      </w:r>
      <w:proofErr w:type="spellEnd"/>
      <w:r w:rsidRPr="00FE56D5">
        <w:t xml:space="preserve">, </w:t>
      </w:r>
      <w:r>
        <w:t>R.,</w:t>
      </w:r>
      <w:r w:rsidRPr="00FE56D5">
        <w:t xml:space="preserve"> Aguilar,</w:t>
      </w:r>
      <w:r>
        <w:t xml:space="preserve"> R., </w:t>
      </w:r>
      <w:proofErr w:type="spellStart"/>
      <w:r w:rsidRPr="00FE56D5">
        <w:t>Ahven</w:t>
      </w:r>
      <w:proofErr w:type="spellEnd"/>
      <w:r w:rsidRPr="00FE56D5">
        <w:t xml:space="preserve">, </w:t>
      </w:r>
      <w:r>
        <w:t>A.,</w:t>
      </w:r>
      <w:r w:rsidRPr="00FE56D5">
        <w:t xml:space="preserve"> Amram, </w:t>
      </w:r>
      <w:r>
        <w:t xml:space="preserve">S., </w:t>
      </w:r>
      <w:r w:rsidRPr="00FE56D5">
        <w:t xml:space="preserve">Ariel, </w:t>
      </w:r>
      <w:r>
        <w:t xml:space="preserve">B., </w:t>
      </w:r>
      <w:proofErr w:type="spellStart"/>
      <w:r w:rsidRPr="00FE56D5">
        <w:t>Arosemena</w:t>
      </w:r>
      <w:proofErr w:type="spellEnd"/>
      <w:r w:rsidRPr="00FE56D5">
        <w:t xml:space="preserve"> </w:t>
      </w:r>
      <w:proofErr w:type="spellStart"/>
      <w:r w:rsidRPr="00FE56D5">
        <w:t>Burbano</w:t>
      </w:r>
      <w:proofErr w:type="spellEnd"/>
      <w:r w:rsidRPr="00FE56D5">
        <w:t xml:space="preserve">, </w:t>
      </w:r>
      <w:r>
        <w:t xml:space="preserve">M. J., </w:t>
      </w:r>
      <w:proofErr w:type="spellStart"/>
      <w:r w:rsidRPr="00FE56D5">
        <w:t>Astolfi</w:t>
      </w:r>
      <w:proofErr w:type="spellEnd"/>
      <w:r w:rsidRPr="00FE56D5">
        <w:t>,</w:t>
      </w:r>
      <w:r>
        <w:t xml:space="preserve"> R., </w:t>
      </w:r>
      <w:r w:rsidRPr="00FE56D5">
        <w:t xml:space="preserve">Baier, </w:t>
      </w:r>
      <w:r>
        <w:t xml:space="preserve">D., </w:t>
      </w:r>
      <w:r w:rsidRPr="00FE56D5">
        <w:t xml:space="preserve">Bark, </w:t>
      </w:r>
      <w:r>
        <w:t xml:space="preserve">H., </w:t>
      </w:r>
      <w:proofErr w:type="spellStart"/>
      <w:r w:rsidRPr="00FE56D5">
        <w:t>Beijers</w:t>
      </w:r>
      <w:proofErr w:type="spellEnd"/>
      <w:r w:rsidRPr="00FE56D5">
        <w:t xml:space="preserve">, </w:t>
      </w:r>
      <w:r w:rsidR="00D437D6">
        <w:t xml:space="preserve">J. E. H., </w:t>
      </w:r>
      <w:r w:rsidRPr="00FE56D5">
        <w:t xml:space="preserve">Bergman, </w:t>
      </w:r>
      <w:r w:rsidR="00D437D6">
        <w:t xml:space="preserve">M., </w:t>
      </w:r>
      <w:proofErr w:type="spellStart"/>
      <w:r w:rsidRPr="00FE56D5">
        <w:t>Breetzke</w:t>
      </w:r>
      <w:proofErr w:type="spellEnd"/>
      <w:r w:rsidRPr="00FE56D5">
        <w:t xml:space="preserve">, </w:t>
      </w:r>
      <w:r w:rsidR="00D437D6">
        <w:t xml:space="preserve">G., </w:t>
      </w:r>
      <w:r w:rsidRPr="00FE56D5">
        <w:t xml:space="preserve">Concha-Eastman, </w:t>
      </w:r>
      <w:r w:rsidR="00D437D6">
        <w:t xml:space="preserve">I. A., </w:t>
      </w:r>
      <w:r w:rsidRPr="00FE56D5">
        <w:lastRenderedPageBreak/>
        <w:t xml:space="preserve">Curtis-Ham, </w:t>
      </w:r>
      <w:r w:rsidR="00D437D6">
        <w:t xml:space="preserve">S., </w:t>
      </w:r>
      <w:r w:rsidRPr="00FE56D5">
        <w:t xml:space="preserve">Davenport, </w:t>
      </w:r>
      <w:r w:rsidR="00D437D6">
        <w:t xml:space="preserve">R., </w:t>
      </w:r>
      <w:r w:rsidRPr="00FE56D5">
        <w:t xml:space="preserve">Díaz, </w:t>
      </w:r>
      <w:r w:rsidR="00D437D6">
        <w:t xml:space="preserve">C., </w:t>
      </w:r>
      <w:proofErr w:type="spellStart"/>
      <w:r w:rsidRPr="00FE56D5">
        <w:t>Fleitas</w:t>
      </w:r>
      <w:proofErr w:type="spellEnd"/>
      <w:r w:rsidRPr="00FE56D5">
        <w:t xml:space="preserve">, </w:t>
      </w:r>
      <w:r w:rsidR="00D437D6">
        <w:t xml:space="preserve">D., </w:t>
      </w:r>
      <w:proofErr w:type="spellStart"/>
      <w:r w:rsidRPr="00FE56D5">
        <w:t>Gerell</w:t>
      </w:r>
      <w:proofErr w:type="spellEnd"/>
      <w:r w:rsidRPr="00FE56D5">
        <w:t xml:space="preserve">, </w:t>
      </w:r>
      <w:r w:rsidR="00D437D6">
        <w:t xml:space="preserve">M., </w:t>
      </w:r>
      <w:r w:rsidRPr="00FE56D5">
        <w:t>Jang,</w:t>
      </w:r>
      <w:r w:rsidR="00D437D6">
        <w:t xml:space="preserve"> K., </w:t>
      </w:r>
      <w:proofErr w:type="spellStart"/>
      <w:r w:rsidRPr="00FE56D5">
        <w:t>Kääriäinen</w:t>
      </w:r>
      <w:proofErr w:type="spellEnd"/>
      <w:r w:rsidRPr="00FE56D5">
        <w:t xml:space="preserve">, </w:t>
      </w:r>
      <w:r w:rsidR="00D437D6">
        <w:t xml:space="preserve">J., </w:t>
      </w:r>
      <w:proofErr w:type="spellStart"/>
      <w:r w:rsidRPr="00FE56D5">
        <w:t>Lappi-Seppälä</w:t>
      </w:r>
      <w:proofErr w:type="spellEnd"/>
      <w:r w:rsidRPr="00FE56D5">
        <w:t xml:space="preserve">, </w:t>
      </w:r>
      <w:r w:rsidR="00D437D6">
        <w:t xml:space="preserve">T., </w:t>
      </w:r>
      <w:r w:rsidRPr="00D437D6">
        <w:t xml:space="preserve">Lim, </w:t>
      </w:r>
      <w:r w:rsidR="00D437D6" w:rsidRPr="00D437D6">
        <w:t>W.,</w:t>
      </w:r>
      <w:r w:rsidR="00D437D6">
        <w:t xml:space="preserve"> </w:t>
      </w:r>
      <w:r w:rsidRPr="00D437D6">
        <w:t xml:space="preserve">Loureiro Revilla, </w:t>
      </w:r>
      <w:r w:rsidR="00D437D6" w:rsidRPr="00D437D6">
        <w:t xml:space="preserve">R., </w:t>
      </w:r>
      <w:r w:rsidRPr="00D437D6">
        <w:t xml:space="preserve">Mazerolle, </w:t>
      </w:r>
      <w:r w:rsidR="00D437D6" w:rsidRPr="00D437D6">
        <w:t>L.,</w:t>
      </w:r>
      <w:r w:rsidR="00D437D6">
        <w:t xml:space="preserve"> </w:t>
      </w:r>
      <w:proofErr w:type="spellStart"/>
      <w:r w:rsidRPr="00D437D6">
        <w:t>Meško</w:t>
      </w:r>
      <w:proofErr w:type="spellEnd"/>
      <w:r w:rsidRPr="00D437D6">
        <w:t xml:space="preserve">, </w:t>
      </w:r>
      <w:r w:rsidR="00D437D6" w:rsidRPr="00D437D6">
        <w:t xml:space="preserve">G., </w:t>
      </w:r>
      <w:r w:rsidRPr="00D437D6">
        <w:t xml:space="preserve">Pereda, </w:t>
      </w:r>
      <w:r w:rsidR="00D437D6" w:rsidRPr="00D437D6">
        <w:t>N.,</w:t>
      </w:r>
      <w:r w:rsidR="00D437D6">
        <w:t xml:space="preserve"> </w:t>
      </w:r>
      <w:r w:rsidRPr="00D437D6">
        <w:t xml:space="preserve">Peres, </w:t>
      </w:r>
      <w:r w:rsidR="00D437D6" w:rsidRPr="00D437D6">
        <w:t>M. F. T.</w:t>
      </w:r>
      <w:r w:rsidR="00D437D6">
        <w:t xml:space="preserve">, </w:t>
      </w:r>
      <w:r w:rsidRPr="00D437D6">
        <w:t>Poblete-</w:t>
      </w:r>
      <w:proofErr w:type="spellStart"/>
      <w:r w:rsidRPr="00D437D6">
        <w:t>Cazenave</w:t>
      </w:r>
      <w:proofErr w:type="spellEnd"/>
      <w:r w:rsidRPr="00D437D6">
        <w:t xml:space="preserve">, </w:t>
      </w:r>
      <w:r w:rsidR="00D437D6" w:rsidRPr="00D437D6">
        <w:t xml:space="preserve">R., </w:t>
      </w:r>
      <w:r w:rsidR="00D437D6">
        <w:t xml:space="preserve">Rose, S., </w:t>
      </w:r>
      <w:proofErr w:type="spellStart"/>
      <w:r w:rsidRPr="00D437D6">
        <w:t>Svensson</w:t>
      </w:r>
      <w:proofErr w:type="spellEnd"/>
      <w:r w:rsidRPr="00D437D6">
        <w:t xml:space="preserve">, </w:t>
      </w:r>
      <w:r w:rsidR="00D437D6" w:rsidRPr="00D437D6">
        <w:t xml:space="preserve">R., </w:t>
      </w:r>
      <w:r w:rsidRPr="00D437D6">
        <w:t xml:space="preserve">Trajtenberg, </w:t>
      </w:r>
      <w:r w:rsidR="00D437D6" w:rsidRPr="00D437D6">
        <w:t xml:space="preserve">N., </w:t>
      </w:r>
      <w:r w:rsidRPr="00D437D6">
        <w:t xml:space="preserve">van der Lippe, </w:t>
      </w:r>
      <w:r w:rsidR="00D437D6" w:rsidRPr="00D437D6">
        <w:t xml:space="preserve">T., </w:t>
      </w:r>
      <w:proofErr w:type="spellStart"/>
      <w:r w:rsidRPr="00D437D6">
        <w:t>Veldkamp</w:t>
      </w:r>
      <w:proofErr w:type="spellEnd"/>
      <w:r w:rsidRPr="00D437D6">
        <w:t xml:space="preserve">, </w:t>
      </w:r>
      <w:r w:rsidR="00D437D6" w:rsidRPr="00D437D6">
        <w:t xml:space="preserve">J., </w:t>
      </w:r>
      <w:proofErr w:type="spellStart"/>
      <w:r w:rsidRPr="00D437D6">
        <w:t>Vilalta</w:t>
      </w:r>
      <w:proofErr w:type="spellEnd"/>
      <w:r w:rsidRPr="00D437D6">
        <w:t xml:space="preserve"> Perdomo</w:t>
      </w:r>
      <w:r w:rsidR="00D437D6" w:rsidRPr="00D437D6">
        <w:t>, C. J.,</w:t>
      </w:r>
      <w:r w:rsidR="00D437D6">
        <w:t xml:space="preserve"> and Eisner, M. P. (2021).</w:t>
      </w:r>
      <w:r w:rsidR="00D437D6" w:rsidRPr="00D437D6">
        <w:t xml:space="preserve"> A global analysis of the impact of COVID-19 stay-at-home restrictions on crime</w:t>
      </w:r>
      <w:r w:rsidR="00D437D6">
        <w:t xml:space="preserve">. </w:t>
      </w:r>
      <w:r w:rsidR="00D437D6" w:rsidRPr="00D437D6">
        <w:rPr>
          <w:i/>
          <w:iCs/>
        </w:rPr>
        <w:t>Nature Human Behaviour</w:t>
      </w:r>
      <w:r w:rsidR="00D437D6">
        <w:t xml:space="preserve">. </w:t>
      </w:r>
      <w:hyperlink r:id="rId28" w:history="1">
        <w:r w:rsidR="00D437D6" w:rsidRPr="00991EC2">
          <w:rPr>
            <w:rStyle w:val="Hyperlink"/>
          </w:rPr>
          <w:t>https://doi.org/10.1038/s41562-021-01139-z</w:t>
        </w:r>
      </w:hyperlink>
    </w:p>
    <w:p w14:paraId="194D0596" w14:textId="1D2FC51A" w:rsidR="002C0BAA" w:rsidRDefault="002C0BAA" w:rsidP="00763218">
      <w:r w:rsidRPr="002C0BAA">
        <w:t>Nix</w:t>
      </w:r>
      <w:r>
        <w:t>, J.,</w:t>
      </w:r>
      <w:r w:rsidRPr="002C0BAA">
        <w:t xml:space="preserve"> </w:t>
      </w:r>
      <w:r>
        <w:t>and</w:t>
      </w:r>
      <w:r w:rsidRPr="002C0BAA">
        <w:t xml:space="preserve"> Richards</w:t>
      </w:r>
      <w:r>
        <w:t>, T. N.</w:t>
      </w:r>
      <w:r w:rsidRPr="002C0BAA">
        <w:t xml:space="preserve"> (2021)</w:t>
      </w:r>
      <w:r>
        <w:t>.</w:t>
      </w:r>
      <w:r w:rsidRPr="002C0BAA">
        <w:t xml:space="preserve"> </w:t>
      </w:r>
      <w:r w:rsidRPr="002C0BAA">
        <w:rPr>
          <w:i/>
          <w:iCs/>
        </w:rPr>
        <w:t>The immediate and long-term effects of COVID-19 stay-at-home orders on domestic violence calls for service across six U.S. jurisdictions</w:t>
      </w:r>
      <w:r>
        <w:t>.</w:t>
      </w:r>
      <w:r w:rsidRPr="002C0BAA">
        <w:t xml:space="preserve"> </w:t>
      </w:r>
      <w:r w:rsidRPr="002C0BAA">
        <w:rPr>
          <w:i/>
          <w:iCs/>
        </w:rPr>
        <w:t>Police Practice and Research</w:t>
      </w:r>
      <w:r w:rsidRPr="002C0BAA">
        <w:t>, 22</w:t>
      </w:r>
      <w:r>
        <w:t>(</w:t>
      </w:r>
      <w:r w:rsidRPr="002C0BAA">
        <w:t>4</w:t>
      </w:r>
      <w:r>
        <w:t>)</w:t>
      </w:r>
      <w:r w:rsidRPr="002C0BAA">
        <w:t>, 1443-1451</w:t>
      </w:r>
      <w:r>
        <w:t>.</w:t>
      </w:r>
      <w:r w:rsidRPr="002C0BAA">
        <w:t xml:space="preserve"> </w:t>
      </w:r>
      <w:hyperlink r:id="rId29" w:history="1">
        <w:r w:rsidRPr="00991EC2">
          <w:rPr>
            <w:rStyle w:val="Hyperlink"/>
          </w:rPr>
          <w:t>https://doi.org/10.1080/15614263.2021.1883018</w:t>
        </w:r>
      </w:hyperlink>
    </w:p>
    <w:p w14:paraId="4BF0D57D" w14:textId="6201CE0F" w:rsidR="004A2BA7" w:rsidRDefault="004A2BA7" w:rsidP="00763218">
      <w:r>
        <w:t xml:space="preserve">Payne, J. L., Morgan, A., and Piquero, A. R. (2021). </w:t>
      </w:r>
      <w:r w:rsidRPr="004A2BA7">
        <w:t>Exploring regional variability in the short-term impact of COVID-19 on property crime in Queensland, Australia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10, 7. </w:t>
      </w:r>
      <w:hyperlink r:id="rId30" w:history="1">
        <w:r w:rsidRPr="00991EC2">
          <w:rPr>
            <w:rStyle w:val="Hyperlink"/>
          </w:rPr>
          <w:t>https://doi.org/10.1186/s40163-020-00136-3</w:t>
        </w:r>
      </w:hyperlink>
    </w:p>
    <w:p w14:paraId="04C29D89" w14:textId="6F918163" w:rsidR="001C2614" w:rsidRPr="001C2614" w:rsidRDefault="001C2614" w:rsidP="00763218">
      <w:r w:rsidRPr="001C2614">
        <w:t xml:space="preserve">Piquero, A. R., Jennings, W. G., Jemison, E., </w:t>
      </w:r>
      <w:proofErr w:type="spellStart"/>
      <w:r w:rsidRPr="001C2614">
        <w:t>K</w:t>
      </w:r>
      <w:r>
        <w:t>aukinen</w:t>
      </w:r>
      <w:proofErr w:type="spellEnd"/>
      <w:r>
        <w:t xml:space="preserve">, C., and Knaul, F. M. (2021). </w:t>
      </w:r>
      <w:r w:rsidRPr="001C2614">
        <w:t>Domestic violence during the COVID-19 pandemic - Evidence from a systematic review and meta-analysis</w:t>
      </w:r>
      <w:r>
        <w:t xml:space="preserve">. </w:t>
      </w:r>
      <w:r w:rsidRPr="001C2614">
        <w:rPr>
          <w:i/>
          <w:iCs/>
        </w:rPr>
        <w:t>Journal of Criminal Justice</w:t>
      </w:r>
      <w:r>
        <w:t xml:space="preserve">, 74, </w:t>
      </w:r>
      <w:r w:rsidRPr="001C2614">
        <w:t>101806</w:t>
      </w:r>
      <w:r>
        <w:t xml:space="preserve">. </w:t>
      </w:r>
      <w:hyperlink r:id="rId31" w:history="1">
        <w:r w:rsidRPr="00991EC2">
          <w:rPr>
            <w:rStyle w:val="Hyperlink"/>
          </w:rPr>
          <w:t>https://doi.org/10.1016/j.jcrimjus.2021.101806</w:t>
        </w:r>
      </w:hyperlink>
    </w:p>
    <w:p w14:paraId="00539D36" w14:textId="7C21FAC3" w:rsidR="00F46100" w:rsidRDefault="00763218" w:rsidP="00763218">
      <w:r w:rsidRPr="001C2614">
        <w:t xml:space="preserve">R Core Team (2020). </w:t>
      </w:r>
      <w:r w:rsidRPr="00763218">
        <w:rPr>
          <w:i/>
          <w:iCs/>
        </w:rPr>
        <w:t>R: A language and environment for statistical computing</w:t>
      </w:r>
      <w:r>
        <w:t xml:space="preserve">. Vienna: R Foundation for Statistical Computing. </w:t>
      </w:r>
      <w:hyperlink r:id="rId32" w:history="1">
        <w:r w:rsidR="00AD3BA7" w:rsidRPr="00991EC2">
          <w:rPr>
            <w:rStyle w:val="Hyperlink"/>
          </w:rPr>
          <w:t>https://www.R-project.org/</w:t>
        </w:r>
      </w:hyperlink>
      <w:r>
        <w:t>.</w:t>
      </w:r>
    </w:p>
    <w:p w14:paraId="0AC50E1D" w14:textId="3ECBE44B" w:rsidR="00AD3BA7" w:rsidRDefault="00AD3BA7" w:rsidP="00763218">
      <w:r w:rsidRPr="00AD3BA7">
        <w:t xml:space="preserve">Rajkumar, </w:t>
      </w:r>
      <w:r>
        <w:t>R. P. (</w:t>
      </w:r>
      <w:r w:rsidRPr="00AD3BA7">
        <w:t>2020</w:t>
      </w:r>
      <w:r>
        <w:t xml:space="preserve">). </w:t>
      </w:r>
      <w:r w:rsidRPr="00AD3BA7">
        <w:t>COVID-19 and mental health: A review of the existing literature</w:t>
      </w:r>
      <w:r>
        <w:t xml:space="preserve">. </w:t>
      </w:r>
      <w:r w:rsidRPr="00AD3BA7">
        <w:rPr>
          <w:i/>
          <w:iCs/>
        </w:rPr>
        <w:t>Asian Journal of Psychiatry</w:t>
      </w:r>
      <w:r>
        <w:t xml:space="preserve">, 52, </w:t>
      </w:r>
      <w:r w:rsidRPr="00AD3BA7">
        <w:t>102066</w:t>
      </w:r>
      <w:r>
        <w:t xml:space="preserve">. </w:t>
      </w:r>
      <w:hyperlink r:id="rId33" w:history="1">
        <w:r w:rsidRPr="00991EC2">
          <w:rPr>
            <w:rStyle w:val="Hyperlink"/>
          </w:rPr>
          <w:t>https://doi.org/10.1016/j.ajp.2020.102066</w:t>
        </w:r>
      </w:hyperlink>
    </w:p>
    <w:p w14:paraId="21D6CCF9" w14:textId="48822B2C" w:rsidR="00A57E48" w:rsidRDefault="00A57E48" w:rsidP="00A57E48">
      <w:proofErr w:type="spellStart"/>
      <w:r w:rsidRPr="00A57E48">
        <w:t>Stechemesser</w:t>
      </w:r>
      <w:proofErr w:type="spellEnd"/>
      <w:r w:rsidRPr="00A57E48">
        <w:t>,</w:t>
      </w:r>
      <w:r>
        <w:t xml:space="preserve"> A., Wenz, L., and </w:t>
      </w:r>
      <w:proofErr w:type="spellStart"/>
      <w:r>
        <w:t>Levermann</w:t>
      </w:r>
      <w:proofErr w:type="spellEnd"/>
      <w:r>
        <w:t>, A.</w:t>
      </w:r>
      <w:r w:rsidRPr="00A57E48">
        <w:t xml:space="preserve"> </w:t>
      </w:r>
      <w:r>
        <w:t>(</w:t>
      </w:r>
      <w:r w:rsidRPr="00A57E48">
        <w:t>2020</w:t>
      </w:r>
      <w:r>
        <w:t xml:space="preserve">). </w:t>
      </w:r>
      <w:r w:rsidRPr="00A57E48">
        <w:t>Corona</w:t>
      </w:r>
      <w:r>
        <w:t xml:space="preserve"> </w:t>
      </w:r>
      <w:r w:rsidRPr="00A57E48">
        <w:t>crisis</w:t>
      </w:r>
      <w:r>
        <w:t xml:space="preserve"> </w:t>
      </w:r>
      <w:r w:rsidRPr="00A57E48">
        <w:t>fuels</w:t>
      </w:r>
      <w:r>
        <w:t xml:space="preserve"> </w:t>
      </w:r>
      <w:r w:rsidRPr="00A57E48">
        <w:t>racially</w:t>
      </w:r>
      <w:r>
        <w:t xml:space="preserve"> </w:t>
      </w:r>
      <w:r w:rsidRPr="00A57E48">
        <w:t>profiled</w:t>
      </w:r>
      <w:r>
        <w:t xml:space="preserve"> </w:t>
      </w:r>
      <w:r w:rsidRPr="00A57E48">
        <w:t>hate</w:t>
      </w:r>
      <w:r>
        <w:t xml:space="preserve"> </w:t>
      </w:r>
      <w:r w:rsidRPr="00A57E48">
        <w:t>in</w:t>
      </w:r>
      <w:r>
        <w:t xml:space="preserve"> </w:t>
      </w:r>
      <w:r w:rsidRPr="00A57E48">
        <w:t>social</w:t>
      </w:r>
      <w:r>
        <w:t xml:space="preserve"> </w:t>
      </w:r>
      <w:r w:rsidRPr="00A57E48">
        <w:t>media</w:t>
      </w:r>
      <w:r>
        <w:t xml:space="preserve"> </w:t>
      </w:r>
      <w:r w:rsidRPr="00A57E48">
        <w:t>networks</w:t>
      </w:r>
      <w:r>
        <w:t xml:space="preserve">. </w:t>
      </w:r>
      <w:proofErr w:type="spellStart"/>
      <w:r w:rsidRPr="00A57E48">
        <w:rPr>
          <w:i/>
          <w:iCs/>
        </w:rPr>
        <w:t>EClinicalMedicine</w:t>
      </w:r>
      <w:proofErr w:type="spellEnd"/>
      <w:r>
        <w:t xml:space="preserve">, 23, </w:t>
      </w:r>
      <w:r w:rsidRPr="00A57E48">
        <w:t>100372</w:t>
      </w:r>
      <w:r>
        <w:t>.</w:t>
      </w:r>
      <w:r w:rsidRPr="00A57E48">
        <w:t xml:space="preserve"> </w:t>
      </w:r>
      <w:hyperlink r:id="rId34" w:history="1">
        <w:r w:rsidRPr="00991EC2">
          <w:rPr>
            <w:rStyle w:val="Hyperlink"/>
          </w:rPr>
          <w:t>https://doi.org/10.1016/j.eclinm.2020.100372</w:t>
        </w:r>
      </w:hyperlink>
    </w:p>
    <w:p w14:paraId="2860821C" w14:textId="77777777" w:rsidR="00F46100" w:rsidRPr="00F46100" w:rsidRDefault="00F46100" w:rsidP="009235CB"/>
    <w:p w14:paraId="73C8C912" w14:textId="77777777" w:rsidR="00F46100" w:rsidRPr="00F46100" w:rsidRDefault="00F46100" w:rsidP="009235C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2DB6" w14:textId="77777777" w:rsidR="00BE30AA" w:rsidRDefault="00BE30AA" w:rsidP="00BA0654">
      <w:pPr>
        <w:spacing w:after="0" w:line="240" w:lineRule="auto"/>
      </w:pPr>
      <w:r>
        <w:separator/>
      </w:r>
    </w:p>
  </w:endnote>
  <w:endnote w:type="continuationSeparator" w:id="0">
    <w:p w14:paraId="46877074" w14:textId="77777777" w:rsidR="00BE30AA" w:rsidRDefault="00BE30AA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40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9F16A" w14:textId="4BFD2012" w:rsidR="002F23A7" w:rsidRDefault="002F23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2D800" w14:textId="77777777" w:rsidR="002F23A7" w:rsidRDefault="002F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8B11" w14:textId="77777777" w:rsidR="00BE30AA" w:rsidRDefault="00BE30AA" w:rsidP="00BA0654">
      <w:pPr>
        <w:spacing w:after="0" w:line="240" w:lineRule="auto"/>
      </w:pPr>
      <w:r>
        <w:separator/>
      </w:r>
    </w:p>
  </w:footnote>
  <w:footnote w:type="continuationSeparator" w:id="0">
    <w:p w14:paraId="64B08963" w14:textId="77777777" w:rsidR="00BE30AA" w:rsidRDefault="00BE30AA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43A18"/>
    <w:rsid w:val="0007082B"/>
    <w:rsid w:val="000C33ED"/>
    <w:rsid w:val="00176BF5"/>
    <w:rsid w:val="001924AD"/>
    <w:rsid w:val="001C2614"/>
    <w:rsid w:val="001F1246"/>
    <w:rsid w:val="00225800"/>
    <w:rsid w:val="002369C4"/>
    <w:rsid w:val="002A4380"/>
    <w:rsid w:val="002C0BAA"/>
    <w:rsid w:val="002F23A7"/>
    <w:rsid w:val="00333DD3"/>
    <w:rsid w:val="00343217"/>
    <w:rsid w:val="00382C5D"/>
    <w:rsid w:val="00386474"/>
    <w:rsid w:val="003C3385"/>
    <w:rsid w:val="0040625E"/>
    <w:rsid w:val="0049544B"/>
    <w:rsid w:val="004A2BA7"/>
    <w:rsid w:val="00540645"/>
    <w:rsid w:val="005629C6"/>
    <w:rsid w:val="00585D32"/>
    <w:rsid w:val="0059522B"/>
    <w:rsid w:val="005F6FB3"/>
    <w:rsid w:val="00660362"/>
    <w:rsid w:val="0067178A"/>
    <w:rsid w:val="006B47E2"/>
    <w:rsid w:val="00711869"/>
    <w:rsid w:val="007214B8"/>
    <w:rsid w:val="007406D0"/>
    <w:rsid w:val="00763218"/>
    <w:rsid w:val="008D342F"/>
    <w:rsid w:val="009235CB"/>
    <w:rsid w:val="009A1A73"/>
    <w:rsid w:val="009E69EE"/>
    <w:rsid w:val="00A1623A"/>
    <w:rsid w:val="00A34B56"/>
    <w:rsid w:val="00A57E48"/>
    <w:rsid w:val="00AB69DA"/>
    <w:rsid w:val="00AD3BA7"/>
    <w:rsid w:val="00B14E43"/>
    <w:rsid w:val="00B32E43"/>
    <w:rsid w:val="00BA0654"/>
    <w:rsid w:val="00BB4456"/>
    <w:rsid w:val="00BC233A"/>
    <w:rsid w:val="00BE30AA"/>
    <w:rsid w:val="00BF0B59"/>
    <w:rsid w:val="00C11C10"/>
    <w:rsid w:val="00C36C12"/>
    <w:rsid w:val="00C576A7"/>
    <w:rsid w:val="00C82CDF"/>
    <w:rsid w:val="00D437D6"/>
    <w:rsid w:val="00DB0B5B"/>
    <w:rsid w:val="00E25839"/>
    <w:rsid w:val="00EA673B"/>
    <w:rsid w:val="00EC78D7"/>
    <w:rsid w:val="00F46100"/>
    <w:rsid w:val="00F64EB6"/>
    <w:rsid w:val="00F71555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A7"/>
  </w:style>
  <w:style w:type="paragraph" w:styleId="Footer">
    <w:name w:val="footer"/>
    <w:basedOn w:val="Normal"/>
    <w:link w:val="Foot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A7"/>
  </w:style>
  <w:style w:type="paragraph" w:styleId="ListParagraph">
    <w:name w:val="List Paragraph"/>
    <w:basedOn w:val="Normal"/>
    <w:uiPriority w:val="34"/>
    <w:qFormat/>
    <w:rsid w:val="00D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i.org/10.1073/pnas.2006991117" TargetMode="External"/><Relationship Id="rId26" Type="http://schemas.openxmlformats.org/officeDocument/2006/relationships/hyperlink" Target="https://doi.org/10.1186/s40163-021-00142-z" TargetMode="External"/><Relationship Id="rId21" Type="http://schemas.openxmlformats.org/officeDocument/2006/relationships/hyperlink" Target="https://doi.org/10.1108/JFC-02-2021-0042" TargetMode="External"/><Relationship Id="rId34" Type="http://schemas.openxmlformats.org/officeDocument/2006/relationships/hyperlink" Target="https://doi.org/10.1016/j.eclinm.2020.100372" TargetMode="External"/><Relationship Id="rId7" Type="http://schemas.openxmlformats.org/officeDocument/2006/relationships/hyperlink" Target="https://www.psni.police.uk/inside-psni/Statistics/police-recorded-crime-statistic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i.org/10.1186/s40163-020-00117-6" TargetMode="External"/><Relationship Id="rId25" Type="http://schemas.openxmlformats.org/officeDocument/2006/relationships/hyperlink" Target="https://doi.org/10.1093/geronb/gbaa110" TargetMode="External"/><Relationship Id="rId33" Type="http://schemas.openxmlformats.org/officeDocument/2006/relationships/hyperlink" Target="https://doi.org/10.1016/j.ajp.2020.1020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jpubeco.2020.104344" TargetMode="External"/><Relationship Id="rId20" Type="http://schemas.openxmlformats.org/officeDocument/2006/relationships/hyperlink" Target="https://doi.org/10.1080/14616696.2020.1804973" TargetMode="External"/><Relationship Id="rId29" Type="http://schemas.openxmlformats.org/officeDocument/2006/relationships/hyperlink" Target="https://doi.org/10.1080/15614263.2021.188301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177/10439862211027986" TargetMode="External"/><Relationship Id="rId32" Type="http://schemas.openxmlformats.org/officeDocument/2006/relationships/hyperlink" Target="https://www.R-project.org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40615-020-00833-4" TargetMode="External"/><Relationship Id="rId23" Type="http://schemas.openxmlformats.org/officeDocument/2006/relationships/hyperlink" Target="https://doi.org/10.1186/s40163-020-00121-w" TargetMode="External"/><Relationship Id="rId28" Type="http://schemas.openxmlformats.org/officeDocument/2006/relationships/hyperlink" Target="https://doi.org/10.1038/s41562-021-01139-z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i.org/10.1016/j.drugpo.2020.102870" TargetMode="External"/><Relationship Id="rId31" Type="http://schemas.openxmlformats.org/officeDocument/2006/relationships/hyperlink" Target="https://doi.org/10.1016/j.jcrimjus.2021.1018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080/14616696.2020.1808692" TargetMode="External"/><Relationship Id="rId27" Type="http://schemas.openxmlformats.org/officeDocument/2006/relationships/hyperlink" Target="https://doi.org/10.1016/j.jcrimjus.2020.101692" TargetMode="External"/><Relationship Id="rId30" Type="http://schemas.openxmlformats.org/officeDocument/2006/relationships/hyperlink" Target="https://doi.org/10.1186/s40163-020-00136-3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opendatani.gov.uk/dataset/police-recorded-crime-in-northern-irelan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7</cp:revision>
  <dcterms:created xsi:type="dcterms:W3CDTF">2021-06-24T13:28:00Z</dcterms:created>
  <dcterms:modified xsi:type="dcterms:W3CDTF">2021-06-25T12:49:00Z</dcterms:modified>
</cp:coreProperties>
</file>