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in Northern Ireland</w:t>
      </w:r>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Guideline does not specify wordcount</w:t>
      </w:r>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62E44CC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58317C34"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6F2495">
        <w:t>.</w:t>
      </w:r>
      <w:r w:rsidR="008C2162">
        <w:t xml:space="preserve"> </w:t>
      </w:r>
      <w:r w:rsidR="00C257B0">
        <w:t xml:space="preserve">Section 3 describes </w:t>
      </w:r>
      <w:r w:rsidR="008C2162">
        <w:t xml:space="preserve">how </w:t>
      </w:r>
      <w:r w:rsidR="00C257B0">
        <w:t>changes in routine activities during COVID-19</w:t>
      </w:r>
      <w:r w:rsidR="008C2162">
        <w:t xml:space="preserve"> affected </w:t>
      </w:r>
      <w:r w:rsidR="006F2495">
        <w:t xml:space="preserve">crime </w:t>
      </w:r>
      <w:r w:rsidR="008C2162">
        <w:t xml:space="preserve">rates in different parts of the world. Section </w:t>
      </w:r>
      <w:r w:rsidR="00C257B0">
        <w:t>4</w:t>
      </w:r>
      <w:r w:rsidR="008C2162">
        <w:t xml:space="preserve"> introduces the data and analytical strategy. Section </w:t>
      </w:r>
      <w:r w:rsidR="006F2495">
        <w:t xml:space="preserve">5 </w:t>
      </w:r>
      <w:r w:rsidR="008C2162">
        <w:t xml:space="preserve">presents the results of the analysis, and Section </w:t>
      </w:r>
      <w:r w:rsidR="006F2495">
        <w:t>6</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The timeline of the COVID-19 pandemic in Northern Ireland was similar to that of other parts of the UK and Europe. The first case of COVID-19 was detected in the town of Antrim on February 27</w:t>
      </w:r>
      <w:r w:rsidRPr="00A57E48">
        <w:rPr>
          <w:vertAlign w:val="superscript"/>
        </w:rPr>
        <w:t>th</w:t>
      </w:r>
      <w:r>
        <w:t xml:space="preserve"> 2020,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r w:rsidR="00A946C1">
        <w:rPr>
          <w:i/>
          <w:iCs/>
        </w:rPr>
        <w:t xml:space="preserve"> 2020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r>
        <w:t xml:space="preserve"> </w:t>
      </w:r>
      <w:r w:rsidRPr="004A14EE">
        <w:t>2020</w:t>
      </w:r>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r w:rsidR="00C257B0">
        <w:t xml:space="preserve"> 2020),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779991B2"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58DB5D9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residential and non-residential burglary. Similar results were found in other countries, including </w:t>
      </w:r>
      <w:r w:rsidR="00465647">
        <w:lastRenderedPageBreak/>
        <w:t>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2BE5DC6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xml:space="preserve">) observed an important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203AA3F3"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 xml:space="preserve">Nix and Richards (2021) observed that while domestic violence calls for services increased during the first stay-at-home order in six police jurisdictions in the US, </w:t>
      </w:r>
      <w:r w:rsidR="00671E67">
        <w:t>calls for police services</w:t>
      </w:r>
      <w:r w:rsidR="002A78EF">
        <w:t xml:space="preserve"> </w:t>
      </w:r>
      <w:r w:rsidR="00671E67">
        <w:t>returned</w:t>
      </w:r>
      <w:r w:rsidR="002A78EF">
        <w:t xml:space="preserve"> to pre-COVID levels when lockdown restrictions were lifted.</w:t>
      </w:r>
      <w:r w:rsidR="000C1175">
        <w:t xml:space="preserve"> </w:t>
      </w:r>
    </w:p>
    <w:p w14:paraId="42EEF01A" w14:textId="4C53385C"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and may have</w:t>
      </w:r>
      <w:r w:rsidR="00671E67">
        <w:t xml:space="preserve"> a</w:t>
      </w:r>
      <w:r w:rsidR="00DA45E8">
        <w:t xml:space="preserve"> long term effect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w:t>
      </w:r>
      <w:r w:rsidR="00DA45E8" w:rsidRPr="00CA1CF2">
        <w:lastRenderedPageBreak/>
        <w:t>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2CF07BE9"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driving licence fraud, charity fraud, false accounting or business trading fraud), </w:t>
      </w:r>
      <w:r w:rsidR="004C6E6E">
        <w:t>and cyber-enabled crime (crimes that can only take place online, such as hacking, denial of service attacks and computer viruses)</w:t>
      </w:r>
      <w:r w:rsidR="007768E1">
        <w:t>.</w:t>
      </w:r>
    </w:p>
    <w:p w14:paraId="3AAC7305" w14:textId="429586B1"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xml:space="preserve">. Some fraud types are clearly cyber-enabled, such as online shopping fraud, and thus their opportunities were likely to increase with the </w:t>
      </w:r>
      <w:r>
        <w:lastRenderedPageBreak/>
        <w:t>increased</w:t>
      </w:r>
      <w:r w:rsidR="002E727F">
        <w:t xml:space="preserve"> of internet</w:t>
      </w:r>
      <w:r>
        <w:t xml:space="preserve"> use </w:t>
      </w:r>
      <w:r w:rsidR="00A77B60">
        <w:t>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w:t>
      </w:r>
      <w:r w:rsidR="002E727F">
        <w:t>, cyber-dependent crime</w:t>
      </w:r>
      <w:r w:rsidR="00935A52">
        <w:t xml:space="preserve">),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in a given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2E8B4AC8"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-Box test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had to be adjusted manually to ensure that model assumptions were met. </w:t>
      </w:r>
      <w:r w:rsidR="0014433D">
        <w:t xml:space="preserve">We will use the results of the </w:t>
      </w:r>
      <w:r w:rsidR="0014433D">
        <w:lastRenderedPageBreak/>
        <w:t>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5827A47A" w:rsidR="00BF0B59" w:rsidRPr="00C1485C" w:rsidRDefault="00763218" w:rsidP="00362FF1">
      <w:pPr>
        <w:jc w:val="both"/>
      </w:pPr>
      <w:r>
        <w:t>The analysis has been conducted in R software (R Core Team, 2021)</w:t>
      </w:r>
      <w:r w:rsidR="0014433D">
        <w:t xml:space="preserve"> with the assistan</w:t>
      </w:r>
      <w:r w:rsidR="002E727F">
        <w:t>ce</w:t>
      </w:r>
      <w:r w:rsidR="0014433D">
        <w:t xml:space="preserve">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4160CD">
        <w:t xml:space="preserve">anonymised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39615684"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Results are presented</w:t>
      </w:r>
      <w:r>
        <w:t xml:space="preserve"> for different types of crimes</w:t>
      </w:r>
      <w:r w:rsidR="00FA1B69">
        <w:t>. T</w:t>
      </w:r>
      <w:r w:rsidR="007907D6">
        <w:t xml:space="preserve">he results of the multivariate models with ARIMA errors are </w:t>
      </w:r>
      <w:r w:rsidR="0010686C">
        <w:t>presented</w:t>
      </w:r>
      <w:r w:rsidR="007907D6">
        <w:t xml:space="preserve"> in the Appendix as a sensitivity check.</w:t>
      </w:r>
    </w:p>
    <w:p w14:paraId="64844C5D" w14:textId="48A9C2E6" w:rsidR="00BC233A" w:rsidRDefault="007907D6" w:rsidP="007907D6">
      <w:pPr>
        <w:jc w:val="both"/>
      </w:pPr>
      <w:r>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each lockdown.</w:t>
      </w:r>
      <w:r w:rsidR="00FA1B69">
        <w:t xml:space="preserve"> However, as described above in the literature review, this is likely to mask huge differences between crime types</w:t>
      </w:r>
      <w:r w:rsidR="0010686C">
        <w:t>, and may be affected by seasonal patterns in crime that affect some offences more than others</w:t>
      </w:r>
      <w:r w:rsidR="00FA1B69">
        <w:t>. The following subsections analyse crime trends for each crime type.</w:t>
      </w:r>
    </w:p>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3934B326" w14:textId="312AE5BC" w:rsidR="002A4380" w:rsidRPr="0010686C" w:rsidRDefault="0010686C" w:rsidP="008F379E">
      <w:pPr>
        <w:jc w:val="both"/>
      </w:pPr>
      <w:r w:rsidRPr="0010686C">
        <w:t>Th</w:t>
      </w:r>
      <w:r>
        <w:t>e result</w:t>
      </w:r>
      <w:r w:rsidR="00627D46">
        <w:t>s</w:t>
      </w:r>
      <w:r>
        <w:t xml:space="preserve"> of the ITS analysis of violence and sexual crimes, </w:t>
      </w:r>
      <w:r w:rsidR="00627D46">
        <w:t>including</w:t>
      </w:r>
      <w:r>
        <w:t xml:space="preserve"> </w:t>
      </w:r>
      <w:r w:rsidR="00627D46">
        <w:t xml:space="preserve">violence with injury, violence without injury, sexual offences and robbery, </w:t>
      </w:r>
      <w:r>
        <w:t xml:space="preserve">show that </w:t>
      </w:r>
      <w:r w:rsidR="00627D46">
        <w:t xml:space="preserve">crime levels decreased immediately after each COVID-19 lockdown, and rapidly returned to pre-COVID levels after each lockdown (see Figure 3). The results of the ITS models, presented in Table 1, further reinforce this finding, showing that: (a) the decrease in crime resulting from the first COVID-19 lockdown was statistically significant in all four cases; (b) the increase in crime after the first lockdown is statistically significant in the case of violence with and without injury and sex crime, but not robbery; (c) violent crime with and without injury significantly decreased immediately after the third lockdown, and returned to pre-COVID levels during the next months as lockdown restrictions were lifted. The results of the multivariate models with ARIMA errors, shown in the Appendix, show remarkably similar results, but </w:t>
      </w:r>
      <w:r w:rsidR="008F379E">
        <w:t xml:space="preserve">they also </w:t>
      </w:r>
      <w:r w:rsidR="008F379E">
        <w:lastRenderedPageBreak/>
        <w:t>indicate that, in the case of robbery, the effect of the second lockdown (negative), time since second lockdown (positive), and third lockdown (negative) on crime was likely to be statistically significant.</w:t>
      </w:r>
    </w:p>
    <w:p w14:paraId="354FB1D4" w14:textId="1A06124E" w:rsidR="009669C3" w:rsidRDefault="009669C3" w:rsidP="009235CB">
      <w:pPr>
        <w:rPr>
          <w:lang w:val="es-ES"/>
        </w:rPr>
      </w:pPr>
      <w:r>
        <w:rPr>
          <w:noProof/>
        </w:rPr>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12C8176F" w14:textId="6F25C1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 xml:space="preserve">then </w:t>
      </w:r>
      <w:r w:rsidR="008A6291">
        <w:lastRenderedPageBreak/>
        <w:t>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showing a decrease in crime after October 2020. This can be seen both in Figure 4 and Table 2. However, as can be seen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those seen before COVID-19, with increases in crime during summer and lower 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10E9653E" w:rsidR="0059522B" w:rsidRDefault="006702C5" w:rsidP="006702C5">
      <w:pPr>
        <w:jc w:val="both"/>
      </w:pPr>
      <w:r>
        <w:lastRenderedPageBreak/>
        <w:t>The results of the segmented linear models (Table 2) are very similar to that of the multivariate regression models with ARIMA errors (Appendix), but there are not notable differences regarding the statistical significance of some variables. For instance, the multivariate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immediate negative effect of the third lockdown on possession of drugs may not be significant), and the negative effect of the third lockdown on criminal damage may be statistically significant. 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025977B7" w14:textId="0DBD99CC" w:rsidR="002A4380" w:rsidRDefault="00C90C4C" w:rsidP="00C90C4C">
      <w:pPr>
        <w:jc w:val="both"/>
      </w:pPr>
      <w:r>
        <w:t>The</w:t>
      </w:r>
      <w:r w:rsidR="006702C5">
        <w:t xml:space="preserve"> effect of the COVID-19 pandemic </w:t>
      </w:r>
      <w:r>
        <w:t xml:space="preserve">on burglary </w:t>
      </w:r>
      <w:r w:rsidR="0097073C">
        <w:t xml:space="preserve">trends </w:t>
      </w:r>
      <w:r>
        <w:t xml:space="preserve">in Northern Ireland 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any of the COVID-19 lockdowns (see Figure 5). None of the lockdowns, nor the time since each lockdown</w:t>
      </w:r>
      <w:r w:rsidR="0097073C">
        <w:t>,</w:t>
      </w:r>
      <w:r>
        <w:t xml:space="preserve"> ha</w:t>
      </w:r>
      <w:r w:rsidR="0097073C">
        <w:t>d</w:t>
      </w:r>
      <w:r>
        <w:t xml:space="preserve"> significant effects on non-residential </w:t>
      </w:r>
      <w:r w:rsidR="0097073C">
        <w:t>burglary</w:t>
      </w:r>
      <w:r>
        <w:t>. In the case of residential crime, the segmented linear model results indicate that crime decreased immediately after the first and third lockdowns</w:t>
      </w:r>
      <w:r w:rsidR="0097073C">
        <w:t>, and these changes were statistically significant</w:t>
      </w:r>
      <w:r>
        <w:t xml:space="preserve"> (Table 3), but the multivariate ARIMA error model indicate</w:t>
      </w:r>
      <w:r w:rsidR="0097073C">
        <w:t>s</w:t>
      </w:r>
      <w:r>
        <w:t xml:space="preserve"> that only the effect of the first lockdown was statistically significant.</w:t>
      </w: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6DDAD562" w:rsidR="00C90C4C" w:rsidRP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DC1EAC5" w:rsidR="00F46100" w:rsidRDefault="0059522B" w:rsidP="0097073C">
      <w:pPr>
        <w:spacing w:after="0" w:line="240" w:lineRule="auto"/>
      </w:pPr>
      <w:r>
        <w:t xml:space="preserve">***p-value&lt;0.001, **p-value&lt;0.01, *p-value&lt;0.05, </w:t>
      </w:r>
      <w:r w:rsidRPr="00BA0654">
        <w:rPr>
          <w:vertAlign w:val="superscript"/>
        </w:rPr>
        <w:t>+</w:t>
      </w:r>
      <w:r>
        <w:t>p-value&lt;0.1</w:t>
      </w:r>
    </w:p>
    <w:p w14:paraId="60022D31" w14:textId="00BD4309" w:rsidR="00F46100" w:rsidRDefault="00FB41AC" w:rsidP="00F46100">
      <w:pPr>
        <w:pStyle w:val="Heading2"/>
      </w:pPr>
      <w:r>
        <w:lastRenderedPageBreak/>
        <w:t>5</w:t>
      </w:r>
      <w:r w:rsidR="00E20D9F">
        <w:t xml:space="preserve">.4 </w:t>
      </w:r>
      <w:r w:rsidR="00F46100">
        <w:t>Theft</w:t>
      </w:r>
    </w:p>
    <w:p w14:paraId="217EEA90" w14:textId="5C31A885" w:rsidR="00DB0B5B" w:rsidRDefault="0097073C" w:rsidP="005B2DA5">
      <w:pPr>
        <w:jc w:val="both"/>
      </w:pPr>
      <w:r>
        <w:t xml:space="preserve">We distinguish four different types of theft: theft from the person, bicycle theft, theft of/from motor vehicle, and shoplifting. </w:t>
      </w:r>
      <w:r w:rsidR="00F00937">
        <w:t>As can be observed in Figure 6 and Table 4, t</w:t>
      </w:r>
      <w:r>
        <w:t>here are important differences in trends across these types of theft. First, reports of theft from person decreased significantly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w:t>
      </w:r>
      <w:r w:rsidR="001D3935">
        <w:t xml:space="preserve">multivariate model with ARIMA errors </w:t>
      </w:r>
      <w:r w:rsidR="001D3935">
        <w:t xml:space="preserve">show that </w:t>
      </w:r>
      <w:r w:rsidR="00F00937">
        <w:t xml:space="preserve">none of those changes are statistically significant </w:t>
      </w:r>
      <w:r w:rsidR="001D3935">
        <w:t>(see 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during winter</w:t>
      </w:r>
      <w:r w:rsidR="0067461D">
        <w:t xml:space="preserve">. We note, however, that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multivariate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models.</w:t>
      </w:r>
    </w:p>
    <w:p w14:paraId="3B53B64D" w14:textId="0A415822" w:rsidR="00465C51" w:rsidRDefault="001D3935" w:rsidP="00465C51">
      <w:pPr>
        <w:jc w:val="both"/>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B3CA49E" w14:textId="57F42FA9" w:rsidR="00CB328F" w:rsidRDefault="00CB328F" w:rsidP="00DB0B5B"/>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rsidRPr="00593A35">
              <w:rPr>
                <w:highlight w:val="yellow"/>
              </w:rPr>
              <w:t>-22.8</w:t>
            </w:r>
          </w:p>
        </w:tc>
        <w:tc>
          <w:tcPr>
            <w:tcW w:w="1376" w:type="dxa"/>
            <w:vAlign w:val="center"/>
          </w:tcPr>
          <w:p w14:paraId="5FD0736E" w14:textId="17FEBA2B" w:rsidR="009669C3" w:rsidRPr="00B15CC3" w:rsidRDefault="009669C3" w:rsidP="009669C3">
            <w:pPr>
              <w:tabs>
                <w:tab w:val="decimal" w:pos="660"/>
              </w:tabs>
            </w:pPr>
            <w:r w:rsidRPr="00593A35">
              <w:rPr>
                <w:highlight w:val="yellow"/>
              </w:rPr>
              <w:t>-3.5</w:t>
            </w:r>
          </w:p>
        </w:tc>
        <w:tc>
          <w:tcPr>
            <w:tcW w:w="1492" w:type="dxa"/>
            <w:vAlign w:val="center"/>
          </w:tcPr>
          <w:p w14:paraId="5AE92C16" w14:textId="36D9B050" w:rsidR="009669C3" w:rsidRPr="00B15CC3" w:rsidRDefault="009669C3" w:rsidP="009669C3">
            <w:pPr>
              <w:tabs>
                <w:tab w:val="decimal" w:pos="780"/>
              </w:tabs>
            </w:pPr>
            <w:r w:rsidRPr="00593A35">
              <w:rPr>
                <w:highlight w:val="yellow"/>
              </w:rP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593A35">
              <w:rPr>
                <w:highlight w:val="yellow"/>
              </w:rPr>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rsidRPr="00593A35">
              <w:rPr>
                <w:highlight w:val="yellow"/>
              </w:rPr>
              <w:t>1.9</w:t>
            </w:r>
            <w:r w:rsidRPr="00593A35">
              <w:rPr>
                <w:highlight w:val="yellow"/>
                <w:vertAlign w:val="superscript"/>
              </w:rPr>
              <w:t>+</w:t>
            </w:r>
          </w:p>
        </w:tc>
        <w:tc>
          <w:tcPr>
            <w:tcW w:w="1492" w:type="dxa"/>
            <w:vAlign w:val="center"/>
          </w:tcPr>
          <w:p w14:paraId="5B0787C6" w14:textId="082F47EF" w:rsidR="009669C3" w:rsidRPr="00593A35" w:rsidRDefault="009669C3" w:rsidP="009669C3">
            <w:pPr>
              <w:tabs>
                <w:tab w:val="decimal" w:pos="780"/>
              </w:tabs>
              <w:rPr>
                <w:highlight w:val="yellow"/>
              </w:rPr>
            </w:pPr>
            <w:r w:rsidRPr="00593A35">
              <w:rPr>
                <w:highlight w:val="yellow"/>
              </w:rPr>
              <w:t>5.6</w:t>
            </w:r>
          </w:p>
        </w:tc>
        <w:tc>
          <w:tcPr>
            <w:tcW w:w="1506" w:type="dxa"/>
            <w:vAlign w:val="center"/>
          </w:tcPr>
          <w:p w14:paraId="4AF09989" w14:textId="35BF8276" w:rsidR="009669C3" w:rsidRPr="00B15CC3" w:rsidRDefault="009669C3" w:rsidP="009669C3">
            <w:pPr>
              <w:tabs>
                <w:tab w:val="decimal" w:pos="792"/>
              </w:tabs>
            </w:pPr>
            <w:r w:rsidRPr="00593A35">
              <w:rPr>
                <w:highlight w:val="yellow"/>
              </w:rPr>
              <w:t>11.</w:t>
            </w:r>
            <w:r w:rsidR="00F15B9A" w:rsidRPr="00593A35">
              <w:rPr>
                <w:highlight w:val="yellow"/>
              </w:rPr>
              <w:t>8</w:t>
            </w:r>
            <w:r w:rsidRPr="00593A35">
              <w:rPr>
                <w:highlight w:val="yellow"/>
              </w:rP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rsidRPr="00593A35">
              <w:rPr>
                <w:highlight w:val="yellow"/>
              </w:rPr>
              <w:t>21.8</w:t>
            </w:r>
          </w:p>
        </w:tc>
        <w:tc>
          <w:tcPr>
            <w:tcW w:w="1376" w:type="dxa"/>
            <w:vAlign w:val="center"/>
          </w:tcPr>
          <w:p w14:paraId="139C30B5" w14:textId="57EB75AB" w:rsidR="009669C3" w:rsidRPr="00B15CC3" w:rsidRDefault="009669C3" w:rsidP="009669C3">
            <w:pPr>
              <w:tabs>
                <w:tab w:val="decimal" w:pos="660"/>
              </w:tabs>
            </w:pPr>
            <w:r w:rsidRPr="00593A35">
              <w:rPr>
                <w:highlight w:val="yellow"/>
              </w:rPr>
              <w:t>9.1</w:t>
            </w:r>
          </w:p>
        </w:tc>
        <w:tc>
          <w:tcPr>
            <w:tcW w:w="1492" w:type="dxa"/>
            <w:vAlign w:val="center"/>
          </w:tcPr>
          <w:p w14:paraId="6A053B6F" w14:textId="451A6BB7" w:rsidR="009669C3" w:rsidRPr="00593A35" w:rsidRDefault="009669C3" w:rsidP="009669C3">
            <w:pPr>
              <w:tabs>
                <w:tab w:val="decimal" w:pos="780"/>
              </w:tabs>
              <w:rPr>
                <w:highlight w:val="yellow"/>
              </w:rPr>
            </w:pPr>
            <w:r w:rsidRPr="00593A35">
              <w:rPr>
                <w:highlight w:val="yellow"/>
              </w:rP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593A35" w:rsidRDefault="009669C3" w:rsidP="009669C3">
            <w:pPr>
              <w:tabs>
                <w:tab w:val="decimal" w:pos="660"/>
              </w:tabs>
              <w:rPr>
                <w:highlight w:val="yellow"/>
              </w:rPr>
            </w:pPr>
            <w:r w:rsidRPr="00593A35">
              <w:rPr>
                <w:highlight w:val="yellow"/>
              </w:rPr>
              <w:t>-2.2</w:t>
            </w:r>
          </w:p>
        </w:tc>
        <w:tc>
          <w:tcPr>
            <w:tcW w:w="1492" w:type="dxa"/>
            <w:vAlign w:val="center"/>
          </w:tcPr>
          <w:p w14:paraId="3E2F78F2" w14:textId="695E94B9" w:rsidR="009669C3" w:rsidRPr="00B15CC3" w:rsidRDefault="009669C3" w:rsidP="009669C3">
            <w:pPr>
              <w:tabs>
                <w:tab w:val="decimal" w:pos="780"/>
              </w:tabs>
            </w:pPr>
            <w:r w:rsidRPr="00593A35">
              <w:rPr>
                <w:highlight w:val="yellow"/>
              </w:rPr>
              <w:t>24.2</w:t>
            </w:r>
          </w:p>
        </w:tc>
        <w:tc>
          <w:tcPr>
            <w:tcW w:w="1506" w:type="dxa"/>
            <w:vAlign w:val="center"/>
          </w:tcPr>
          <w:p w14:paraId="3E3FA63E" w14:textId="5E607924" w:rsidR="009669C3" w:rsidRPr="00B15CC3" w:rsidRDefault="009669C3" w:rsidP="009669C3">
            <w:pPr>
              <w:tabs>
                <w:tab w:val="decimal" w:pos="792"/>
              </w:tabs>
            </w:pPr>
            <w:r w:rsidRPr="00593A35">
              <w:rPr>
                <w:highlight w:val="yellow"/>
              </w:rPr>
              <w:t>-</w:t>
            </w:r>
            <w:r w:rsidR="00F15B9A" w:rsidRPr="00593A35">
              <w:rPr>
                <w:highlight w:val="yellow"/>
              </w:rPr>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593A35" w:rsidRDefault="009669C3" w:rsidP="009669C3">
            <w:pPr>
              <w:tabs>
                <w:tab w:val="decimal" w:pos="660"/>
              </w:tabs>
              <w:rPr>
                <w:highlight w:val="yellow"/>
              </w:rPr>
            </w:pPr>
            <w:r w:rsidRPr="00593A35">
              <w:rPr>
                <w:highlight w:val="yellow"/>
              </w:rPr>
              <w:t>-2.1</w:t>
            </w:r>
          </w:p>
        </w:tc>
        <w:tc>
          <w:tcPr>
            <w:tcW w:w="1492" w:type="dxa"/>
            <w:vAlign w:val="center"/>
          </w:tcPr>
          <w:p w14:paraId="4751BAEC" w14:textId="48A91A0D" w:rsidR="009669C3" w:rsidRPr="00B15CC3" w:rsidRDefault="009669C3" w:rsidP="009669C3">
            <w:pPr>
              <w:tabs>
                <w:tab w:val="decimal" w:pos="780"/>
              </w:tabs>
            </w:pPr>
            <w:r w:rsidRPr="00593A35">
              <w:rPr>
                <w:highlight w:val="yellow"/>
              </w:rP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593A35" w:rsidRDefault="009669C3" w:rsidP="009669C3">
            <w:pPr>
              <w:tabs>
                <w:tab w:val="decimal" w:pos="660"/>
              </w:tabs>
              <w:rPr>
                <w:highlight w:val="yellow"/>
              </w:rPr>
            </w:pPr>
            <w:r w:rsidRPr="00593A35">
              <w:rPr>
                <w:highlight w:val="yellow"/>
              </w:rP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rsidRPr="00593A35">
              <w:rPr>
                <w:highlight w:val="yellow"/>
              </w:rPr>
              <w:t>7</w:t>
            </w:r>
            <w:r w:rsidR="009669C3" w:rsidRPr="00593A35">
              <w:rPr>
                <w:highlight w:val="yellow"/>
              </w:rPr>
              <w:t>.</w:t>
            </w:r>
            <w:r w:rsidRPr="00593A35">
              <w:rPr>
                <w:highlight w:val="yellow"/>
              </w:rP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2414EEC" w:rsidR="002F23A7" w:rsidRDefault="002F23A7" w:rsidP="002F23A7"/>
    <w:p w14:paraId="4E7DAADF" w14:textId="4610FFA8" w:rsidR="008F379E" w:rsidRDefault="008F379E" w:rsidP="002F23A7"/>
    <w:p w14:paraId="152CB749" w14:textId="0C54DE7F" w:rsidR="008F379E" w:rsidRDefault="008F379E" w:rsidP="002F23A7">
      <w:r>
        <w:t>Discuss seasonality for some crime types</w:t>
      </w:r>
    </w:p>
    <w:p w14:paraId="2EE85ACC" w14:textId="2CA06F71" w:rsidR="001D3935" w:rsidRDefault="001D3935" w:rsidP="002F23A7">
      <w:r>
        <w:t>Shoplifting – open shops</w:t>
      </w:r>
    </w:p>
    <w:p w14:paraId="6C757617" w14:textId="77777777" w:rsidR="001D3935" w:rsidRPr="002F23A7" w:rsidRDefault="001D3935" w:rsidP="002F23A7"/>
    <w:p w14:paraId="229633BA" w14:textId="25704BF5" w:rsidR="00DB0B5B" w:rsidRDefault="00DB0B5B" w:rsidP="00362FF1">
      <w:pPr>
        <w:pStyle w:val="Heading1"/>
        <w:jc w:val="both"/>
      </w:pPr>
      <w:r>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lastRenderedPageBreak/>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36B18C26" w14:textId="65C80EB6" w:rsidR="002E727F" w:rsidRDefault="002E727F" w:rsidP="00362FF1">
      <w:pPr>
        <w:jc w:val="both"/>
      </w:pPr>
      <w:r>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March, 2020. </w:t>
      </w:r>
      <w:r w:rsidRPr="002E727F">
        <w:rPr>
          <w:i/>
          <w:iCs/>
        </w:rPr>
        <w:t>Crime Science</w:t>
      </w:r>
      <w:r>
        <w:t>,</w:t>
      </w:r>
      <w:r w:rsidRPr="002E727F">
        <w:t xml:space="preserve"> 9, 10. </w:t>
      </w:r>
      <w:hyperlink r:id="rId37"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8"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9"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0"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1" w:history="1">
        <w:r w:rsidRPr="0015475C">
          <w:rPr>
            <w:rStyle w:val="Hyperlink"/>
          </w:rPr>
          <w:t>https://doi.org/10.18637/jss.v027.i03</w:t>
        </w:r>
      </w:hyperlink>
    </w:p>
    <w:p w14:paraId="3E2D62D7" w14:textId="77A5FFD7" w:rsidR="00C23C5B" w:rsidRDefault="00C23C5B" w:rsidP="00362FF1">
      <w:pPr>
        <w:jc w:val="both"/>
      </w:pPr>
      <w:proofErr w:type="spellStart"/>
      <w:r>
        <w:lastRenderedPageBreak/>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2"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3"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4"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5"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6"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7"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8"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9"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50"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lastRenderedPageBreak/>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7"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8"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9"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0"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1"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2"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3"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4"/>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1" w:name="_Hlk76478567"/>
      <w:r>
        <w:lastRenderedPageBreak/>
        <w:t>Appendix</w:t>
      </w:r>
    </w:p>
    <w:p w14:paraId="3413846F" w14:textId="5F744FA2" w:rsidR="00BA56ED" w:rsidRDefault="00BA56ED" w:rsidP="00BA56ED">
      <w:pPr>
        <w:rPr>
          <w:i/>
          <w:iCs/>
        </w:rPr>
      </w:pPr>
      <w:bookmarkStart w:id="2"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3"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3"/>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707"/>
        <w:gridCol w:w="1896"/>
        <w:gridCol w:w="1783"/>
        <w:gridCol w:w="1701"/>
        <w:gridCol w:w="1592"/>
      </w:tblGrid>
      <w:tr w:rsidR="00593A35" w:rsidRPr="008C78D9" w14:paraId="30DD186C" w14:textId="406BF4CF" w:rsidTr="000A68B5">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707"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96"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783"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0A68B5">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707"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96"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783"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0A68B5">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707"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96"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783"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0A68B5">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707"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96"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783"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0A68B5">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707"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96"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783"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0A68B5">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707"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96"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783"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0A68B5">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707"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96"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783"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0A68B5">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707"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96"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783"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1"/>
      <w:bookmarkEnd w:id="2"/>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DC39" w14:textId="77777777" w:rsidR="00AE27BE" w:rsidRDefault="00AE27BE" w:rsidP="00BA0654">
      <w:pPr>
        <w:spacing w:after="0" w:line="240" w:lineRule="auto"/>
      </w:pPr>
      <w:r>
        <w:separator/>
      </w:r>
    </w:p>
  </w:endnote>
  <w:endnote w:type="continuationSeparator" w:id="0">
    <w:p w14:paraId="6FC19B4B" w14:textId="77777777" w:rsidR="00AE27BE" w:rsidRDefault="00AE27BE"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F59BD" w14:textId="77777777" w:rsidR="00AE27BE" w:rsidRDefault="00AE27BE" w:rsidP="00BA0654">
      <w:pPr>
        <w:spacing w:after="0" w:line="240" w:lineRule="auto"/>
      </w:pPr>
      <w:r>
        <w:separator/>
      </w:r>
    </w:p>
  </w:footnote>
  <w:footnote w:type="continuationSeparator" w:id="0">
    <w:p w14:paraId="55B0375A" w14:textId="77777777" w:rsidR="00AE27BE" w:rsidRDefault="00AE27BE"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F1246"/>
    <w:rsid w:val="00207919"/>
    <w:rsid w:val="00225800"/>
    <w:rsid w:val="002369C4"/>
    <w:rsid w:val="0024525D"/>
    <w:rsid w:val="0024709E"/>
    <w:rsid w:val="00265F5B"/>
    <w:rsid w:val="00281E7C"/>
    <w:rsid w:val="002A4380"/>
    <w:rsid w:val="002A78EF"/>
    <w:rsid w:val="002C0BAA"/>
    <w:rsid w:val="002D60F3"/>
    <w:rsid w:val="002E727F"/>
    <w:rsid w:val="002F23A7"/>
    <w:rsid w:val="003072BE"/>
    <w:rsid w:val="00333DD3"/>
    <w:rsid w:val="00343217"/>
    <w:rsid w:val="00362FF1"/>
    <w:rsid w:val="00364EB7"/>
    <w:rsid w:val="00382C5D"/>
    <w:rsid w:val="00386474"/>
    <w:rsid w:val="003C3385"/>
    <w:rsid w:val="003D57AE"/>
    <w:rsid w:val="0040625E"/>
    <w:rsid w:val="004160CD"/>
    <w:rsid w:val="00465647"/>
    <w:rsid w:val="00465C51"/>
    <w:rsid w:val="004675AF"/>
    <w:rsid w:val="00472ED0"/>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41D"/>
    <w:rsid w:val="006B2E5A"/>
    <w:rsid w:val="006B47E2"/>
    <w:rsid w:val="006C3F71"/>
    <w:rsid w:val="006F2495"/>
    <w:rsid w:val="00711869"/>
    <w:rsid w:val="007214B8"/>
    <w:rsid w:val="007406D0"/>
    <w:rsid w:val="00763218"/>
    <w:rsid w:val="007768E1"/>
    <w:rsid w:val="007907D6"/>
    <w:rsid w:val="007A702F"/>
    <w:rsid w:val="007C1100"/>
    <w:rsid w:val="008636F6"/>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70DE"/>
    <w:rsid w:val="009669C3"/>
    <w:rsid w:val="0097073C"/>
    <w:rsid w:val="00980EE5"/>
    <w:rsid w:val="009A1A73"/>
    <w:rsid w:val="009A3523"/>
    <w:rsid w:val="009B786A"/>
    <w:rsid w:val="009D2E53"/>
    <w:rsid w:val="009E69EE"/>
    <w:rsid w:val="00A1623A"/>
    <w:rsid w:val="00A21481"/>
    <w:rsid w:val="00A34B56"/>
    <w:rsid w:val="00A57E48"/>
    <w:rsid w:val="00A77B60"/>
    <w:rsid w:val="00A90599"/>
    <w:rsid w:val="00A946C1"/>
    <w:rsid w:val="00AB1226"/>
    <w:rsid w:val="00AB69DA"/>
    <w:rsid w:val="00AC2846"/>
    <w:rsid w:val="00AD3BA7"/>
    <w:rsid w:val="00AD7AC7"/>
    <w:rsid w:val="00AE27BE"/>
    <w:rsid w:val="00AF1CC7"/>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6C12"/>
    <w:rsid w:val="00C54311"/>
    <w:rsid w:val="00C576A7"/>
    <w:rsid w:val="00C82CDF"/>
    <w:rsid w:val="00C90C4C"/>
    <w:rsid w:val="00C9305B"/>
    <w:rsid w:val="00CA1CF2"/>
    <w:rsid w:val="00CB328F"/>
    <w:rsid w:val="00CF4591"/>
    <w:rsid w:val="00D0398A"/>
    <w:rsid w:val="00D21DC4"/>
    <w:rsid w:val="00D2462B"/>
    <w:rsid w:val="00D437D6"/>
    <w:rsid w:val="00D5313A"/>
    <w:rsid w:val="00D564E1"/>
    <w:rsid w:val="00D9492C"/>
    <w:rsid w:val="00DA45E8"/>
    <w:rsid w:val="00DA55B6"/>
    <w:rsid w:val="00DB0B5B"/>
    <w:rsid w:val="00DD13DB"/>
    <w:rsid w:val="00DE22F1"/>
    <w:rsid w:val="00DF6FFF"/>
    <w:rsid w:val="00E15EB6"/>
    <w:rsid w:val="00E20D9F"/>
    <w:rsid w:val="00E24236"/>
    <w:rsid w:val="00E25839"/>
    <w:rsid w:val="00E34132"/>
    <w:rsid w:val="00E53E39"/>
    <w:rsid w:val="00E9544E"/>
    <w:rsid w:val="00EA673B"/>
    <w:rsid w:val="00EA68AA"/>
    <w:rsid w:val="00EC78D7"/>
    <w:rsid w:val="00EE71EC"/>
    <w:rsid w:val="00F00937"/>
    <w:rsid w:val="00F031EC"/>
    <w:rsid w:val="00F04A03"/>
    <w:rsid w:val="00F15B9A"/>
    <w:rsid w:val="00F46100"/>
    <w:rsid w:val="00F64EB6"/>
    <w:rsid w:val="00F71555"/>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527002514554953" TargetMode="External"/><Relationship Id="rId47" Type="http://schemas.openxmlformats.org/officeDocument/2006/relationships/hyperlink" Target="https://doi.org/10.1186/s40163-021-00142-z" TargetMode="External"/><Relationship Id="rId50" Type="http://schemas.openxmlformats.org/officeDocument/2006/relationships/hyperlink" Target="http://doi.org/10.1136/bmj.k2270" TargetMode="External"/><Relationship Id="rId55" Type="http://schemas.openxmlformats.org/officeDocument/2006/relationships/hyperlink" Target="https://www.ofcom.org.uk/__data/assets/pdf_file/0013/220414/online-nation-2021-report.pdf" TargetMode="External"/><Relationship Id="rId63" Type="http://schemas.openxmlformats.org/officeDocument/2006/relationships/hyperlink" Target="http://doi.org/10.1136/jech-2015-2060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0-x" TargetMode="External"/><Relationship Id="rId40" Type="http://schemas.openxmlformats.org/officeDocument/2006/relationships/hyperlink" Target="https://doi.org/10.1371/journal.pone.0055581" TargetMode="External"/><Relationship Id="rId45" Type="http://schemas.openxmlformats.org/officeDocument/2006/relationships/hyperlink" Target="https://doi.org/10.1093/geronb/gbaa110"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093/esr/jcv086"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016/j.ajp.2020.102066"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177/10439862211027986" TargetMode="External"/><Relationship Id="rId48" Type="http://schemas.openxmlformats.org/officeDocument/2006/relationships/hyperlink" Target="https://doi.org/10.1016/j.jcrimjus.2021.101830"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8-3" TargetMode="External"/><Relationship Id="rId46" Type="http://schemas.openxmlformats.org/officeDocument/2006/relationships/hyperlink" Target="https://doi.org/10.1016/j.cose.2021.102248" TargetMode="External"/><Relationship Id="rId59" Type="http://schemas.openxmlformats.org/officeDocument/2006/relationships/hyperlink" Target="https://doi.org/10.1016/j.jcrimjus.2021.101806"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oi.org/10.18637/jss.v027.i03"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eclinm.2020.1003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s://doi.org/10.1080/00330124.2010.547156" TargetMode="External"/><Relationship Id="rId57" Type="http://schemas.openxmlformats.org/officeDocument/2006/relationships/hyperlink" Target="https://doi.org/10.1186/s40163-020-00136-3"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16/j.jcrimjus.2021.101783" TargetMode="External"/><Relationship Id="rId52" Type="http://schemas.openxmlformats.org/officeDocument/2006/relationships/hyperlink" Target="https://doi.org/10.1038/s41562-021-01139-z" TargetMode="External"/><Relationship Id="rId60" Type="http://schemas.openxmlformats.org/officeDocument/2006/relationships/hyperlink" Target="https://www.R-project.org/"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186/s40163-020-0012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5301</TotalTime>
  <Pages>18</Pages>
  <Words>7646</Words>
  <Characters>43585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17</cp:revision>
  <dcterms:created xsi:type="dcterms:W3CDTF">2021-06-24T13:28:00Z</dcterms:created>
  <dcterms:modified xsi:type="dcterms:W3CDTF">2021-07-12T17:06:00Z</dcterms:modified>
</cp:coreProperties>
</file>