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in Northern Ireland</w:t>
      </w:r>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Department of Law, Pompeu Fabra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Bridgeford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381658E9" w:rsidR="009235CB" w:rsidRDefault="00CE5F8B" w:rsidP="00362FF1">
      <w:pPr>
        <w:pStyle w:val="Heading1"/>
        <w:jc w:val="both"/>
      </w:pPr>
      <w:r>
        <w:t>Funding</w:t>
      </w:r>
    </w:p>
    <w:p w14:paraId="736DC7D3" w14:textId="106A521B" w:rsidR="00CE5F8B" w:rsidRDefault="00362FF1" w:rsidP="00362FF1">
      <w:pPr>
        <w:jc w:val="both"/>
      </w:pPr>
      <w:r>
        <w:t xml:space="preserve">This work is supported by the </w:t>
      </w:r>
      <w:r w:rsidRPr="00362FF1">
        <w:t xml:space="preserve">Research Collaboration Fund </w:t>
      </w:r>
      <w:r w:rsidR="00CE5F8B">
        <w:t xml:space="preserve">for Research Staff </w:t>
      </w:r>
      <w:r>
        <w:t>of the University of Manchester.</w:t>
      </w:r>
    </w:p>
    <w:p w14:paraId="4306535E" w14:textId="4DDCE39F" w:rsidR="00CE5F8B" w:rsidRDefault="00CE5F8B" w:rsidP="00CE5F8B">
      <w:pPr>
        <w:pStyle w:val="Heading1"/>
      </w:pPr>
      <w:r>
        <w:t>Author contributions</w:t>
      </w:r>
    </w:p>
    <w:p w14:paraId="228AEA76" w14:textId="2E152906" w:rsidR="00CE5F8B" w:rsidRDefault="00CE5F8B" w:rsidP="00362FF1">
      <w:pPr>
        <w:jc w:val="both"/>
      </w:pPr>
      <w:r>
        <w:t>All three authors contributed to the original idea and the development of the article. The data handling and analysis was conducted by the first author.</w:t>
      </w:r>
    </w:p>
    <w:p w14:paraId="7CD391FC" w14:textId="198E2E40" w:rsidR="00CE5F8B" w:rsidRDefault="00CE5F8B" w:rsidP="00CE5F8B">
      <w:pPr>
        <w:pStyle w:val="Heading1"/>
      </w:pPr>
      <w:r>
        <w:t>Availability of data and materials</w:t>
      </w:r>
    </w:p>
    <w:p w14:paraId="7E910EF5" w14:textId="3B2DE327" w:rsidR="00CE5F8B" w:rsidRDefault="00CE5F8B" w:rsidP="00362FF1">
      <w:pPr>
        <w:jc w:val="both"/>
      </w:pPr>
      <w:r>
        <w:t xml:space="preserve">All data and analytical codes are available from a Github repository (anonymised repository for blind review: </w:t>
      </w:r>
      <w:hyperlink r:id="rId13" w:history="1">
        <w:r w:rsidRPr="00823A22">
          <w:rPr>
            <w:rStyle w:val="Hyperlink"/>
          </w:rPr>
          <w:t>https://anonymous.4open.science/r/covid_crime_NI-Anonymise/</w:t>
        </w:r>
      </w:hyperlink>
      <w:r>
        <w:t>).</w:t>
      </w:r>
    </w:p>
    <w:p w14:paraId="1F4396EB" w14:textId="4E724B24" w:rsidR="00CE5F8B" w:rsidRDefault="00CE5F8B" w:rsidP="00CE5F8B">
      <w:pPr>
        <w:pStyle w:val="Heading1"/>
      </w:pPr>
      <w:r>
        <w:t>Competing interests</w:t>
      </w:r>
    </w:p>
    <w:p w14:paraId="12CFC3AE" w14:textId="79F148C2" w:rsidR="009235CB" w:rsidRDefault="00CE5F8B" w:rsidP="00362FF1">
      <w:pPr>
        <w:jc w:val="both"/>
      </w:pPr>
      <w:r w:rsidRPr="00CE5F8B">
        <w:t>The authors declare that they have no competing interests.</w:t>
      </w:r>
      <w:r w:rsidR="00362FF1"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Guideline does not specify wordcount</w:t>
      </w:r>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777B9642" w14:textId="77777777" w:rsidR="00CE5F8B" w:rsidRPr="00050732" w:rsidRDefault="00CE5F8B" w:rsidP="00CE5F8B">
      <w:pPr>
        <w:pStyle w:val="Title"/>
        <w:rPr>
          <w:sz w:val="36"/>
          <w:szCs w:val="36"/>
        </w:rPr>
      </w:pPr>
      <w:r>
        <w:rPr>
          <w:sz w:val="36"/>
          <w:szCs w:val="36"/>
        </w:rPr>
        <w:lastRenderedPageBreak/>
        <w:t>Offline crime returns to pre-COVID levels,</w:t>
      </w:r>
      <w:r w:rsidRPr="00660362">
        <w:rPr>
          <w:sz w:val="36"/>
          <w:szCs w:val="36"/>
        </w:rPr>
        <w:t xml:space="preserve"> cyber </w:t>
      </w:r>
      <w:r>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Pr>
          <w:sz w:val="36"/>
          <w:szCs w:val="36"/>
        </w:rPr>
        <w:t>in Northern Ireland</w:t>
      </w:r>
    </w:p>
    <w:p w14:paraId="20D813D2" w14:textId="77777777" w:rsidR="00CE5F8B" w:rsidRDefault="00CE5F8B" w:rsidP="00CE5F8B">
      <w:pPr>
        <w:pStyle w:val="Heading1"/>
        <w:jc w:val="both"/>
      </w:pPr>
      <w:r>
        <w:t>Abstract</w:t>
      </w:r>
    </w:p>
    <w:p w14:paraId="7F18DA4C" w14:textId="7A199C4D" w:rsidR="00CE5F8B" w:rsidRDefault="00CE5F8B" w:rsidP="00CE5F8B">
      <w:pPr>
        <w:jc w:val="both"/>
      </w:pPr>
      <w:r>
        <w:t>Guideline does not specify wordcount</w:t>
      </w:r>
    </w:p>
    <w:p w14:paraId="438E302E" w14:textId="77777777" w:rsidR="00CE5F8B" w:rsidRDefault="00CE5F8B" w:rsidP="00CE5F8B">
      <w:pPr>
        <w:jc w:val="both"/>
      </w:pPr>
    </w:p>
    <w:p w14:paraId="398D0031" w14:textId="6E459959" w:rsidR="009235CB" w:rsidRDefault="00E20D9F" w:rsidP="00E20D9F">
      <w:pPr>
        <w:pStyle w:val="Heading1"/>
        <w:jc w:val="both"/>
      </w:pPr>
      <w:r w:rsidRPr="00E20D9F">
        <w:t>1.</w:t>
      </w:r>
      <w:r>
        <w:t xml:space="preserve"> </w:t>
      </w:r>
      <w:r w:rsidR="009235CB">
        <w:t>Introduction</w:t>
      </w:r>
    </w:p>
    <w:p w14:paraId="3FE91F99" w14:textId="3DC91AA6"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272A72">
        <w:t>important</w:t>
      </w:r>
      <w:r w:rsidR="00C36C12">
        <w:t xml:space="preserve"> social domains, including</w:t>
      </w:r>
      <w:r w:rsidR="002C0BAA">
        <w:t xml:space="preserve"> </w:t>
      </w:r>
      <w:r w:rsidR="00C36C12">
        <w:t>inequality (</w:t>
      </w:r>
      <w:r w:rsidR="00AD3BA7">
        <w:t>Abedi et al., 2021; Czymara et al., 2021</w:t>
      </w:r>
      <w:r w:rsidR="00C36C12">
        <w:t xml:space="preserve">), </w:t>
      </w:r>
      <w:r w:rsidR="00272A72">
        <w:t>psychological wellbeing (</w:t>
      </w:r>
      <w:r w:rsidR="00272A72" w:rsidRPr="00AD3BA7">
        <w:t>Rajkumar</w:t>
      </w:r>
      <w:r w:rsidR="00272A72">
        <w:t xml:space="preserve">, 2020), </w:t>
      </w:r>
      <w:r w:rsidR="00386474">
        <w:t>small</w:t>
      </w:r>
      <w:r w:rsidR="00225800">
        <w:t xml:space="preserve"> and medium</w:t>
      </w:r>
      <w:r w:rsidR="00386474">
        <w:t xml:space="preserve"> businesses</w:t>
      </w:r>
      <w:r w:rsidR="00C36C12">
        <w:t xml:space="preserve"> (</w:t>
      </w:r>
      <w:r w:rsidR="00FE56D5">
        <w:t>Bartik et al., 2020</w:t>
      </w:r>
      <w:r w:rsidR="00C36C12">
        <w:t>) and crime (</w:t>
      </w:r>
      <w:r w:rsidR="00FE56D5">
        <w:t>Nivette et al., 2021</w:t>
      </w:r>
      <w:r w:rsidR="00C36C12">
        <w:t>).</w:t>
      </w:r>
    </w:p>
    <w:p w14:paraId="706FF81A" w14:textId="688B86DC"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(Est</w:t>
      </w:r>
      <w:r w:rsidR="00C54311" w:rsidRPr="00C54311">
        <w:t>é</w:t>
      </w:r>
      <w:r w:rsidR="00C54311">
        <w:t>vez-Soto, 2021)</w:t>
      </w:r>
      <w:r w:rsidR="00F3667F">
        <w:t>, China (Borrion et al., 2020)</w:t>
      </w:r>
      <w:r>
        <w:t xml:space="preserve"> and other countries (</w:t>
      </w:r>
      <w:r w:rsidR="004A2BA7">
        <w:t>Nivette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r w:rsidR="00A57E48" w:rsidRPr="00A57E48">
        <w:t xml:space="preserve">Stechemesser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r w:rsidR="00C54311" w:rsidRPr="00C54311">
        <w:t>Balmori de la Miyar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offline and online crime, in Northern Ireland </w:t>
      </w:r>
      <w:r w:rsidR="007406D0">
        <w:t xml:space="preserve">during COVID-19,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w:t>
      </w:r>
      <w:commentRangeStart w:id="1"/>
      <w:r w:rsidR="00E20D9F">
        <w:t>2019</w:t>
      </w:r>
      <w:commentRangeEnd w:id="1"/>
      <w:r w:rsidR="00971E81">
        <w:rPr>
          <w:rStyle w:val="CommentReference"/>
        </w:rPr>
        <w:commentReference w:id="1"/>
      </w:r>
      <w:r w:rsidR="00E20D9F">
        <w:t>).</w:t>
      </w:r>
    </w:p>
    <w:p w14:paraId="469DA941" w14:textId="5F9F178C" w:rsidR="00CF4591" w:rsidRDefault="00CF4591" w:rsidP="00CF4591">
      <w:pPr>
        <w:pStyle w:val="Heading1"/>
      </w:pPr>
      <w:r>
        <w:t>2. COVID-19 and changes in everyday life in Northern Ireland</w:t>
      </w:r>
    </w:p>
    <w:p w14:paraId="5C325032" w14:textId="59A3882F" w:rsidR="00A946C1" w:rsidRDefault="00CF4591" w:rsidP="00CF4591">
      <w:pPr>
        <w:jc w:val="both"/>
      </w:pPr>
      <w:r>
        <w:t>The timeline of the COVID-19 pandemic in Northern Ireland was similar to that of other parts of the UK. The first case of COVID-19 was detected in the town of Antrim on February 27</w:t>
      </w:r>
      <w:r w:rsidRPr="00A57E48">
        <w:rPr>
          <w:vertAlign w:val="superscript"/>
        </w:rPr>
        <w:t>th</w:t>
      </w:r>
      <w:r>
        <w:t xml:space="preserve"> 2020, and the number of cases rose steeply throughout March. In order to control the spread of the virus, the UK Government announced the first </w:t>
      </w:r>
      <w:r w:rsidR="00971E81">
        <w:t>coronavirus</w:t>
      </w:r>
      <w:r>
        <w:t xml:space="preserve">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t>
      </w:r>
      <w:r>
        <w:lastRenderedPageBreak/>
        <w:t>weeks, and non-essential shops, schools</w:t>
      </w:r>
      <w:r w:rsidR="00971E81">
        <w:t>,</w:t>
      </w:r>
      <w:r>
        <w:t xml:space="preserve"> universities, businesses, pubs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r w:rsidR="00A946C1">
        <w:rPr>
          <w:i/>
          <w:iCs/>
        </w:rPr>
        <w:t xml:space="preserve"> 2020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5" w:history="1">
        <w:r w:rsidRPr="0015475C">
          <w:rPr>
            <w:rStyle w:val="Hyperlink"/>
            <w:i/>
            <w:iCs/>
          </w:rPr>
          <w:t>https://www.google.com/covid19/mobility/index.html?hl=en</w:t>
        </w:r>
      </w:hyperlink>
      <w:r>
        <w:rPr>
          <w:i/>
          <w:iCs/>
        </w:rPr>
        <w:t>)</w:t>
      </w:r>
    </w:p>
    <w:p w14:paraId="626DF1BE" w14:textId="54D254FB"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r>
        <w:t xml:space="preserve"> </w:t>
      </w:r>
      <w:r w:rsidRPr="004A14EE">
        <w:t>2020</w:t>
      </w:r>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w:t>
      </w:r>
      <w:r w:rsidR="00EB79C2">
        <w:t>COVID-19</w:t>
      </w:r>
      <w:r>
        <w:t xml:space="preserve"> lockdown was mostly lifted by the second week of December. </w:t>
      </w:r>
    </w:p>
    <w:p w14:paraId="75573457" w14:textId="76F0546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spread of a new variant of the virus. </w:t>
      </w:r>
      <w:r w:rsidR="00EB79C2">
        <w:t>P</w:t>
      </w:r>
      <w:r w:rsidR="00CF4591" w:rsidRPr="007406D0">
        <w:t xml:space="preserve">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w:t>
      </w:r>
      <w:r w:rsidR="001A410E">
        <w:lastRenderedPageBreak/>
        <w:t xml:space="preserve">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w:t>
      </w:r>
      <w:r w:rsidR="00EB79C2">
        <w:t>ed</w:t>
      </w:r>
      <w:r w:rsidR="00AD7AC7">
        <w:t xml:space="preserve"> progressively to the pre-COVID baseline.</w:t>
      </w:r>
    </w:p>
    <w:p w14:paraId="07C12CDE" w14:textId="2A3FE664" w:rsidR="00AD7AC7" w:rsidRDefault="00AD7AC7" w:rsidP="00362FF1">
      <w:pPr>
        <w:jc w:val="both"/>
      </w:pPr>
      <w:r>
        <w:t xml:space="preserve">All </w:t>
      </w:r>
      <w:r w:rsidR="00C257B0">
        <w:t xml:space="preserve">these unprecedented changes in routine activities brought about by the COVID-19 lockdowns are expected to have short- and medium-term impacts </w:t>
      </w:r>
      <w:r w:rsidR="00EB79C2">
        <w:t>on</w:t>
      </w:r>
      <w:r w:rsidR="00C257B0">
        <w:t xml:space="preserve"> crime</w:t>
      </w:r>
      <w:r w:rsidR="00EB79C2">
        <w:t xml:space="preserve"> in Northern Ireland</w:t>
      </w:r>
      <w:r w:rsidR="00C257B0">
        <w:t>, as seen in other parts of the world (Nivette et al., 2021). More specifically, we will analyse changes in crim</w:t>
      </w:r>
      <w:r w:rsidR="00EB79C2">
        <w:t>e</w:t>
      </w:r>
      <w:r w:rsidR="00C257B0">
        <w:t xml:space="preserve"> after the first lockdown (March 23</w:t>
      </w:r>
      <w:r w:rsidR="00C257B0" w:rsidRPr="00C257B0">
        <w:rPr>
          <w:vertAlign w:val="superscript"/>
        </w:rPr>
        <w:t>rd</w:t>
      </w:r>
      <w:r w:rsidR="00C257B0">
        <w:t xml:space="preserve"> 2020),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14C40398"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w:t>
      </w:r>
      <w:r w:rsidR="00EB79C2">
        <w:t>growing</w:t>
      </w:r>
      <w:r w:rsidR="00946297">
        <w:t xml:space="preserve">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r w:rsidR="00BA2FAD" w:rsidRPr="00BA2FAD">
        <w:t>Piatkowska</w:t>
      </w:r>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(Kalist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3EB6F4C3" w:rsidR="00C257B0" w:rsidRDefault="0056217D" w:rsidP="00362FF1">
      <w:pPr>
        <w:jc w:val="both"/>
      </w:pPr>
      <w:r>
        <w:t>After the first COVID-19 lockdown w</w:t>
      </w:r>
      <w:r w:rsidR="00EB79C2">
        <w:t>as</w:t>
      </w:r>
      <w:r>
        <w:t xml:space="preserve"> announce</w:t>
      </w:r>
      <w:r w:rsidR="00EB79C2">
        <w:t>d</w:t>
      </w:r>
      <w:r>
        <w:t xml:space="preserve">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Also using Los Angeles crime data, Campedelli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there was a large decrease in shoplifting, theft, theft from vehicle, domestic abuse, assault and 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CF7B65">
        <w:t>experience</w:t>
      </w:r>
      <w:r w:rsidR="006213A8">
        <w:t xml:space="preserve"> changes </w:t>
      </w:r>
      <w:r w:rsidR="00465647">
        <w:t>(Gerell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Nivette et al. (2021) recorded crime data from </w:t>
      </w:r>
      <w:r w:rsidR="001641C1" w:rsidRPr="001641C1">
        <w:t>27 cities across 23 countries</w:t>
      </w:r>
      <w:r w:rsidR="001641C1">
        <w:t xml:space="preserve"> </w:t>
      </w:r>
      <w:r w:rsidR="001641C1">
        <w:lastRenderedPageBreak/>
        <w:t xml:space="preserve">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w:t>
      </w:r>
      <w:r w:rsidR="00CF7B65">
        <w:t>stay-at-home orders</w:t>
      </w:r>
      <w:r w:rsidR="001641C1">
        <w:t xml:space="preserve"> on crime </w:t>
      </w:r>
      <w:r w:rsidR="006213A8">
        <w:t>varied</w:t>
      </w:r>
      <w:r w:rsidR="001641C1">
        <w:t xml:space="preserve"> across </w:t>
      </w:r>
      <w:r w:rsidR="0010584D">
        <w:t>geographic</w:t>
      </w:r>
      <w:r w:rsidR="001641C1">
        <w:t xml:space="preserve"> areas in each city (Campedelli et al., 2020b; </w:t>
      </w:r>
      <w:r w:rsidR="008B3957">
        <w:t xml:space="preserve">Payne et al., 2021; </w:t>
      </w:r>
      <w:r w:rsidR="001641C1">
        <w:t>Langton et al., 2021b</w:t>
      </w:r>
      <w:r w:rsidR="008B3957">
        <w:t>).</w:t>
      </w:r>
    </w:p>
    <w:p w14:paraId="179D5454" w14:textId="4ECD3483"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w:t>
      </w:r>
      <w:r w:rsidR="00AF1CC7">
        <w:t xml:space="preserve">. </w:t>
      </w:r>
      <w:r w:rsidR="00281E7C">
        <w:t xml:space="preserve">Lallie et al. (2021) </w:t>
      </w:r>
      <w:r w:rsidR="001D4CB5">
        <w:t>searched</w:t>
      </w:r>
      <w:r w:rsidR="00281E7C">
        <w:t xml:space="preserve"> </w:t>
      </w:r>
      <w:r w:rsidR="001D4CB5">
        <w:t>for</w:t>
      </w:r>
      <w:r w:rsidR="00281E7C">
        <w:t xml:space="preserve"> cyber-attacks </w:t>
      </w:r>
      <w:r w:rsidR="001D4CB5">
        <w:t>reported globally through online search engines and observed an increase in cybersecurity incidents such as phishing, malware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w:t>
      </w:r>
      <w:r w:rsidR="00EE71EC">
        <w:t xml:space="preserve">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Other forms of crime </w:t>
      </w:r>
      <w:r w:rsidR="00633879">
        <w:t>enabled</w:t>
      </w:r>
      <w:r w:rsidR="00185A7E">
        <w:t xml:space="preserve"> by the internet also increased, for example, </w:t>
      </w:r>
      <w:r w:rsidR="00EE71EC" w:rsidRPr="00EE71EC">
        <w:t>Stechemesser</w:t>
      </w:r>
      <w:r w:rsidR="00EE71EC">
        <w:t xml:space="preserve"> et al. (2020) recorded Tweets with anti-Chinese racist content between January and April 2020 and observed a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observed a</w:t>
      </w:r>
      <w:r w:rsidR="00CF7B65">
        <w:t xml:space="preserve">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330A542F"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r w:rsidR="00C9305B" w:rsidRPr="00C9305B">
        <w:t>Balmori de la Miyar</w:t>
      </w:r>
      <w:r w:rsidR="00C9305B">
        <w:t xml:space="preserve"> et al. (2021) using data recorded in Mexico. </w:t>
      </w:r>
      <w:r w:rsidR="002A78EF">
        <w:t>Nix and Richards (2021) observed that</w:t>
      </w:r>
      <w:r w:rsidR="00CF7B65">
        <w:t xml:space="preserve"> domestic violence calls for police services i</w:t>
      </w:r>
      <w:r w:rsidR="002A78EF">
        <w:t>n six police jurisdictions in the US</w:t>
      </w:r>
      <w:r w:rsidR="00CF7B65">
        <w:t xml:space="preserve"> </w:t>
      </w:r>
      <w:r w:rsidR="00671E67">
        <w:t>returned</w:t>
      </w:r>
      <w:r w:rsidR="002A78EF">
        <w:t xml:space="preserve"> to pre-COVID levels when lockdown restrictions were lifted.</w:t>
      </w:r>
      <w:r w:rsidR="000C1175">
        <w:t xml:space="preserve"> </w:t>
      </w:r>
    </w:p>
    <w:p w14:paraId="42EEF01A" w14:textId="52F263E4" w:rsidR="009235CB" w:rsidRDefault="000C1175" w:rsidP="00362FF1">
      <w:pPr>
        <w:jc w:val="both"/>
      </w:pPr>
      <w:r>
        <w:t xml:space="preserve">Existent research appears to indicate that the quick changes in </w:t>
      </w:r>
      <w:r w:rsidR="00633879">
        <w:t xml:space="preserve">offline </w:t>
      </w:r>
      <w:r>
        <w:t xml:space="preserve">crime seen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 xml:space="preserve">and may have </w:t>
      </w:r>
      <w:r w:rsidR="00CF7B65">
        <w:t>long-term</w:t>
      </w:r>
      <w:r w:rsidR="00DA45E8">
        <w:t xml:space="preserve"> effect</w:t>
      </w:r>
      <w:r w:rsidR="00CF7B65">
        <w:t>s</w:t>
      </w:r>
      <w:r w:rsidR="00DA45E8">
        <w:t xml:space="preserve">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 xml:space="preserve">For instance, Buil-Gil and Zeng (2021) observed that reports of cyber-enabled romance fraud in the UK continued </w:t>
      </w:r>
      <w:r w:rsidR="006B2E5A">
        <w:lastRenderedPageBreak/>
        <w:t>growing nine months after the first COVID-19 lockdown.</w:t>
      </w:r>
      <w:r w:rsidR="00FB41AC">
        <w:t xml:space="preserve"> This research uses </w:t>
      </w:r>
      <w:r w:rsidR="00DC1F91">
        <w:t xml:space="preserve">crime </w:t>
      </w:r>
      <w:r w:rsidR="00FB41AC">
        <w:t xml:space="preserve">data recorded </w:t>
      </w:r>
      <w:r w:rsidR="00DC1F91">
        <w:t>in</w:t>
      </w:r>
      <w:r w:rsidR="00FB41AC" w:rsidRPr="00FB41AC">
        <w:t xml:space="preserve">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37EEFC31"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from</w:t>
      </w:r>
      <w:r>
        <w:t xml:space="preserve"> the </w:t>
      </w:r>
      <w:r w:rsidR="00B32E43">
        <w:t>crime open data portal</w:t>
      </w:r>
      <w:r>
        <w:t xml:space="preserve"> of the police</w:t>
      </w:r>
      <w:r w:rsidR="00B32E43">
        <w:t xml:space="preserve"> </w:t>
      </w:r>
      <w:r w:rsidR="00BA0654">
        <w:t>(</w:t>
      </w:r>
      <w:hyperlink r:id="rId16"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7"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696520C" w:rsidR="0011468F" w:rsidRDefault="0011468F" w:rsidP="0011468F">
      <w:pPr>
        <w:pStyle w:val="ListParagraph"/>
        <w:numPr>
          <w:ilvl w:val="0"/>
          <w:numId w:val="3"/>
        </w:numPr>
        <w:jc w:val="both"/>
      </w:pPr>
      <w:r>
        <w:t>Violence and sexual crime: including violence with</w:t>
      </w:r>
      <w:r w:rsidR="00DC1F91">
        <w:t xml:space="preserve"> and without</w:t>
      </w:r>
      <w:r>
        <w:t xml:space="preserve">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0E136E9D" w:rsidR="0011468F" w:rsidRDefault="0011468F" w:rsidP="0011468F">
      <w:pPr>
        <w:pStyle w:val="ListParagraph"/>
        <w:numPr>
          <w:ilvl w:val="0"/>
          <w:numId w:val="3"/>
        </w:numPr>
        <w:jc w:val="both"/>
      </w:pPr>
      <w:r>
        <w:t>Theft and robbery: including theft from person, bicycle theft, theft of</w:t>
      </w:r>
      <w:r w:rsidR="00DC1F91">
        <w:t>/</w:t>
      </w:r>
      <w:r w:rsidR="00D21DC4">
        <w:t xml:space="preserve">from </w:t>
      </w:r>
      <w:r>
        <w:t>vehicle,</w:t>
      </w:r>
      <w:r w:rsidR="00CB328F">
        <w:t xml:space="preserve"> and</w:t>
      </w:r>
      <w:r>
        <w:t xml:space="preserve"> shoplifting.</w:t>
      </w:r>
    </w:p>
    <w:p w14:paraId="2DD2322F" w14:textId="626242F3"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25BB8FA"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rsidR="00DC1F91">
        <w:t xml:space="preserve"> (</w:t>
      </w:r>
      <w:r w:rsidR="00DC1F91" w:rsidRPr="00C54311">
        <w:t>Balmori de la Miyar et al.</w:t>
      </w:r>
      <w:r w:rsidR="00DC1F91">
        <w:t xml:space="preserve">, </w:t>
      </w:r>
      <w:r w:rsidR="00DC1F91" w:rsidRPr="00C54311">
        <w:t>2021</w:t>
      </w:r>
      <w:r w:rsidR="00DC1F91">
        <w:t>)</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Some fraud types are clearly cyber-enabled, such as online shopping fraud, and thus their opportunities were likely to increase with the increased</w:t>
      </w:r>
      <w:r w:rsidR="002E727F">
        <w:t xml:space="preserve"> of internet</w:t>
      </w:r>
      <w:r>
        <w:t xml:space="preserve"> use </w:t>
      </w:r>
      <w:r w:rsidR="00A77B60">
        <w:t>both during and after lockdown</w:t>
      </w:r>
      <w:r>
        <w:t xml:space="preserve">, while other fraud categories may be </w:t>
      </w:r>
      <w:r w:rsidR="00D564E1">
        <w:t>include both offline and online incidents</w:t>
      </w:r>
      <w:r>
        <w:t xml:space="preserve"> (for example, </w:t>
      </w:r>
      <w:r w:rsidR="00F15B9A">
        <w:t>investment and advance free fraud Pyramid schemes or ‘419’ fraud</w:t>
      </w:r>
      <w:r w:rsidR="00D564E1">
        <w:t>s</w:t>
      </w:r>
      <w:r w:rsidR="00F15B9A">
        <w:t xml:space="preserve"> </w:t>
      </w:r>
      <w:r w:rsidR="00DC1F91">
        <w:t xml:space="preserve">which </w:t>
      </w:r>
      <w:r w:rsidR="00F15B9A">
        <w:t>can be enabled by the internet in some cases</w:t>
      </w:r>
      <w:r w:rsidR="00DC1F91">
        <w:t xml:space="preserve"> but not always</w:t>
      </w:r>
      <w:r w:rsidR="00935A52">
        <w:t xml:space="preserve">). Cyber-dependent crimes can only take place </w:t>
      </w:r>
      <w:commentRangeStart w:id="2"/>
      <w:r w:rsidR="00935A52">
        <w:t>online</w:t>
      </w:r>
      <w:commentRangeEnd w:id="2"/>
      <w:r w:rsidR="00DC1F91">
        <w:rPr>
          <w:rStyle w:val="CommentReference"/>
        </w:rPr>
        <w:commentReference w:id="2"/>
      </w:r>
      <w:r w:rsidR="00935A52">
        <w:t>.</w:t>
      </w:r>
    </w:p>
    <w:p w14:paraId="56ACB371" w14:textId="78C06F2B" w:rsidR="009235CB" w:rsidRDefault="00FB41AC" w:rsidP="00362FF1">
      <w:pPr>
        <w:pStyle w:val="Heading2"/>
        <w:jc w:val="both"/>
      </w:pPr>
      <w:r>
        <w:lastRenderedPageBreak/>
        <w:t>4</w:t>
      </w:r>
      <w:r w:rsidR="00E20D9F">
        <w:t xml:space="preserve">.2 </w:t>
      </w:r>
      <w:r w:rsidR="009235CB">
        <w:t>Analytical approach</w:t>
      </w:r>
    </w:p>
    <w:p w14:paraId="1EDD02CD" w14:textId="2E5513A7" w:rsidR="00F031EC" w:rsidRDefault="00F031EC" w:rsidP="00362FF1">
      <w:pPr>
        <w:jc w:val="both"/>
      </w:pPr>
      <w:r>
        <w:t>In order to analyse the immediate effect of each COVID-19 lockdown on crime, but also the medium-term changes in crime after each lockdown, we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in a given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0A5F5C60" w:rsidR="00A77B60" w:rsidRDefault="00EA68AA" w:rsidP="00362FF1">
      <w:pPr>
        <w:jc w:val="both"/>
      </w:pPr>
      <w:r>
        <w:t>With a few e</w:t>
      </w:r>
      <w:r w:rsidR="00A77B60">
        <w:t>xceptions</w:t>
      </w:r>
      <w:r w:rsidR="00012A71">
        <w:t xml:space="preserve"> (e.g., </w:t>
      </w:r>
      <w:bookmarkStart w:id="3" w:name="_Hlk77081691"/>
      <w:r w:rsidR="00012A71" w:rsidRPr="00012A71">
        <w:t>Humphreys</w:t>
      </w:r>
      <w:r w:rsidR="00012A71">
        <w:t xml:space="preserve"> et al., 2013; </w:t>
      </w:r>
      <w:r w:rsidR="00012A71" w:rsidRPr="00012A71">
        <w:t>Steinbach</w:t>
      </w:r>
      <w:r w:rsidR="00012A71">
        <w:t xml:space="preserve"> et al., 2015</w:t>
      </w:r>
      <w:bookmarkEnd w:id="3"/>
      <w:r w:rsidR="00012A71">
        <w:t xml:space="preserve">), this approach </w:t>
      </w:r>
      <w:r>
        <w:t>has been rarely applied in crime research, but its application is widespread in epidemiology, economics</w:t>
      </w:r>
      <w:r w:rsidR="00A244B6">
        <w:t xml:space="preserve"> </w:t>
      </w:r>
      <w:r>
        <w:t xml:space="preserve">and other fields. </w:t>
      </w:r>
      <w:r w:rsidR="0014433D">
        <w:t xml:space="preserve">We present </w:t>
      </w:r>
      <w:r w:rsidR="00D564E1">
        <w:t>the</w:t>
      </w:r>
      <w:r w:rsidR="0014433D">
        <w:t xml:space="preserve"> model results </w:t>
      </w:r>
      <w:r w:rsidR="00D564E1">
        <w:t>using tables and</w:t>
      </w:r>
      <w:r w:rsidR="0014433D">
        <w:t xml:space="preserve"> visualisations.</w:t>
      </w:r>
    </w:p>
    <w:p w14:paraId="3D7A3235" w14:textId="4A8CEE7D"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 xml:space="preserve">Hyndman-Khandakar algorithm (Hyndman </w:t>
      </w:r>
      <w:r w:rsidR="0024525D">
        <w:t>and</w:t>
      </w:r>
      <w:r w:rsidR="0024525D" w:rsidRPr="0024525D">
        <w:t xml:space="preserve"> Khandakar,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w:t>
      </w:r>
      <w:r w:rsidR="00A244B6">
        <w:t>algorithm</w:t>
      </w:r>
      <w:r w:rsidR="00AB1226">
        <w:t xml:space="preserve"> </w:t>
      </w:r>
      <w:r w:rsidR="00A244B6">
        <w:t>seeks</w:t>
      </w:r>
      <w:r w:rsidR="00AB1226">
        <w:t xml:space="preserve">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244B6">
        <w:t xml:space="preserve"> (</w:t>
      </w:r>
      <w:r w:rsidR="00AB1226">
        <w:t>the seasonal components</w:t>
      </w:r>
      <w:r w:rsidR="00A244B6">
        <w:t>)</w:t>
      </w:r>
      <w:r w:rsidR="00AB1226">
        <w:t>,</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w:t>
      </w:r>
      <w:r w:rsidR="00A244B6">
        <w:t xml:space="preserve">and Ljung-Box </w:t>
      </w:r>
      <w:r w:rsidR="00D564E1">
        <w:t>test</w:t>
      </w:r>
      <w:r w:rsidR="00A244B6">
        <w:t>s</w:t>
      </w:r>
      <w:r w:rsidR="00D564E1">
        <w:t xml:space="preserve">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w:t>
      </w:r>
      <w:r w:rsidR="00A244B6">
        <w:t>were</w:t>
      </w:r>
      <w:r w:rsidR="00D564E1">
        <w:t xml:space="preserve"> adjusted manually to ensure that model assumptions were met.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20FCEF5A" w:rsidR="00BF0B59" w:rsidRPr="00C1485C" w:rsidRDefault="00763218" w:rsidP="00362FF1">
      <w:pPr>
        <w:jc w:val="both"/>
      </w:pPr>
      <w:r>
        <w:t>The analysis has been conducted in R software (R Core Team, 2021) and all data and codes are available from a Github repository (</w:t>
      </w:r>
      <w:r w:rsidR="004160CD">
        <w:t xml:space="preserve">anonymised repository: </w:t>
      </w:r>
      <w:hyperlink r:id="rId18" w:history="1">
        <w:r w:rsidR="00CE5F8B" w:rsidRPr="00823A22">
          <w:rPr>
            <w:rStyle w:val="Hyperlink"/>
          </w:rPr>
          <w:t>https://anonymous.4open.science/r/covid_crime_NI-Anonymise/</w:t>
        </w:r>
      </w:hyperlink>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167A31D"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rsidR="0010686C">
        <w:t xml:space="preserve">. </w:t>
      </w:r>
      <w:r w:rsidR="00FA1B69">
        <w:t>T</w:t>
      </w:r>
      <w:r w:rsidR="007907D6">
        <w:t xml:space="preserve">he results of the multivariate ARIMA errors are </w:t>
      </w:r>
      <w:r w:rsidR="0010686C">
        <w:t>presented</w:t>
      </w:r>
      <w:r w:rsidR="007907D6">
        <w:t xml:space="preserve"> in the Appendix as a sensitivity check.</w:t>
      </w:r>
    </w:p>
    <w:p w14:paraId="64844C5D" w14:textId="78F77B4D" w:rsidR="00BC233A" w:rsidRDefault="007907D6" w:rsidP="007907D6">
      <w:pPr>
        <w:jc w:val="both"/>
      </w:pPr>
      <w:r>
        <w:lastRenderedPageBreak/>
        <w:t>Overall, as shown in Figure 2, crime suffered an important decrease after the first and third lockdown</w:t>
      </w:r>
      <w:r w:rsidR="00FA1B69">
        <w:t>s in Northern Ireland</w:t>
      </w:r>
      <w:r>
        <w:t xml:space="preserve">, while the effect of the second lockdown was less evident. Crime </w:t>
      </w:r>
      <w:r w:rsidR="0010686C">
        <w:t>records</w:t>
      </w:r>
      <w:r>
        <w:t xml:space="preserve"> </w:t>
      </w:r>
      <w:r w:rsidR="00FA1B69">
        <w:t>progressively returned</w:t>
      </w:r>
      <w:r>
        <w:t xml:space="preserve"> to </w:t>
      </w:r>
      <w:r w:rsidR="00FA1B69">
        <w:t>pre-COVID</w:t>
      </w:r>
      <w:r>
        <w:t xml:space="preserve"> </w:t>
      </w:r>
      <w:r w:rsidR="0010686C">
        <w:t>levels</w:t>
      </w:r>
      <w:r>
        <w:t xml:space="preserve"> after </w:t>
      </w:r>
      <w:r w:rsidR="006A72A8">
        <w:t>the first and third</w:t>
      </w:r>
      <w:r>
        <w:t xml:space="preserve"> lockdown.</w:t>
      </w:r>
      <w:r w:rsidR="00FA1B69">
        <w:t xml:space="preserve"> However, as described above in the literature review, this is likely to mask huge differences between crime types</w:t>
      </w:r>
      <w:r w:rsidR="0010686C">
        <w:t>, and may be affected by seasonal patterns that affect some offences more than others</w:t>
      </w:r>
      <w:r w:rsidR="00FA1B69">
        <w:t>. The following subsections analyse crime trends for each crime type.</w:t>
      </w:r>
    </w:p>
    <w:p w14:paraId="2936443D" w14:textId="5044556C" w:rsidR="002A4380" w:rsidRDefault="002A4380" w:rsidP="006A72A8">
      <w:pPr>
        <w:spacing w:after="0" w:line="240" w:lineRule="auto"/>
      </w:pPr>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CBCF859" w14:textId="2EDD8992" w:rsidR="0007082B" w:rsidRPr="006A72A8" w:rsidRDefault="0007082B" w:rsidP="006A72A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5D177D16" w14:textId="36F55618" w:rsidR="006A72A8" w:rsidRPr="0010686C" w:rsidRDefault="0010686C" w:rsidP="008F379E">
      <w:pPr>
        <w:jc w:val="both"/>
      </w:pPr>
      <w:r w:rsidRPr="0010686C">
        <w:t>Th</w:t>
      </w:r>
      <w:r>
        <w:t>e result</w:t>
      </w:r>
      <w:r w:rsidR="00627D46">
        <w:t>s</w:t>
      </w:r>
      <w:r>
        <w:t xml:space="preserve"> of the ITS analysis of violence and sexual </w:t>
      </w:r>
      <w:r w:rsidR="006A72A8">
        <w:t>offences</w:t>
      </w:r>
      <w:r>
        <w:t xml:space="preserve">, </w:t>
      </w:r>
      <w:r w:rsidR="00627D46">
        <w:t>including</w:t>
      </w:r>
      <w:r>
        <w:t xml:space="preserve"> </w:t>
      </w:r>
      <w:r w:rsidR="00627D46">
        <w:t xml:space="preserve">violence with injury, violence without injury, sexual </w:t>
      </w:r>
      <w:r w:rsidR="006A72A8">
        <w:t>crimes</w:t>
      </w:r>
      <w:r w:rsidR="00627D46">
        <w:t xml:space="preserve"> and robbery, </w:t>
      </w:r>
      <w:r>
        <w:t xml:space="preserve">show that </w:t>
      </w:r>
      <w:r w:rsidR="00627D46">
        <w:t xml:space="preserve">crime levels decreased immediately after each COVID-19 lockdown, and rapidly returned to pre-COVID levels after each lockdown (Figure 3). The results of the ITS models, presented in Table 1, further reinforce this finding, showing that: (a) the decrease in crime resulting from the first lockdown was statistically significant in all four cases; (b) the increase in crime after the first lockdown is statistically significant in the case of violence with and without injury and sex crime, but not robbery; </w:t>
      </w:r>
      <w:r w:rsidR="00F21637">
        <w:t xml:space="preserve">and </w:t>
      </w:r>
      <w:r w:rsidR="00627D46">
        <w:t xml:space="preserve">(c) violent crime with and without injury significantly decreased immediately after the third lockdown, and returned to pre-COVID levels during the </w:t>
      </w:r>
      <w:r w:rsidR="00F21637">
        <w:t>following</w:t>
      </w:r>
      <w:r w:rsidR="00627D46">
        <w:t xml:space="preserve"> months as lockdown restrictions were lifted. The results of the multivariate models with ARIMA errors</w:t>
      </w:r>
      <w:r w:rsidR="00F21637">
        <w:t xml:space="preserve"> </w:t>
      </w:r>
      <w:r w:rsidR="00627D46">
        <w:t>show remarkably similar results</w:t>
      </w:r>
      <w:r w:rsidR="00F21637">
        <w:t xml:space="preserve"> (see Appendix)</w:t>
      </w:r>
      <w:r w:rsidR="00627D46">
        <w:t xml:space="preserve">, but </w:t>
      </w:r>
      <w:r w:rsidR="008F379E">
        <w:t>they also indicate that, in the case of robbery, the effect</w:t>
      </w:r>
      <w:r w:rsidR="00F21637">
        <w:t>s</w:t>
      </w:r>
      <w:r w:rsidR="008F379E">
        <w:t xml:space="preserve"> of the second lockdown (negative), time since second lockdown (positive), and third lockdown (negative) on crime w</w:t>
      </w:r>
      <w:r w:rsidR="00F21637">
        <w:t>ere</w:t>
      </w:r>
      <w:r w:rsidR="008F379E">
        <w:t xml:space="preserve"> likely to be statistically significant.</w:t>
      </w: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8F379E" w:rsidRDefault="00C174F0" w:rsidP="00C174F0">
            <w:pPr>
              <w:tabs>
                <w:tab w:val="decimal" w:pos="708"/>
              </w:tabs>
            </w:pPr>
            <w:r w:rsidRPr="008F379E">
              <w:t>12.6*</w:t>
            </w:r>
          </w:p>
        </w:tc>
        <w:tc>
          <w:tcPr>
            <w:tcW w:w="1804" w:type="dxa"/>
            <w:vAlign w:val="center"/>
          </w:tcPr>
          <w:p w14:paraId="0176F90F" w14:textId="53444071" w:rsidR="00C174F0" w:rsidRPr="008F379E" w:rsidRDefault="00C174F0" w:rsidP="00C174F0">
            <w:pPr>
              <w:tabs>
                <w:tab w:val="decimal" w:pos="696"/>
              </w:tabs>
            </w:pPr>
            <w:r w:rsidRPr="008F379E">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8F379E" w:rsidRDefault="00C174F0" w:rsidP="00C174F0">
            <w:pPr>
              <w:tabs>
                <w:tab w:val="decimal" w:pos="708"/>
              </w:tabs>
            </w:pPr>
            <w:r w:rsidRPr="008F379E">
              <w:t>-56.9</w:t>
            </w:r>
          </w:p>
        </w:tc>
        <w:tc>
          <w:tcPr>
            <w:tcW w:w="1804" w:type="dxa"/>
            <w:vAlign w:val="center"/>
          </w:tcPr>
          <w:p w14:paraId="69ADF82A" w14:textId="74BBDB92" w:rsidR="00C174F0" w:rsidRPr="008F379E" w:rsidRDefault="00C174F0" w:rsidP="00C174F0">
            <w:pPr>
              <w:tabs>
                <w:tab w:val="decimal" w:pos="696"/>
              </w:tabs>
            </w:pPr>
            <w:r w:rsidRPr="008F379E">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8F379E" w:rsidRDefault="00C174F0" w:rsidP="00C174F0">
            <w:pPr>
              <w:tabs>
                <w:tab w:val="decimal" w:pos="708"/>
              </w:tabs>
            </w:pPr>
            <w:r w:rsidRPr="008F379E">
              <w:t>1.5</w:t>
            </w:r>
          </w:p>
        </w:tc>
        <w:tc>
          <w:tcPr>
            <w:tcW w:w="1804" w:type="dxa"/>
            <w:vAlign w:val="center"/>
          </w:tcPr>
          <w:p w14:paraId="6A1D0E40" w14:textId="45DF7B11" w:rsidR="00C174F0" w:rsidRPr="008F379E" w:rsidRDefault="00C174F0" w:rsidP="00C174F0">
            <w:pPr>
              <w:tabs>
                <w:tab w:val="decimal" w:pos="696"/>
              </w:tabs>
            </w:pPr>
            <w:r w:rsidRPr="008F379E">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8F379E" w:rsidRDefault="00C174F0" w:rsidP="00C174F0">
            <w:pPr>
              <w:tabs>
                <w:tab w:val="decimal" w:pos="708"/>
              </w:tabs>
            </w:pPr>
            <w:r w:rsidRPr="008F379E">
              <w:t>-50.4</w:t>
            </w:r>
          </w:p>
        </w:tc>
        <w:tc>
          <w:tcPr>
            <w:tcW w:w="1804" w:type="dxa"/>
            <w:vAlign w:val="center"/>
          </w:tcPr>
          <w:p w14:paraId="4F46A032" w14:textId="575A0FB7" w:rsidR="00C174F0" w:rsidRPr="008F379E" w:rsidRDefault="00C174F0" w:rsidP="00C174F0">
            <w:pPr>
              <w:tabs>
                <w:tab w:val="decimal" w:pos="696"/>
              </w:tabs>
            </w:pPr>
            <w:r w:rsidRPr="008F379E">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12C8176F" w14:textId="57918EE4" w:rsidR="002A4380" w:rsidRDefault="00265F5B" w:rsidP="006702C5">
      <w:pPr>
        <w:jc w:val="both"/>
      </w:pPr>
      <w:r>
        <w:t>Drug</w:t>
      </w:r>
      <w:r w:rsidR="00364EB7">
        <w:t>-related</w:t>
      </w:r>
      <w:r>
        <w:t xml:space="preserve"> </w:t>
      </w:r>
      <w:r w:rsidR="00364EB7">
        <w:t>crime</w:t>
      </w:r>
      <w:r>
        <w:t>s and public order/</w:t>
      </w:r>
      <w:r w:rsidR="00364EB7">
        <w:t xml:space="preserve">criminal </w:t>
      </w:r>
      <w:r>
        <w:t xml:space="preserve">damage </w:t>
      </w:r>
      <w:r w:rsidR="00364EB7">
        <w:t>offence</w:t>
      </w:r>
      <w:r>
        <w:t xml:space="preserve">s show </w:t>
      </w:r>
      <w:r w:rsidR="008F379E">
        <w:t xml:space="preserve">remarkably different </w:t>
      </w:r>
      <w:r>
        <w:t>trends</w:t>
      </w:r>
      <w:r w:rsidR="008F379E">
        <w:t xml:space="preserve">. One the one hand, drug crimes show a similar pattern to that of violence offences, with crime levels decreasing immediately after each COVID-19 lockdown and returning progressively to pre-COVID levels during the following months. On the other hand, </w:t>
      </w:r>
      <w:r w:rsidR="008A6291">
        <w:t>ITS analysis of public order and criminal damage show</w:t>
      </w:r>
      <w:r>
        <w:t>s</w:t>
      </w:r>
      <w:r w:rsidR="008A6291">
        <w:t xml:space="preserve"> that crime decrease</w:t>
      </w:r>
      <w:r>
        <w:t>d</w:t>
      </w:r>
      <w:r w:rsidR="008A6291">
        <w:t xml:space="preserve"> immediate after the first and third lockdowns, and </w:t>
      </w:r>
      <w:r>
        <w:t xml:space="preserve">it </w:t>
      </w:r>
      <w:r w:rsidR="008A6291">
        <w:t>then return</w:t>
      </w:r>
      <w:r>
        <w:t>ed</w:t>
      </w:r>
      <w:r w:rsidR="008A6291">
        <w:t xml:space="preserve"> to the overall linear trend</w:t>
      </w:r>
      <w:r>
        <w:t>line</w:t>
      </w:r>
      <w:r w:rsidR="008A6291">
        <w:t xml:space="preserve">, but the </w:t>
      </w:r>
      <w:r>
        <w:t>observed</w:t>
      </w:r>
      <w:r w:rsidR="008A6291">
        <w:t xml:space="preserve"> effect of the second lockdown was different</w:t>
      </w:r>
      <w:r>
        <w:t xml:space="preserve"> to those seen above</w:t>
      </w:r>
      <w:r w:rsidR="008A6291">
        <w:t xml:space="preserve">, showing a decrease in crime after October 2020. This can be seen </w:t>
      </w:r>
      <w:r w:rsidR="008A6291">
        <w:lastRenderedPageBreak/>
        <w:t xml:space="preserve">both in Figure 4 and Table 2. However, as can be </w:t>
      </w:r>
      <w:r w:rsidR="00F21637">
        <w:t>observed</w:t>
      </w:r>
      <w:r w:rsidR="008A6291">
        <w:t xml:space="preserve"> in Figure 4, the trend</w:t>
      </w:r>
      <w:r>
        <w:t>s of</w:t>
      </w:r>
      <w:r w:rsidR="008A6291">
        <w:t xml:space="preserve"> public order and criminal damage</w:t>
      </w:r>
      <w:r>
        <w:t xml:space="preserve"> </w:t>
      </w:r>
      <w:r w:rsidR="008A6291">
        <w:t xml:space="preserve">during the pandemic follow remarkably similar </w:t>
      </w:r>
      <w:r w:rsidR="00364EB7">
        <w:t>patterns</w:t>
      </w:r>
      <w:r w:rsidR="008A6291">
        <w:t xml:space="preserve"> to </w:t>
      </w:r>
      <w:r w:rsidR="00F21637">
        <w:t>pre-COVID trends</w:t>
      </w:r>
      <w:r w:rsidR="008A6291">
        <w:t xml:space="preserve">, with increases in crime during summer and lower </w:t>
      </w:r>
      <w:r w:rsidR="00F21637">
        <w:t xml:space="preserve">crime </w:t>
      </w:r>
      <w:r w:rsidR="008A6291">
        <w:t xml:space="preserve">levels in winter. Thus, </w:t>
      </w:r>
      <w:r>
        <w:t>we need to be cautious when trying to establish links between COVID-19 lockdowns and crime, since changes in crime may simply be driven by crime seasonality. It can also be highlighted that drug trafficking offences are clearly larger during COVID-19 than before.</w:t>
      </w:r>
    </w:p>
    <w:p w14:paraId="6AC76F05" w14:textId="60E95C98" w:rsidR="00CB328F" w:rsidRDefault="00CB328F" w:rsidP="00F46100">
      <w:r>
        <w:rPr>
          <w:noProof/>
        </w:rPr>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C423FA3" w14:textId="48A01F1A" w:rsidR="00763218" w:rsidRDefault="0059522B" w:rsidP="00C90C4C">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41D6165E" w14:textId="77777777" w:rsidR="00C90C4C" w:rsidRPr="00C90C4C" w:rsidRDefault="00C90C4C" w:rsidP="00C90C4C">
      <w:pPr>
        <w:jc w:val="center"/>
        <w:rPr>
          <w:i/>
          <w:iCs/>
        </w:rPr>
      </w:pPr>
    </w:p>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97073C" w:rsidRDefault="001924AD" w:rsidP="001924AD">
            <w:pPr>
              <w:tabs>
                <w:tab w:val="decimal" w:pos="780"/>
              </w:tabs>
            </w:pPr>
            <w:r w:rsidRPr="0097073C">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97073C" w:rsidRDefault="001924AD" w:rsidP="001924AD">
            <w:pPr>
              <w:tabs>
                <w:tab w:val="decimal" w:pos="780"/>
              </w:tabs>
            </w:pPr>
            <w:r w:rsidRPr="0097073C">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97073C" w:rsidRDefault="001924AD" w:rsidP="001924AD">
            <w:pPr>
              <w:tabs>
                <w:tab w:val="decimal" w:pos="780"/>
              </w:tabs>
            </w:pPr>
            <w:r w:rsidRPr="0097073C">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364EB7" w:rsidRDefault="001924AD" w:rsidP="001924AD">
            <w:pPr>
              <w:tabs>
                <w:tab w:val="decimal" w:pos="648"/>
              </w:tabs>
            </w:pPr>
            <w:r w:rsidRPr="00364EB7">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97073C" w:rsidRDefault="001924AD" w:rsidP="001924AD">
            <w:pPr>
              <w:tabs>
                <w:tab w:val="decimal" w:pos="780"/>
              </w:tabs>
            </w:pPr>
            <w:r w:rsidRPr="0097073C">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364EB7" w:rsidRDefault="001924AD" w:rsidP="001924AD">
            <w:pPr>
              <w:tabs>
                <w:tab w:val="decimal" w:pos="648"/>
              </w:tabs>
            </w:pPr>
            <w:r w:rsidRPr="00364EB7">
              <w:t>-93.7</w:t>
            </w:r>
            <w:r w:rsidRPr="00364EB7">
              <w:rPr>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97073C" w:rsidRDefault="001924AD" w:rsidP="001924AD">
            <w:pPr>
              <w:tabs>
                <w:tab w:val="decimal" w:pos="780"/>
              </w:tabs>
            </w:pPr>
            <w:r w:rsidRPr="0097073C">
              <w:t>-19.0</w:t>
            </w:r>
          </w:p>
        </w:tc>
        <w:tc>
          <w:tcPr>
            <w:tcW w:w="1804" w:type="dxa"/>
            <w:vAlign w:val="center"/>
          </w:tcPr>
          <w:p w14:paraId="1DD07564" w14:textId="6B601477" w:rsidR="001924AD" w:rsidRPr="00364EB7" w:rsidRDefault="001924AD" w:rsidP="001924AD">
            <w:pPr>
              <w:tabs>
                <w:tab w:val="decimal" w:pos="792"/>
              </w:tabs>
            </w:pPr>
            <w:r w:rsidRPr="00364EB7">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364EB7" w:rsidRDefault="001924AD" w:rsidP="001924AD">
            <w:pPr>
              <w:tabs>
                <w:tab w:val="decimal" w:pos="648"/>
              </w:tabs>
            </w:pPr>
            <w:r w:rsidRPr="00364EB7">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364EB7" w:rsidRDefault="001924AD" w:rsidP="001924AD">
            <w:pPr>
              <w:tabs>
                <w:tab w:val="decimal" w:pos="792"/>
              </w:tabs>
            </w:pPr>
            <w:r w:rsidRPr="00364EB7">
              <w:t>78.8</w:t>
            </w:r>
            <w:r w:rsidRPr="00364EB7">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168C43D6" w:rsidR="0059522B" w:rsidRDefault="0059522B" w:rsidP="0059522B">
      <w:pPr>
        <w:spacing w:after="0" w:line="240" w:lineRule="auto"/>
      </w:pPr>
      <w:r>
        <w:t xml:space="preserve">***p-value&lt;0.001, **p-value&lt;0.01, *p-value&lt;0.05, </w:t>
      </w:r>
      <w:r w:rsidRPr="00BA0654">
        <w:rPr>
          <w:vertAlign w:val="superscript"/>
        </w:rPr>
        <w:t>+</w:t>
      </w:r>
      <w:r>
        <w:t>p-value&lt;0.1</w:t>
      </w:r>
    </w:p>
    <w:p w14:paraId="1E1333E6" w14:textId="7E8F568A" w:rsidR="006702C5" w:rsidRDefault="006702C5" w:rsidP="0059522B">
      <w:pPr>
        <w:spacing w:after="0" w:line="240" w:lineRule="auto"/>
      </w:pPr>
    </w:p>
    <w:p w14:paraId="21DF9FDE" w14:textId="0773CC01" w:rsidR="0059522B" w:rsidRDefault="006702C5" w:rsidP="006702C5">
      <w:pPr>
        <w:jc w:val="both"/>
      </w:pPr>
      <w:r>
        <w:t>The results of the segmented linear models (Table 2) are very similar to that of the multivariate ARIMA error</w:t>
      </w:r>
      <w:r w:rsidR="00F21637">
        <w:t xml:space="preserve"> regressions </w:t>
      </w:r>
      <w:r>
        <w:t xml:space="preserve">(Appendix), but there are </w:t>
      </w:r>
      <w:r w:rsidR="00F21637">
        <w:t>some</w:t>
      </w:r>
      <w:r>
        <w:t xml:space="preserve"> notable differences regarding the statistical </w:t>
      </w:r>
      <w:r>
        <w:lastRenderedPageBreak/>
        <w:t xml:space="preserve">significance of some </w:t>
      </w:r>
      <w:r w:rsidR="00F21637">
        <w:t xml:space="preserve">temporal </w:t>
      </w:r>
      <w:r>
        <w:t xml:space="preserve">variables. For instance, the ARIMA error model shows that the negative effect of the first lockdown on crime was also statistically significant in the case of public order and possession of weapon offences, the effect of time since the second and third lockdowns is also significant in the case of possession of drug crimes (while the negative effect of the third lockdown on possession of drugs may not be significant), and the negative effect of the third lockdown on criminal damage may be statistically </w:t>
      </w:r>
      <w:commentRangeStart w:id="4"/>
      <w:r>
        <w:t>significant</w:t>
      </w:r>
      <w:commentRangeEnd w:id="4"/>
      <w:r w:rsidR="00343EFD">
        <w:rPr>
          <w:rStyle w:val="CommentReference"/>
        </w:rPr>
        <w:commentReference w:id="4"/>
      </w:r>
      <w:r>
        <w:t>.</w:t>
      </w:r>
    </w:p>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025977B7" w14:textId="4419348F" w:rsidR="002A4380" w:rsidRDefault="00C90C4C" w:rsidP="00C90C4C">
      <w:pPr>
        <w:jc w:val="both"/>
      </w:pPr>
      <w:r>
        <w:t>The</w:t>
      </w:r>
      <w:r w:rsidR="006702C5">
        <w:t xml:space="preserve"> effect of COVID-19 </w:t>
      </w:r>
      <w:r>
        <w:t xml:space="preserve">on burglary </w:t>
      </w:r>
      <w:r w:rsidR="0097073C">
        <w:t xml:space="preserve">trends </w:t>
      </w:r>
      <w:r>
        <w:t xml:space="preserve">was clearly different </w:t>
      </w:r>
      <w:r w:rsidR="0097073C">
        <w:t xml:space="preserve">depending on whether the crime happened in a household or non-residential building. </w:t>
      </w:r>
      <w:r>
        <w:t>While residential burglary decreased after March 2020 and remained</w:t>
      </w:r>
      <w:r w:rsidR="0097073C">
        <w:t xml:space="preserve"> well</w:t>
      </w:r>
      <w:r>
        <w:t xml:space="preserve"> below pre-COVID levels since then, non-residential burglary was not affected</w:t>
      </w:r>
      <w:r w:rsidR="0097073C">
        <w:t xml:space="preserve"> in any significant way</w:t>
      </w:r>
      <w:r>
        <w:t xml:space="preserve"> by the COVID-19 lockdowns (Figure 5). None of the lockdowns</w:t>
      </w:r>
      <w:r w:rsidR="00343EFD">
        <w:t xml:space="preserve"> </w:t>
      </w:r>
      <w:r>
        <w:t>ha</w:t>
      </w:r>
      <w:r w:rsidR="0097073C">
        <w:t>d</w:t>
      </w:r>
      <w:r>
        <w:t xml:space="preserve"> significant effects on non-residential </w:t>
      </w:r>
      <w:r w:rsidR="0097073C">
        <w:t>burglary</w:t>
      </w:r>
      <w:r w:rsidR="00343EFD">
        <w:t xml:space="preserve"> records in Northern Ireland</w:t>
      </w:r>
      <w:r>
        <w:t xml:space="preserve">. In the case of residential </w:t>
      </w:r>
      <w:r w:rsidR="00343EFD">
        <w:t>burglary</w:t>
      </w:r>
      <w:r>
        <w:t>, the segmented linear model results indicate that crime decreased immediately after the first and third lockdowns</w:t>
      </w:r>
      <w:r w:rsidR="0097073C">
        <w:t>, and these changes were statistically significant</w:t>
      </w:r>
      <w:r>
        <w:t xml:space="preserve"> (Table 3), but the ARIMA error model indicate</w:t>
      </w:r>
      <w:r w:rsidR="0097073C">
        <w:t>s</w:t>
      </w:r>
      <w:r>
        <w:t xml:space="preserve"> that only the effect of the first lockdown was statistically significant</w:t>
      </w:r>
      <w:r w:rsidR="00343EFD">
        <w:t xml:space="preserve"> (Appendix)</w:t>
      </w:r>
      <w:r>
        <w:t>.</w:t>
      </w:r>
    </w:p>
    <w:p w14:paraId="18582D5E" w14:textId="77777777" w:rsidR="00343EFD" w:rsidRDefault="00343EFD" w:rsidP="00C90C4C">
      <w:pPr>
        <w:jc w:val="both"/>
      </w:pPr>
    </w:p>
    <w:p w14:paraId="2952530F" w14:textId="7A9FDF32" w:rsidR="00CB328F" w:rsidRDefault="00CB328F" w:rsidP="0059522B">
      <w:r>
        <w:rPr>
          <w:noProof/>
        </w:rPr>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765D217E" w14:textId="09D13AD4" w:rsidR="00C90C4C" w:rsidRDefault="0059522B" w:rsidP="00C90C4C">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3ACA9C06" w14:textId="77777777" w:rsidR="00343EFD" w:rsidRPr="00C90C4C" w:rsidRDefault="00343EFD" w:rsidP="00C90C4C">
      <w:pPr>
        <w:jc w:val="center"/>
        <w:rPr>
          <w:i/>
          <w:iCs/>
        </w:rPr>
      </w:pPr>
    </w:p>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Pr="0097073C" w:rsidRDefault="001924AD" w:rsidP="001924AD">
            <w:pPr>
              <w:tabs>
                <w:tab w:val="decimal" w:pos="1308"/>
              </w:tabs>
            </w:pPr>
            <w:r w:rsidRPr="0097073C">
              <w:t>2.9</w:t>
            </w:r>
          </w:p>
        </w:tc>
        <w:tc>
          <w:tcPr>
            <w:tcW w:w="3260" w:type="dxa"/>
            <w:vAlign w:val="center"/>
          </w:tcPr>
          <w:p w14:paraId="792BC2A4" w14:textId="0F848F87" w:rsidR="001924AD" w:rsidRPr="0097073C" w:rsidRDefault="0049544B" w:rsidP="001924AD">
            <w:pPr>
              <w:tabs>
                <w:tab w:val="decimal" w:pos="1476"/>
              </w:tabs>
            </w:pPr>
            <w:r w:rsidRPr="0097073C">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Pr="0097073C" w:rsidRDefault="001924AD" w:rsidP="001924AD">
            <w:pPr>
              <w:tabs>
                <w:tab w:val="decimal" w:pos="1308"/>
              </w:tabs>
            </w:pPr>
            <w:r w:rsidRPr="0097073C">
              <w:t>-11.5</w:t>
            </w:r>
          </w:p>
        </w:tc>
        <w:tc>
          <w:tcPr>
            <w:tcW w:w="3260" w:type="dxa"/>
            <w:vAlign w:val="center"/>
          </w:tcPr>
          <w:p w14:paraId="703D6E37" w14:textId="6F6934D1" w:rsidR="001924AD" w:rsidRPr="0097073C" w:rsidRDefault="0049544B" w:rsidP="001924AD">
            <w:pPr>
              <w:tabs>
                <w:tab w:val="decimal" w:pos="1476"/>
              </w:tabs>
            </w:pPr>
            <w:r w:rsidRPr="0097073C">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Pr="0097073C" w:rsidRDefault="001924AD" w:rsidP="001924AD">
            <w:pPr>
              <w:tabs>
                <w:tab w:val="decimal" w:pos="1308"/>
              </w:tabs>
            </w:pPr>
            <w:r w:rsidRPr="0097073C">
              <w:t>-15.3</w:t>
            </w:r>
          </w:p>
        </w:tc>
        <w:tc>
          <w:tcPr>
            <w:tcW w:w="3260" w:type="dxa"/>
            <w:vAlign w:val="center"/>
          </w:tcPr>
          <w:p w14:paraId="46D73BA7" w14:textId="12382E80" w:rsidR="001924AD" w:rsidRPr="0097073C" w:rsidRDefault="0049544B" w:rsidP="001924AD">
            <w:pPr>
              <w:tabs>
                <w:tab w:val="decimal" w:pos="1476"/>
              </w:tabs>
            </w:pPr>
            <w:r w:rsidRPr="0097073C">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Pr="0097073C" w:rsidRDefault="0049544B" w:rsidP="001924AD">
            <w:pPr>
              <w:tabs>
                <w:tab w:val="decimal" w:pos="1308"/>
              </w:tabs>
            </w:pPr>
            <w:r w:rsidRPr="0097073C">
              <w:t>-124.1*</w:t>
            </w:r>
          </w:p>
        </w:tc>
        <w:tc>
          <w:tcPr>
            <w:tcW w:w="3260" w:type="dxa"/>
            <w:vAlign w:val="center"/>
          </w:tcPr>
          <w:p w14:paraId="4AE4C949" w14:textId="1CA14D3D" w:rsidR="001924AD" w:rsidRPr="0097073C" w:rsidRDefault="0049544B" w:rsidP="001924AD">
            <w:pPr>
              <w:tabs>
                <w:tab w:val="decimal" w:pos="1476"/>
              </w:tabs>
            </w:pPr>
            <w:r w:rsidRPr="0097073C">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71CCD823" w14:textId="32538912" w:rsidR="00F46100" w:rsidRDefault="0059522B" w:rsidP="0097073C">
      <w:pPr>
        <w:spacing w:after="0" w:line="240" w:lineRule="auto"/>
      </w:pPr>
      <w:r>
        <w:t xml:space="preserve">***p-value&lt;0.001, **p-value&lt;0.01, *p-value&lt;0.05, </w:t>
      </w:r>
      <w:r w:rsidRPr="00BA0654">
        <w:rPr>
          <w:vertAlign w:val="superscript"/>
        </w:rPr>
        <w:t>+</w:t>
      </w:r>
      <w:r>
        <w:t>p-value&lt;0.1</w:t>
      </w:r>
    </w:p>
    <w:p w14:paraId="49BE39DA" w14:textId="77777777" w:rsidR="00343EFD" w:rsidRDefault="00343EFD" w:rsidP="00343EFD">
      <w:pPr>
        <w:spacing w:line="240" w:lineRule="auto"/>
      </w:pPr>
    </w:p>
    <w:p w14:paraId="60022D31" w14:textId="00BD4309" w:rsidR="00F46100" w:rsidRDefault="00FB41AC" w:rsidP="00F46100">
      <w:pPr>
        <w:pStyle w:val="Heading2"/>
      </w:pPr>
      <w:r>
        <w:lastRenderedPageBreak/>
        <w:t>5</w:t>
      </w:r>
      <w:r w:rsidR="00E20D9F">
        <w:t xml:space="preserve">.4 </w:t>
      </w:r>
      <w:r w:rsidR="00F46100">
        <w:t>Theft</w:t>
      </w:r>
    </w:p>
    <w:p w14:paraId="217EEA90" w14:textId="7B645425" w:rsidR="00DB0B5B" w:rsidRDefault="0097073C" w:rsidP="005B2DA5">
      <w:pPr>
        <w:jc w:val="both"/>
      </w:pPr>
      <w:r>
        <w:t xml:space="preserve">We distinguish four types of theft: theft from person, bicycle theft, theft of/from motor vehicle, and shoplifting. </w:t>
      </w:r>
      <w:r w:rsidR="00F00937">
        <w:t xml:space="preserve">As can be </w:t>
      </w:r>
      <w:r w:rsidR="00343EFD">
        <w:t>seen</w:t>
      </w:r>
      <w:r w:rsidR="00F00937">
        <w:t xml:space="preserve"> in Figure 6, t</w:t>
      </w:r>
      <w:r>
        <w:t xml:space="preserve">here are important differences across these types of theft. First, reports of theft from person decreased </w:t>
      </w:r>
      <w:r w:rsidR="00343EFD">
        <w:t>immediately</w:t>
      </w:r>
      <w:r>
        <w:t xml:space="preserve"> after each COVID-19 lockdown</w:t>
      </w:r>
      <w:r w:rsidR="00F00937">
        <w:t xml:space="preserve">, and started to return to pre-COVID levels progressively after lockdown restrictions were lifted in each case. While the ITS model in Table 4 indicates that the drops in crime observed after each lockdown were statistically significant, </w:t>
      </w:r>
      <w:r w:rsidR="001D3935">
        <w:t xml:space="preserve">the results of the multivariate model with ARIMA errors show that </w:t>
      </w:r>
      <w:r w:rsidR="00343EFD">
        <w:t>these</w:t>
      </w:r>
      <w:r w:rsidR="00F00937">
        <w:t xml:space="preserve"> changes </w:t>
      </w:r>
      <w:r w:rsidR="00343EFD">
        <w:t>may not be</w:t>
      </w:r>
      <w:r w:rsidR="00F00937">
        <w:t xml:space="preserve"> statistically significant </w:t>
      </w:r>
      <w:r w:rsidR="001D3935">
        <w:t>(Appendix)</w:t>
      </w:r>
      <w:r w:rsidR="00F00937">
        <w:t xml:space="preserve">. Second, the changes in bicycle theft during the pandemic appear to follow pre-COVID seasonal patterns, with </w:t>
      </w:r>
      <w:r w:rsidR="001D3935">
        <w:t xml:space="preserve">large </w:t>
      </w:r>
      <w:r w:rsidR="00F00937">
        <w:t xml:space="preserve">increases in crime during summer and </w:t>
      </w:r>
      <w:r w:rsidR="001D3935">
        <w:t>fewer</w:t>
      </w:r>
      <w:r w:rsidR="00F00937">
        <w:t xml:space="preserve"> crime</w:t>
      </w:r>
      <w:r w:rsidR="001D3935">
        <w:t>s</w:t>
      </w:r>
      <w:r w:rsidR="00F00937">
        <w:t xml:space="preserve"> </w:t>
      </w:r>
      <w:r w:rsidR="00343EFD">
        <w:t>recorded in</w:t>
      </w:r>
      <w:r w:rsidR="00F00937">
        <w:t xml:space="preserve"> winter</w:t>
      </w:r>
      <w:r w:rsidR="0067461D">
        <w:t xml:space="preserve">. </w:t>
      </w:r>
      <w:r w:rsidR="00343EFD">
        <w:t>H</w:t>
      </w:r>
      <w:r w:rsidR="0067461D">
        <w:t xml:space="preserve">owever, the decrease in bicycle theft seen immediately after the third lockdown provoked the lowest level in crime registered since April 2015, and as such this decrease is statistically significant both in the segmented linear model (Table 4) and the multivariate ARIMA error model (Appendix). Third, </w:t>
      </w:r>
      <w:r w:rsidR="00DE22F1">
        <w:t xml:space="preserve">the trend of </w:t>
      </w:r>
      <w:r w:rsidR="0067461D">
        <w:t xml:space="preserve">theft of/from vehicle during the pandemic follows the </w:t>
      </w:r>
      <w:r w:rsidR="00DE22F1">
        <w:t>steady</w:t>
      </w:r>
      <w:r w:rsidR="0067461D">
        <w:t xml:space="preserve"> decreasing trend seen before COVID-19, and </w:t>
      </w:r>
      <w:r w:rsidR="00DE22F1">
        <w:t xml:space="preserve">none of the changes observed since March 2020 </w:t>
      </w:r>
      <w:r w:rsidR="001D3935">
        <w:t>are</w:t>
      </w:r>
      <w:r w:rsidR="00DE22F1">
        <w:t xml:space="preserve"> statistically significant (the ARIMA </w:t>
      </w:r>
      <w:r w:rsidR="001D3935">
        <w:t xml:space="preserve">error </w:t>
      </w:r>
      <w:r w:rsidR="00DE22F1">
        <w:t xml:space="preserve">model indicates that the decrease in </w:t>
      </w:r>
      <w:r w:rsidR="001D3935">
        <w:t>crime</w:t>
      </w:r>
      <w:r w:rsidR="00DE22F1">
        <w:t xml:space="preserve"> after the third lockdown may be statistically significant). And fourth, we observe that shoplifting </w:t>
      </w:r>
      <w:r w:rsidR="00465C51">
        <w:t xml:space="preserve">experienced an </w:t>
      </w:r>
      <w:r w:rsidR="005B2DA5">
        <w:t>extensive</w:t>
      </w:r>
      <w:r w:rsidR="00465C51">
        <w:t xml:space="preserve"> decrease</w:t>
      </w:r>
      <w:r w:rsidR="00DE22F1">
        <w:t xml:space="preserve"> after the first and third lockdowns, and it started to bounce back to pre-COVID levels after these </w:t>
      </w:r>
      <w:r w:rsidR="00465C51">
        <w:t>stay-at-home orders</w:t>
      </w:r>
      <w:r w:rsidR="005B2DA5">
        <w:t xml:space="preserve">. </w:t>
      </w:r>
      <w:r w:rsidR="00465C51">
        <w:t>Model results also show that, in this case, there was a decrease in crime records instead of an increase d</w:t>
      </w:r>
      <w:r w:rsidR="001D3935">
        <w:t>uring the months following the second lockdown</w:t>
      </w:r>
      <w:r w:rsidR="005B2DA5">
        <w:t>, and this does not appear to be attributed to</w:t>
      </w:r>
      <w:r w:rsidR="00465C51">
        <w:t xml:space="preserve"> pre-COVID</w:t>
      </w:r>
      <w:r w:rsidR="005B2DA5">
        <w:t xml:space="preserve"> seasonal trends. All these changes are statistically significant both in the ITS and multivariate ARIMA error </w:t>
      </w:r>
      <w:commentRangeStart w:id="5"/>
      <w:r w:rsidR="005B2DA5">
        <w:t>models</w:t>
      </w:r>
      <w:commentRangeEnd w:id="5"/>
      <w:r w:rsidR="001E47D5">
        <w:rPr>
          <w:rStyle w:val="CommentReference"/>
        </w:rPr>
        <w:commentReference w:id="5"/>
      </w:r>
      <w:r w:rsidR="005B2DA5">
        <w:t>.</w:t>
      </w:r>
    </w:p>
    <w:p w14:paraId="6AFDC592" w14:textId="77777777" w:rsidR="00343EFD" w:rsidRDefault="00343EFD" w:rsidP="00465C51">
      <w:pPr>
        <w:jc w:val="both"/>
      </w:pPr>
    </w:p>
    <w:p w14:paraId="036001BC" w14:textId="425662AC" w:rsidR="00CB328F" w:rsidRDefault="00CB328F" w:rsidP="00F46100">
      <w:r>
        <w:rPr>
          <w:noProof/>
        </w:rPr>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24916D99" w:rsidR="002F23A7" w:rsidRDefault="002F23A7" w:rsidP="002F23A7"/>
    <w:p w14:paraId="7A264E49" w14:textId="2A964034" w:rsidR="00343EFD" w:rsidRDefault="00343EFD" w:rsidP="002F23A7"/>
    <w:p w14:paraId="6129E421" w14:textId="54CE4B86" w:rsidR="00343EFD" w:rsidRDefault="00343EFD" w:rsidP="002F23A7"/>
    <w:p w14:paraId="0934480C" w14:textId="35BCAB35" w:rsidR="001E47D5" w:rsidRDefault="001E47D5" w:rsidP="002F23A7"/>
    <w:p w14:paraId="2200E899" w14:textId="17E7EEFB" w:rsidR="001E47D5" w:rsidRDefault="001E47D5" w:rsidP="002F23A7"/>
    <w:p w14:paraId="37C7CBE8" w14:textId="77777777" w:rsidR="001E47D5" w:rsidRDefault="001E47D5" w:rsidP="002F23A7"/>
    <w:p w14:paraId="69E8E392" w14:textId="77777777" w:rsidR="00343EFD" w:rsidRDefault="00343EFD"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F00937" w:rsidRDefault="00B15CC3" w:rsidP="00B15CC3">
            <w:pPr>
              <w:tabs>
                <w:tab w:val="decimal" w:pos="648"/>
              </w:tabs>
            </w:pPr>
            <w:r w:rsidRPr="00F00937">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F00937" w:rsidRDefault="00B15CC3" w:rsidP="00B15CC3">
            <w:pPr>
              <w:tabs>
                <w:tab w:val="decimal" w:pos="648"/>
              </w:tabs>
            </w:pPr>
            <w:r w:rsidRPr="00F00937">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F00937" w:rsidRDefault="00B15CC3" w:rsidP="00B15CC3">
            <w:pPr>
              <w:tabs>
                <w:tab w:val="decimal" w:pos="648"/>
              </w:tabs>
            </w:pPr>
            <w:r w:rsidRPr="00F00937">
              <w:t>0.0</w:t>
            </w:r>
          </w:p>
        </w:tc>
        <w:tc>
          <w:tcPr>
            <w:tcW w:w="1803" w:type="dxa"/>
            <w:vAlign w:val="center"/>
          </w:tcPr>
          <w:p w14:paraId="02D6689D" w14:textId="66053EA6" w:rsidR="00B15CC3" w:rsidRPr="0067461D" w:rsidRDefault="00B15CC3" w:rsidP="00B15CC3">
            <w:pPr>
              <w:tabs>
                <w:tab w:val="decimal" w:pos="660"/>
              </w:tabs>
            </w:pPr>
            <w:r w:rsidRPr="0067461D">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F00937" w:rsidRDefault="00B15CC3" w:rsidP="00B15CC3">
            <w:pPr>
              <w:tabs>
                <w:tab w:val="decimal" w:pos="648"/>
              </w:tabs>
            </w:pPr>
            <w:r w:rsidRPr="00F00937">
              <w:t>-33.9*</w:t>
            </w:r>
          </w:p>
        </w:tc>
        <w:tc>
          <w:tcPr>
            <w:tcW w:w="1803" w:type="dxa"/>
            <w:vAlign w:val="center"/>
          </w:tcPr>
          <w:p w14:paraId="58F22AB5" w14:textId="44F16921" w:rsidR="00B15CC3" w:rsidRPr="0067461D" w:rsidRDefault="00B15CC3" w:rsidP="00B15CC3">
            <w:pPr>
              <w:tabs>
                <w:tab w:val="decimal" w:pos="660"/>
              </w:tabs>
            </w:pPr>
            <w:r w:rsidRPr="0067461D">
              <w:t>33.5</w:t>
            </w:r>
          </w:p>
        </w:tc>
        <w:tc>
          <w:tcPr>
            <w:tcW w:w="1803" w:type="dxa"/>
            <w:vAlign w:val="center"/>
          </w:tcPr>
          <w:p w14:paraId="5D5D4435" w14:textId="49A771BD" w:rsidR="00B15CC3" w:rsidRPr="00DE22F1" w:rsidRDefault="00B15CC3" w:rsidP="00B15CC3">
            <w:pPr>
              <w:tabs>
                <w:tab w:val="decimal" w:pos="780"/>
              </w:tabs>
            </w:pPr>
            <w:r w:rsidRPr="00DE22F1">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F00937" w:rsidRDefault="00B15CC3" w:rsidP="00B15CC3">
            <w:pPr>
              <w:tabs>
                <w:tab w:val="decimal" w:pos="648"/>
              </w:tabs>
            </w:pPr>
            <w:r w:rsidRPr="00F00937">
              <w:t>7.5</w:t>
            </w:r>
          </w:p>
        </w:tc>
        <w:tc>
          <w:tcPr>
            <w:tcW w:w="1803" w:type="dxa"/>
            <w:vAlign w:val="center"/>
          </w:tcPr>
          <w:p w14:paraId="63B2AED5" w14:textId="7BA2C856" w:rsidR="00B15CC3" w:rsidRPr="0067461D" w:rsidRDefault="00B15CC3" w:rsidP="00B15CC3">
            <w:pPr>
              <w:tabs>
                <w:tab w:val="decimal" w:pos="660"/>
              </w:tabs>
            </w:pPr>
            <w:r w:rsidRPr="0067461D">
              <w:t>-26.1</w:t>
            </w:r>
          </w:p>
        </w:tc>
        <w:tc>
          <w:tcPr>
            <w:tcW w:w="1803" w:type="dxa"/>
            <w:vAlign w:val="center"/>
          </w:tcPr>
          <w:p w14:paraId="58EA15BE" w14:textId="42B73148" w:rsidR="00B15CC3" w:rsidRPr="00DE22F1" w:rsidRDefault="00B15CC3" w:rsidP="00B15CC3">
            <w:pPr>
              <w:tabs>
                <w:tab w:val="decimal" w:pos="780"/>
              </w:tabs>
            </w:pPr>
            <w:r w:rsidRPr="00DE22F1">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F00937" w:rsidRDefault="00B15CC3" w:rsidP="00B15CC3">
            <w:pPr>
              <w:tabs>
                <w:tab w:val="decimal" w:pos="648"/>
              </w:tabs>
            </w:pPr>
            <w:r w:rsidRPr="00F00937">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DE22F1" w:rsidRDefault="00B15CC3" w:rsidP="00B15CC3">
            <w:pPr>
              <w:tabs>
                <w:tab w:val="decimal" w:pos="780"/>
              </w:tabs>
            </w:pPr>
            <w:r w:rsidRPr="00DE22F1">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DE22F1" w:rsidRDefault="00B15CC3" w:rsidP="00B15CC3">
            <w:pPr>
              <w:tabs>
                <w:tab w:val="decimal" w:pos="780"/>
              </w:tabs>
            </w:pPr>
            <w:r w:rsidRPr="00DE22F1">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28DFB687" w:rsidR="00DB0B5B" w:rsidRDefault="001E47D5" w:rsidP="0095607B">
      <w:pPr>
        <w:jc w:val="both"/>
      </w:pPr>
      <w:r>
        <w:t>W</w:t>
      </w:r>
      <w:r w:rsidR="0095607B">
        <w:t xml:space="preserve">e also analyse changes in fraud and cybercrime during </w:t>
      </w:r>
      <w:r>
        <w:t>COVID-19</w:t>
      </w:r>
      <w:r w:rsidR="0095607B">
        <w:t xml:space="preserve">. </w:t>
      </w:r>
      <w:r w:rsidR="00C32A97">
        <w:t>At first sight, in Figure 7</w:t>
      </w:r>
      <w:r>
        <w:t>,</w:t>
      </w:r>
      <w:r w:rsidR="00C32A97">
        <w:t xml:space="preserve"> we observe a remarkable increase in crime across all types of fraud, cyber-enabled and not, and cyber-dependent crime since March 2020. In all these cases there </w:t>
      </w:r>
      <w:r>
        <w:t>i</w:t>
      </w:r>
      <w:r w:rsidR="00C32A97">
        <w:t xml:space="preserve">s also a steady increase in crime since 2015, which is observed in the statistically significant effect of time on crime trends </w:t>
      </w:r>
      <w:r>
        <w:t>in</w:t>
      </w:r>
      <w:r w:rsidR="00F837F4">
        <w:t xml:space="preserve"> the ITS model </w:t>
      </w:r>
      <w:r>
        <w:t xml:space="preserve">results </w:t>
      </w:r>
      <w:r w:rsidR="00C32A97">
        <w:t>(Table 5). There are, however, important differences across crime types, and a more nuanced analysis of the model results is needed.</w:t>
      </w:r>
    </w:p>
    <w:p w14:paraId="7B3CA49E" w14:textId="5C4C7AC9" w:rsidR="00CB328F" w:rsidRDefault="00F837F4" w:rsidP="00985088">
      <w:pPr>
        <w:jc w:val="both"/>
      </w:pPr>
      <w:r>
        <w:t xml:space="preserve">In the case of investment and advance fee fraud, which can be cyber-enabled in some cases but not others, </w:t>
      </w:r>
      <w:r w:rsidR="001E47D5">
        <w:t>crime decreased immediately after the first lockdown</w:t>
      </w:r>
      <w:r>
        <w:t>,</w:t>
      </w:r>
      <w:r w:rsidR="001E47D5">
        <w:t xml:space="preserve"> but</w:t>
      </w:r>
      <w:r>
        <w:t xml:space="preserve"> </w:t>
      </w:r>
      <w:r w:rsidR="001E47D5">
        <w:t xml:space="preserve">there was an increase in crime records </w:t>
      </w:r>
      <w:r>
        <w:t xml:space="preserve">immediately after the second and third lockdown orders. While none of these associations is statistically significant </w:t>
      </w:r>
      <w:r w:rsidR="009F336B">
        <w:t>according to</w:t>
      </w:r>
      <w:r>
        <w:t xml:space="preserve"> the results of the segmented linear model (Table 5), the results of the multivariate ARIMA error model (Appendix) show that the immediate </w:t>
      </w:r>
      <w:r w:rsidR="001E47D5">
        <w:t xml:space="preserve">positive </w:t>
      </w:r>
      <w:r>
        <w:t xml:space="preserve">effect of the first and second lockdown may be statistically significant. There was </w:t>
      </w:r>
      <w:r w:rsidR="001E47D5">
        <w:t xml:space="preserve">also </w:t>
      </w:r>
      <w:r>
        <w:t xml:space="preserve">a steady increase in investment and advance fee fraud after the first lockdown. </w:t>
      </w:r>
      <w:r w:rsidR="00F81887">
        <w:t xml:space="preserve">Regarding </w:t>
      </w:r>
      <w:r>
        <w:t>consumer fraud o</w:t>
      </w:r>
      <w:r w:rsidR="00F81887">
        <w:t>ff</w:t>
      </w:r>
      <w:r>
        <w:t>line, the</w:t>
      </w:r>
      <w:r w:rsidR="00F81887">
        <w:t xml:space="preserve"> results of the</w:t>
      </w:r>
      <w:r>
        <w:t xml:space="preserve"> ITS model</w:t>
      </w:r>
      <w:r w:rsidR="00F81887">
        <w:t xml:space="preserve"> </w:t>
      </w:r>
      <w:r>
        <w:t xml:space="preserve">show that the only temporal variable that may </w:t>
      </w:r>
      <w:r w:rsidR="009F336B">
        <w:t>be</w:t>
      </w:r>
      <w:r>
        <w:t xml:space="preserve"> statistically significant </w:t>
      </w:r>
      <w:r w:rsidR="009F336B">
        <w:t>in explaining</w:t>
      </w:r>
      <w:r>
        <w:t xml:space="preserve"> crime </w:t>
      </w:r>
      <w:r w:rsidR="009F336B">
        <w:t xml:space="preserve">trends </w:t>
      </w:r>
      <w:r>
        <w:t>is the time since the first lockdown</w:t>
      </w:r>
      <w:r w:rsidR="009F336B">
        <w:t xml:space="preserve"> (Table 5)</w:t>
      </w:r>
      <w:r>
        <w:t>, with a s</w:t>
      </w:r>
      <w:r w:rsidR="00F81887">
        <w:t xml:space="preserve">light increase in crime </w:t>
      </w:r>
      <w:r w:rsidR="009F336B">
        <w:t>during the months</w:t>
      </w:r>
      <w:r w:rsidR="00F81887">
        <w:t xml:space="preserve"> </w:t>
      </w:r>
      <w:r w:rsidR="009F336B">
        <w:t>following</w:t>
      </w:r>
      <w:r w:rsidR="00F81887">
        <w:t xml:space="preserve"> March 2020. </w:t>
      </w:r>
      <w:r w:rsidR="00AF6EDF">
        <w:t>T</w:t>
      </w:r>
      <w:r w:rsidR="00F81887">
        <w:t>his is</w:t>
      </w:r>
      <w:r w:rsidR="00AF6EDF">
        <w:t>, however,</w:t>
      </w:r>
      <w:r w:rsidR="00F81887">
        <w:t xml:space="preserve"> not reflected in the results of the multivariate ARIMA error model (Appendix), which </w:t>
      </w:r>
      <w:r w:rsidR="00AF6EDF">
        <w:t xml:space="preserve">nonetheless </w:t>
      </w:r>
      <w:r w:rsidR="00F81887">
        <w:t>show</w:t>
      </w:r>
      <w:r w:rsidR="009F336B">
        <w:t>s</w:t>
      </w:r>
      <w:r w:rsidR="00F81887">
        <w:t xml:space="preserve"> that the negative effect of the first lockdown, time since second lockdown and third lockdown on offline consumer fraud may be statistically significant. In the case of consumer fraud online, we see a steep increase in crime records during the COVID-19 pandemic, and while the results of the ITS model (Table 5) show that the only statistically significant temporal variable was the immediate effect of the third lockdown, the multivariate ARIMA error model show that the time since the first lockdown and the second lockdown </w:t>
      </w:r>
      <w:r w:rsidR="009F336B">
        <w:t>were also likely to</w:t>
      </w:r>
      <w:r w:rsidR="00F81887">
        <w:t xml:space="preserve"> have statistically significant positive effects on online consumer fraud. </w:t>
      </w:r>
      <w:r w:rsidR="00AF6EDF">
        <w:lastRenderedPageBreak/>
        <w:t>T</w:t>
      </w:r>
      <w:r w:rsidR="00F81887">
        <w:t xml:space="preserve">he multivariate ARIMA error model </w:t>
      </w:r>
      <w:r w:rsidR="009F336B">
        <w:t xml:space="preserve">results </w:t>
      </w:r>
      <w:r w:rsidR="00AF6EDF">
        <w:t xml:space="preserve">also </w:t>
      </w:r>
      <w:r w:rsidR="00F81887">
        <w:t>show that the first lockdown could have a negative effect on records of online consumer fraud. Regarding other frauds, which may be cyber-enabled</w:t>
      </w:r>
      <w:r w:rsidR="009F336B">
        <w:t xml:space="preserve"> </w:t>
      </w:r>
      <w:r w:rsidR="00F81887">
        <w:t xml:space="preserve">or committed fully offline, we observe that the first lockdown could provoke a decrease in crime which was then followed by an increase in crime records, though this is not observed in the results of the ARIMA error model. The ARIMA error model shows, however, that </w:t>
      </w:r>
      <w:r w:rsidR="00985088">
        <w:t>other frauds increased significantly since the third lockdown. Finally, with regards to cyber-</w:t>
      </w:r>
      <w:r w:rsidR="00AF6EDF">
        <w:t>dependent</w:t>
      </w:r>
      <w:r w:rsidR="00985088">
        <w:t xml:space="preserve"> crime, we also see large peaks in crime records during COVID-1</w:t>
      </w:r>
      <w:r w:rsidR="009F336B">
        <w:t>9</w:t>
      </w:r>
      <w:r w:rsidR="00985088">
        <w:t xml:space="preserve">, but the only temporal variables with statistically significant effects </w:t>
      </w:r>
      <w:r w:rsidR="009F336B">
        <w:t>are</w:t>
      </w:r>
      <w:r w:rsidR="00985088">
        <w:t xml:space="preserve"> the time since the second lockdown</w:t>
      </w:r>
      <w:r w:rsidR="00AF6EDF">
        <w:t>,</w:t>
      </w:r>
      <w:r w:rsidR="00985088">
        <w:t xml:space="preserve"> according to the ITS model (Table 5)</w:t>
      </w:r>
      <w:r w:rsidR="00AF6EDF">
        <w:t>,</w:t>
      </w:r>
      <w:r w:rsidR="00985088">
        <w:t xml:space="preserve"> </w:t>
      </w:r>
      <w:r w:rsidR="00AF6EDF">
        <w:t>or</w:t>
      </w:r>
      <w:r w:rsidR="00985088">
        <w:t xml:space="preserve"> the time since the second lockdown and the first lockdown</w:t>
      </w:r>
      <w:r w:rsidR="00AF6EDF">
        <w:t>,</w:t>
      </w:r>
      <w:r w:rsidR="00985088">
        <w:t xml:space="preserve"> according to the ARIMA error model (Appendix).</w:t>
      </w:r>
    </w:p>
    <w:p w14:paraId="5921987C" w14:textId="1483AE47" w:rsidR="00F15B9A" w:rsidRDefault="00F15B9A" w:rsidP="00DB0B5B">
      <w:r>
        <w:rPr>
          <w:noProof/>
        </w:rPr>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F837F4" w:rsidRDefault="009669C3" w:rsidP="009669C3">
            <w:pPr>
              <w:tabs>
                <w:tab w:val="decimal" w:pos="648"/>
              </w:tabs>
            </w:pPr>
            <w:r w:rsidRPr="00F837F4">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F81887" w:rsidRDefault="009669C3" w:rsidP="009669C3">
            <w:pPr>
              <w:tabs>
                <w:tab w:val="decimal" w:pos="780"/>
              </w:tabs>
            </w:pPr>
            <w:r w:rsidRPr="00F81887">
              <w:t>0.8***</w:t>
            </w:r>
          </w:p>
        </w:tc>
        <w:tc>
          <w:tcPr>
            <w:tcW w:w="1506" w:type="dxa"/>
            <w:vAlign w:val="center"/>
          </w:tcPr>
          <w:p w14:paraId="0A57B653" w14:textId="3E6D2C85" w:rsidR="009669C3" w:rsidRPr="00985088" w:rsidRDefault="009669C3" w:rsidP="009669C3">
            <w:pPr>
              <w:tabs>
                <w:tab w:val="decimal" w:pos="792"/>
              </w:tabs>
            </w:pPr>
            <w:r w:rsidRPr="00985088">
              <w:t>1.</w:t>
            </w:r>
            <w:r w:rsidR="00CB328F" w:rsidRPr="00985088">
              <w:t>5</w:t>
            </w:r>
            <w:r w:rsidRPr="00985088">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F837F4" w:rsidRDefault="009669C3" w:rsidP="009669C3">
            <w:pPr>
              <w:tabs>
                <w:tab w:val="decimal" w:pos="648"/>
              </w:tabs>
            </w:pPr>
            <w:r w:rsidRPr="00F837F4">
              <w:t>-22.8</w:t>
            </w:r>
          </w:p>
        </w:tc>
        <w:tc>
          <w:tcPr>
            <w:tcW w:w="1376" w:type="dxa"/>
            <w:vAlign w:val="center"/>
          </w:tcPr>
          <w:p w14:paraId="5FD0736E" w14:textId="17FEBA2B" w:rsidR="009669C3" w:rsidRPr="00F81887" w:rsidRDefault="009669C3" w:rsidP="009669C3">
            <w:pPr>
              <w:tabs>
                <w:tab w:val="decimal" w:pos="660"/>
              </w:tabs>
            </w:pPr>
            <w:r w:rsidRPr="00F81887">
              <w:t>-3.5</w:t>
            </w:r>
          </w:p>
        </w:tc>
        <w:tc>
          <w:tcPr>
            <w:tcW w:w="1492" w:type="dxa"/>
            <w:vAlign w:val="center"/>
          </w:tcPr>
          <w:p w14:paraId="5AE92C16" w14:textId="36D9B050" w:rsidR="009669C3" w:rsidRPr="00F81887" w:rsidRDefault="009669C3" w:rsidP="009669C3">
            <w:pPr>
              <w:tabs>
                <w:tab w:val="decimal" w:pos="780"/>
              </w:tabs>
            </w:pPr>
            <w:r w:rsidRPr="00F81887">
              <w:t>3.0</w:t>
            </w:r>
          </w:p>
        </w:tc>
        <w:tc>
          <w:tcPr>
            <w:tcW w:w="1506" w:type="dxa"/>
            <w:vAlign w:val="center"/>
          </w:tcPr>
          <w:p w14:paraId="3E4D1BC3" w14:textId="27290001" w:rsidR="009669C3" w:rsidRPr="00985088" w:rsidRDefault="009669C3" w:rsidP="009669C3">
            <w:pPr>
              <w:tabs>
                <w:tab w:val="decimal" w:pos="792"/>
              </w:tabs>
            </w:pPr>
            <w:r w:rsidRPr="00985088">
              <w:t>-</w:t>
            </w:r>
            <w:r w:rsidR="00CB328F" w:rsidRPr="00985088">
              <w:t>46</w:t>
            </w:r>
            <w:r w:rsidRPr="00985088">
              <w:t>.</w:t>
            </w:r>
            <w:r w:rsidR="00CB328F" w:rsidRPr="00985088">
              <w:t>5*</w:t>
            </w:r>
          </w:p>
        </w:tc>
        <w:tc>
          <w:tcPr>
            <w:tcW w:w="1372" w:type="dxa"/>
            <w:vAlign w:val="center"/>
          </w:tcPr>
          <w:p w14:paraId="30DCC7C5" w14:textId="29CD5978" w:rsidR="009669C3" w:rsidRPr="00985088" w:rsidRDefault="009669C3" w:rsidP="009669C3">
            <w:pPr>
              <w:tabs>
                <w:tab w:val="left" w:pos="520"/>
                <w:tab w:val="left" w:pos="986"/>
              </w:tabs>
              <w:jc w:val="center"/>
            </w:pPr>
            <w:r w:rsidRPr="00985088">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F837F4" w:rsidRDefault="009669C3" w:rsidP="009669C3">
            <w:pPr>
              <w:tabs>
                <w:tab w:val="decimal" w:pos="648"/>
              </w:tabs>
            </w:pPr>
            <w:r w:rsidRPr="00F837F4">
              <w:t>6.7*</w:t>
            </w:r>
          </w:p>
        </w:tc>
        <w:tc>
          <w:tcPr>
            <w:tcW w:w="1376" w:type="dxa"/>
            <w:vAlign w:val="center"/>
          </w:tcPr>
          <w:p w14:paraId="0A257BB5" w14:textId="0D83199A" w:rsidR="009669C3" w:rsidRPr="00F81887" w:rsidRDefault="009669C3" w:rsidP="009669C3">
            <w:pPr>
              <w:tabs>
                <w:tab w:val="decimal" w:pos="660"/>
              </w:tabs>
            </w:pPr>
            <w:r w:rsidRPr="00F81887">
              <w:t>1.9</w:t>
            </w:r>
            <w:r w:rsidRPr="00F81887">
              <w:rPr>
                <w:vertAlign w:val="superscript"/>
              </w:rPr>
              <w:t>+</w:t>
            </w:r>
          </w:p>
        </w:tc>
        <w:tc>
          <w:tcPr>
            <w:tcW w:w="1492" w:type="dxa"/>
            <w:vAlign w:val="center"/>
          </w:tcPr>
          <w:p w14:paraId="5B0787C6" w14:textId="082F47EF" w:rsidR="009669C3" w:rsidRPr="00F81887" w:rsidRDefault="009669C3" w:rsidP="009669C3">
            <w:pPr>
              <w:tabs>
                <w:tab w:val="decimal" w:pos="780"/>
              </w:tabs>
            </w:pPr>
            <w:r w:rsidRPr="00F81887">
              <w:t>5.6</w:t>
            </w:r>
          </w:p>
        </w:tc>
        <w:tc>
          <w:tcPr>
            <w:tcW w:w="1506" w:type="dxa"/>
            <w:vAlign w:val="center"/>
          </w:tcPr>
          <w:p w14:paraId="4AF09989" w14:textId="35BF8276" w:rsidR="009669C3" w:rsidRPr="00985088" w:rsidRDefault="009669C3" w:rsidP="009669C3">
            <w:pPr>
              <w:tabs>
                <w:tab w:val="decimal" w:pos="792"/>
              </w:tabs>
            </w:pPr>
            <w:r w:rsidRPr="00985088">
              <w:t>11.</w:t>
            </w:r>
            <w:r w:rsidR="00F15B9A" w:rsidRPr="00985088">
              <w:t>8</w:t>
            </w:r>
            <w:r w:rsidRPr="00985088">
              <w:t>*</w:t>
            </w:r>
          </w:p>
        </w:tc>
        <w:tc>
          <w:tcPr>
            <w:tcW w:w="1372" w:type="dxa"/>
            <w:vAlign w:val="center"/>
          </w:tcPr>
          <w:p w14:paraId="150435D1" w14:textId="45EE2BC8" w:rsidR="009669C3" w:rsidRPr="00985088" w:rsidRDefault="009669C3" w:rsidP="009669C3">
            <w:pPr>
              <w:tabs>
                <w:tab w:val="left" w:pos="520"/>
                <w:tab w:val="left" w:pos="986"/>
              </w:tabs>
              <w:jc w:val="center"/>
            </w:pPr>
            <w:r w:rsidRPr="00985088">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F837F4" w:rsidRDefault="009669C3" w:rsidP="009669C3">
            <w:pPr>
              <w:tabs>
                <w:tab w:val="decimal" w:pos="648"/>
              </w:tabs>
            </w:pPr>
            <w:r w:rsidRPr="00F837F4">
              <w:t>21.8</w:t>
            </w:r>
          </w:p>
        </w:tc>
        <w:tc>
          <w:tcPr>
            <w:tcW w:w="1376" w:type="dxa"/>
            <w:vAlign w:val="center"/>
          </w:tcPr>
          <w:p w14:paraId="139C30B5" w14:textId="57EB75AB" w:rsidR="009669C3" w:rsidRPr="00F81887" w:rsidRDefault="009669C3" w:rsidP="009669C3">
            <w:pPr>
              <w:tabs>
                <w:tab w:val="decimal" w:pos="660"/>
              </w:tabs>
            </w:pPr>
            <w:r w:rsidRPr="00F81887">
              <w:t>9.1</w:t>
            </w:r>
          </w:p>
        </w:tc>
        <w:tc>
          <w:tcPr>
            <w:tcW w:w="1492" w:type="dxa"/>
            <w:vAlign w:val="center"/>
          </w:tcPr>
          <w:p w14:paraId="6A053B6F" w14:textId="451A6BB7" w:rsidR="009669C3" w:rsidRPr="00F81887" w:rsidRDefault="009669C3" w:rsidP="009669C3">
            <w:pPr>
              <w:tabs>
                <w:tab w:val="decimal" w:pos="780"/>
              </w:tabs>
            </w:pPr>
            <w:r w:rsidRPr="00F81887">
              <w:t>9.8</w:t>
            </w:r>
          </w:p>
        </w:tc>
        <w:tc>
          <w:tcPr>
            <w:tcW w:w="1506" w:type="dxa"/>
            <w:vAlign w:val="center"/>
          </w:tcPr>
          <w:p w14:paraId="65C60D8E" w14:textId="3E907238" w:rsidR="009669C3" w:rsidRPr="00985088" w:rsidRDefault="00F15B9A" w:rsidP="009669C3">
            <w:pPr>
              <w:tabs>
                <w:tab w:val="decimal" w:pos="792"/>
              </w:tabs>
            </w:pPr>
            <w:r w:rsidRPr="00985088">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F81887" w:rsidRDefault="009669C3" w:rsidP="009669C3">
            <w:pPr>
              <w:tabs>
                <w:tab w:val="decimal" w:pos="660"/>
              </w:tabs>
            </w:pPr>
            <w:r w:rsidRPr="00F81887">
              <w:t>-2.2</w:t>
            </w:r>
          </w:p>
        </w:tc>
        <w:tc>
          <w:tcPr>
            <w:tcW w:w="1492" w:type="dxa"/>
            <w:vAlign w:val="center"/>
          </w:tcPr>
          <w:p w14:paraId="3E2F78F2" w14:textId="695E94B9" w:rsidR="009669C3" w:rsidRPr="00F81887" w:rsidRDefault="009669C3" w:rsidP="009669C3">
            <w:pPr>
              <w:tabs>
                <w:tab w:val="decimal" w:pos="780"/>
              </w:tabs>
            </w:pPr>
            <w:r w:rsidRPr="00F81887">
              <w:t>24.2</w:t>
            </w:r>
          </w:p>
        </w:tc>
        <w:tc>
          <w:tcPr>
            <w:tcW w:w="1506" w:type="dxa"/>
            <w:vAlign w:val="center"/>
          </w:tcPr>
          <w:p w14:paraId="3E3FA63E" w14:textId="5E607924" w:rsidR="009669C3" w:rsidRPr="00985088" w:rsidRDefault="009669C3" w:rsidP="009669C3">
            <w:pPr>
              <w:tabs>
                <w:tab w:val="decimal" w:pos="792"/>
              </w:tabs>
            </w:pPr>
            <w:r w:rsidRPr="00985088">
              <w:t>-</w:t>
            </w:r>
            <w:r w:rsidR="00F15B9A" w:rsidRPr="00985088">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F81887" w:rsidRDefault="009669C3" w:rsidP="009669C3">
            <w:pPr>
              <w:tabs>
                <w:tab w:val="decimal" w:pos="660"/>
              </w:tabs>
            </w:pPr>
            <w:r w:rsidRPr="00F81887">
              <w:t>-2.1</w:t>
            </w:r>
          </w:p>
        </w:tc>
        <w:tc>
          <w:tcPr>
            <w:tcW w:w="1492" w:type="dxa"/>
            <w:vAlign w:val="center"/>
          </w:tcPr>
          <w:p w14:paraId="4751BAEC" w14:textId="48A91A0D" w:rsidR="009669C3" w:rsidRPr="00F81887" w:rsidRDefault="009669C3" w:rsidP="009669C3">
            <w:pPr>
              <w:tabs>
                <w:tab w:val="decimal" w:pos="780"/>
              </w:tabs>
            </w:pPr>
            <w:r w:rsidRPr="00F81887">
              <w:t>60.1*</w:t>
            </w:r>
          </w:p>
        </w:tc>
        <w:tc>
          <w:tcPr>
            <w:tcW w:w="1506" w:type="dxa"/>
            <w:vAlign w:val="center"/>
          </w:tcPr>
          <w:p w14:paraId="257CB904" w14:textId="19F955F6" w:rsidR="009669C3" w:rsidRPr="00985088" w:rsidRDefault="00F15B9A" w:rsidP="009669C3">
            <w:pPr>
              <w:tabs>
                <w:tab w:val="decimal" w:pos="792"/>
              </w:tabs>
            </w:pPr>
            <w:r w:rsidRPr="00985088">
              <w:t>26</w:t>
            </w:r>
            <w:r w:rsidR="009669C3" w:rsidRPr="00985088">
              <w:t>.</w:t>
            </w:r>
            <w:r w:rsidRPr="00985088">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lastRenderedPageBreak/>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F81887" w:rsidRDefault="009669C3" w:rsidP="009669C3">
            <w:pPr>
              <w:tabs>
                <w:tab w:val="decimal" w:pos="660"/>
              </w:tabs>
            </w:pPr>
            <w:r w:rsidRPr="00F81887">
              <w:t>2.3</w:t>
            </w:r>
          </w:p>
        </w:tc>
        <w:tc>
          <w:tcPr>
            <w:tcW w:w="1492" w:type="dxa"/>
            <w:tcBorders>
              <w:bottom w:val="single" w:sz="4" w:space="0" w:color="auto"/>
            </w:tcBorders>
            <w:vAlign w:val="center"/>
          </w:tcPr>
          <w:p w14:paraId="0A8FA3A5" w14:textId="4DA632CF" w:rsidR="009669C3" w:rsidRPr="00F81887" w:rsidRDefault="009669C3" w:rsidP="009669C3">
            <w:pPr>
              <w:tabs>
                <w:tab w:val="decimal" w:pos="780"/>
              </w:tabs>
            </w:pPr>
            <w:r w:rsidRPr="00F81887">
              <w:t>-3.6</w:t>
            </w:r>
          </w:p>
        </w:tc>
        <w:tc>
          <w:tcPr>
            <w:tcW w:w="1506" w:type="dxa"/>
            <w:tcBorders>
              <w:bottom w:val="single" w:sz="4" w:space="0" w:color="auto"/>
            </w:tcBorders>
            <w:vAlign w:val="center"/>
          </w:tcPr>
          <w:p w14:paraId="4385AF82" w14:textId="4E7D17D7" w:rsidR="009669C3" w:rsidRPr="00985088" w:rsidRDefault="00F15B9A" w:rsidP="009669C3">
            <w:pPr>
              <w:tabs>
                <w:tab w:val="decimal" w:pos="792"/>
              </w:tabs>
            </w:pPr>
            <w:r w:rsidRPr="00985088">
              <w:t>7</w:t>
            </w:r>
            <w:r w:rsidR="009669C3" w:rsidRPr="00985088">
              <w:t>.</w:t>
            </w:r>
            <w:r w:rsidRPr="00985088">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27E0EB5E" w14:textId="29343494" w:rsidR="00DB0B5B" w:rsidRDefault="00DB0B5B" w:rsidP="00985088">
      <w:pPr>
        <w:spacing w:after="0" w:line="240" w:lineRule="auto"/>
      </w:pPr>
      <w:r>
        <w:t xml:space="preserve">***p-value&lt;0.001, **p-value&lt;0.01, *p-value&lt;0.05, </w:t>
      </w:r>
      <w:r w:rsidRPr="00BA0654">
        <w:rPr>
          <w:vertAlign w:val="superscript"/>
        </w:rPr>
        <w:t>+</w:t>
      </w:r>
      <w:r>
        <w:t>p-value&lt;0.1</w:t>
      </w:r>
    </w:p>
    <w:p w14:paraId="1F44F368" w14:textId="749DBADC" w:rsidR="002F23A7" w:rsidRDefault="00FB41AC" w:rsidP="002F23A7">
      <w:pPr>
        <w:pStyle w:val="Heading1"/>
      </w:pPr>
      <w:r>
        <w:t>6</w:t>
      </w:r>
      <w:r w:rsidR="00E20D9F">
        <w:t xml:space="preserve">. </w:t>
      </w:r>
      <w:r w:rsidR="002F23A7">
        <w:t>Discussion and conclusions</w:t>
      </w:r>
    </w:p>
    <w:p w14:paraId="56FA97E1" w14:textId="496CBF06" w:rsidR="00F3667F" w:rsidRDefault="002A6C34" w:rsidP="00F3667F">
      <w:pPr>
        <w:jc w:val="both"/>
      </w:pPr>
      <w:r>
        <w:t>The COVID-19 pandemic and the associated lockdown orders were associated with rapid, unprecedented changes in everyday routine activities, which had direct effects on opportunities for crime (</w:t>
      </w:r>
      <w:r w:rsidRPr="002A6C34">
        <w:t>Nivette et al., 2021</w:t>
      </w:r>
      <w:r>
        <w:t>). Immediately after the first stay-at-home order</w:t>
      </w:r>
      <w:r w:rsidR="00873B4B">
        <w:t>s</w:t>
      </w:r>
      <w:r>
        <w:t xml:space="preserve"> </w:t>
      </w:r>
      <w:r w:rsidR="00873B4B">
        <w:t>came into force</w:t>
      </w:r>
      <w:r>
        <w:t xml:space="preserve"> in many countries in March 2020, many researchers noted that various forms of property and violent crime suffered an important decrease </w:t>
      </w:r>
      <w:r w:rsidR="00873B4B">
        <w:t xml:space="preserve">due to the reduced opportunities for offenders to converge with targets in physical settings </w:t>
      </w:r>
      <w:r>
        <w:t>(Abrams, 2021; Ashby, 2020; Halford et al., 2020)</w:t>
      </w:r>
      <w:r w:rsidR="00873B4B">
        <w:t>. C</w:t>
      </w:r>
      <w:r w:rsidR="003F4E0F">
        <w:t>rime trends</w:t>
      </w:r>
      <w:r w:rsidR="00873B4B">
        <w:t>, however,</w:t>
      </w:r>
      <w:r w:rsidR="003F4E0F">
        <w:t xml:space="preserve"> varied across geographic areas (</w:t>
      </w:r>
      <w:r w:rsidR="003F4E0F" w:rsidRPr="003F4E0F">
        <w:t>Campedelli et al., 2020b; Payne et al., 2021</w:t>
      </w:r>
      <w:r w:rsidR="003F4E0F">
        <w:t xml:space="preserve">) and crime targets (Felson et al., 2020). Simultaneously, others highlighted that some </w:t>
      </w:r>
      <w:r w:rsidR="00E90401">
        <w:t xml:space="preserve">forms of </w:t>
      </w:r>
      <w:r w:rsidR="003F4E0F">
        <w:t xml:space="preserve">cyber-enabled and cyber-dependent crime were increasing due the growth in internet use for work and leisure (Kemp et al., 2021; Lallie et al., 2021; </w:t>
      </w:r>
      <w:r w:rsidR="003F4E0F" w:rsidRPr="00A57E48">
        <w:t xml:space="preserve">Stechemesser </w:t>
      </w:r>
      <w:r w:rsidR="003F4E0F">
        <w:t xml:space="preserve">et al., 2020). After the </w:t>
      </w:r>
      <w:r w:rsidR="00873B4B">
        <w:t>first months of pandemic, some of the social distancing restrictions were relaxed and rates of offline crime began to bounce back to pre-COVID trends (</w:t>
      </w:r>
      <w:r w:rsidR="00873B4B" w:rsidRPr="00873B4B">
        <w:t>Balmori de la Miyar et al., 2021; Langton et al., 2021a</w:t>
      </w:r>
      <w:r w:rsidR="00873B4B">
        <w:t>), but there is a gap in research about the long-term effects of COVID-19 lockdown</w:t>
      </w:r>
      <w:r w:rsidR="00E90401">
        <w:t>s</w:t>
      </w:r>
      <w:r w:rsidR="00873B4B">
        <w:t xml:space="preserve"> on offline crime. This research analysed crime data recorded in Northern Ireland </w:t>
      </w:r>
      <w:r w:rsidR="00873B4B" w:rsidRPr="00FB41AC">
        <w:t>between April 2015 and May 2021</w:t>
      </w:r>
      <w:r w:rsidR="00873B4B">
        <w:t xml:space="preserve"> to analyse </w:t>
      </w:r>
      <w:r w:rsidR="00F3667F">
        <w:t xml:space="preserve">the </w:t>
      </w:r>
      <w:r w:rsidR="00873B4B">
        <w:t>short-, medium- and long-term effects of each lockdown on various forms of offline and online crime.</w:t>
      </w:r>
      <w:r w:rsidR="00F3667F">
        <w:t xml:space="preserve"> </w:t>
      </w:r>
      <w:r w:rsidR="00382C6C">
        <w:t>We applied ITS segmented linear model to analyse our data, and used multivariate ARIMA error models as a sensitivity check on our analysis.</w:t>
      </w:r>
    </w:p>
    <w:p w14:paraId="1D6A2710" w14:textId="51DA82CF" w:rsidR="00382C6C" w:rsidRDefault="00D6219A" w:rsidP="00382C6C">
      <w:pPr>
        <w:jc w:val="both"/>
      </w:pPr>
      <w:r>
        <w:t xml:space="preserve">We identify, first, that not all crime types were affected in the same way by the lockdown restrictions imposed by the Northern Ireland government to control the spread of the virus. </w:t>
      </w:r>
      <w:r w:rsidR="00A16A0A">
        <w:t>Firstly, v</w:t>
      </w:r>
      <w:r>
        <w:t xml:space="preserve">iolence, drug crimes and theft from person experienced immediate drops when each of the three lockdowns came into force, and crime then returned to pre-COVID levels after each lockdown. These offences take place primarily in physical places that suffered decreases in mobility after each lockdown, and thus the opportunities for offenders to converge with suitable targets decreased with lockdown restrictions and </w:t>
      </w:r>
      <w:r w:rsidR="00E3652D">
        <w:t xml:space="preserve">it </w:t>
      </w:r>
      <w:r>
        <w:t>then returned to normal trends</w:t>
      </w:r>
      <w:r w:rsidR="00E3652D">
        <w:t xml:space="preserve"> when social distancing measures were relaxed (</w:t>
      </w:r>
      <w:r w:rsidR="00E3652D">
        <w:t>Cohen and Felson</w:t>
      </w:r>
      <w:r w:rsidR="00E3652D">
        <w:t xml:space="preserve">, </w:t>
      </w:r>
      <w:r w:rsidR="00E3652D">
        <w:t>1979</w:t>
      </w:r>
      <w:r w:rsidR="00E3652D">
        <w:t xml:space="preserve">). Interestingly, while most forms of violent crime appeared to return to the same crime levels seen before </w:t>
      </w:r>
      <w:r w:rsidR="00A16A0A">
        <w:t>the pandemic</w:t>
      </w:r>
      <w:r w:rsidR="00E3652D">
        <w:t xml:space="preserve">, drug trafficking not only bounced back to pre-COVID levels, but post-pandemic records were well above trends seen before the pandemic. </w:t>
      </w:r>
      <w:r w:rsidR="003D289A" w:rsidRPr="00F87A8B">
        <w:t>Similar results were found in a study that analysed drug seizures over time in the United States (Palamar et al., 2021),</w:t>
      </w:r>
      <w:r w:rsidR="003D289A">
        <w:t xml:space="preserve"> and Langton et al. (2021a) observed a peak in drug crime in England and Wales in May 2020, though such an increase in drug crime was not </w:t>
      </w:r>
      <w:r w:rsidR="00A16A0A">
        <w:t>observed</w:t>
      </w:r>
      <w:r w:rsidR="003D289A">
        <w:t xml:space="preserve"> in</w:t>
      </w:r>
      <w:r w:rsidR="00A16A0A">
        <w:t xml:space="preserve"> other countries (</w:t>
      </w:r>
      <w:r w:rsidR="003D289A" w:rsidRPr="00873B4B">
        <w:t>Balmori de la Miyar et al., 2021</w:t>
      </w:r>
      <w:r w:rsidR="003D289A">
        <w:t xml:space="preserve">). It is still unclear whether drug trafficking records increased as a result of the </w:t>
      </w:r>
      <w:r w:rsidR="00A16A0A">
        <w:t>growth</w:t>
      </w:r>
      <w:r w:rsidR="002D1486">
        <w:t xml:space="preserve"> in police activity, as drug trafficking could become more visible with the decrease in people walking the streets, or whether it reflects actual changes in criminal behaviour. </w:t>
      </w:r>
      <w:r w:rsidR="00E3652D">
        <w:t xml:space="preserve">Contrarily, while theft from person records decreased with each lockdown and then increased slightly, </w:t>
      </w:r>
      <w:r w:rsidR="002D1486">
        <w:t>crime levels</w:t>
      </w:r>
      <w:r w:rsidR="00E3652D">
        <w:t xml:space="preserve"> were still below pre-COVID levels in May 2021.</w:t>
      </w:r>
      <w:r w:rsidR="002D1486">
        <w:t xml:space="preserve"> Is it possible that while people who become involved in crime returned to the streets quickly after lockdown restrictions were lifted</w:t>
      </w:r>
      <w:r w:rsidR="00A16A0A">
        <w:t xml:space="preserve">, persons who are not involved in crime did not leave the home as often as before COVID-19? That would explain why violence crime, in which two persons may mutually become involved in the incident, quickly returned to pre-COVID levels, while theft from person, in which a crime target is needed, did not return to crime levels seen before the pandemic. That would also explain why </w:t>
      </w:r>
      <w:r w:rsidR="00A16A0A">
        <w:lastRenderedPageBreak/>
        <w:t xml:space="preserve">residential burglary remained well below pre-COVID levels even in May 2021, due to the overall increase in </w:t>
      </w:r>
      <w:r w:rsidR="00D51022">
        <w:t>the time spent by residents (</w:t>
      </w:r>
      <w:r w:rsidR="00A16A0A">
        <w:t>capable guardians</w:t>
      </w:r>
      <w:r w:rsidR="00D51022">
        <w:t>)</w:t>
      </w:r>
      <w:r w:rsidR="00A16A0A">
        <w:t xml:space="preserve"> at home. Further research is needed.</w:t>
      </w:r>
    </w:p>
    <w:p w14:paraId="030FD086" w14:textId="1B11BF98" w:rsidR="00A16A0A" w:rsidRDefault="00A16A0A" w:rsidP="00382C6C">
      <w:pPr>
        <w:jc w:val="both"/>
      </w:pPr>
      <w:r>
        <w:t xml:space="preserve">Secondly, </w:t>
      </w:r>
      <w:r w:rsidR="00D51022">
        <w:t xml:space="preserve">some of the crime types with the most obvious seasonal patterns, including public order and possession of weapons, criminal damage, and bicycle theft, all of which tend to show much larger crime records during summer than during winter, show </w:t>
      </w:r>
      <w:r w:rsidR="00F87A8B">
        <w:t>a very similar seasonal variation during the pandemic</w:t>
      </w:r>
      <w:r w:rsidR="00D51022">
        <w:t>. Crime decreased with the first lockdown (March 2020) and increased during summer, after the second lockdown (October 2020)</w:t>
      </w:r>
      <w:r w:rsidR="00F87A8B">
        <w:t xml:space="preserve"> </w:t>
      </w:r>
      <w:r w:rsidR="00D51022">
        <w:t xml:space="preserve">it started to decrease </w:t>
      </w:r>
      <w:r w:rsidR="00F87A8B">
        <w:t xml:space="preserve">during autumn </w:t>
      </w:r>
      <w:r w:rsidR="00D51022">
        <w:t xml:space="preserve">and reached minimum levels with the stay-at-home order of the third lockdown in winter (January 2021), and after winter crime records began to increase again. </w:t>
      </w:r>
      <w:r w:rsidR="00CF4017">
        <w:t>Given the close correspondence between the traditional seasonal patterns in crime and the lockdown periods</w:t>
      </w:r>
      <w:r w:rsidR="001E04A6">
        <w:t>,</w:t>
      </w:r>
      <w:r w:rsidR="00CF4017">
        <w:t xml:space="preserve"> it becomes difficult to fully comprehend the extent to which changes in crime are due to a continuation of pre-COVID crime seasonality or lockdown restrictions. Our model results provide some support to the hypothesis that social distancing orders significantly affected crime trends in these cases, and thus we can expect that changes in crime are due to the combined effect of lockdown restrictions and seasonal variation. This is particularly evident in the case of bicycle theft, with a large, unusual decrease in crime when the stay-at-home orders of the third lockdown came into place. The trend of shoplifting is unique and remarkably different from all other offline crime types, with crime records suffering a very large drop </w:t>
      </w:r>
      <w:r w:rsidR="001E04A6">
        <w:t>immediately after both</w:t>
      </w:r>
      <w:r w:rsidR="00CF4017">
        <w:t xml:space="preserve"> stay-at-home orders and progressively returning to pre-COVID levels </w:t>
      </w:r>
      <w:r w:rsidR="001E04A6">
        <w:t>during the following months</w:t>
      </w:r>
      <w:r w:rsidR="00CF4017">
        <w:t xml:space="preserve">, but with lower levels </w:t>
      </w:r>
      <w:r w:rsidR="001E04A6">
        <w:t xml:space="preserve">recorded </w:t>
      </w:r>
      <w:r w:rsidR="00CF4017">
        <w:t xml:space="preserve">by the end of the second lockdown than when the second lockdown </w:t>
      </w:r>
      <w:r w:rsidR="001E04A6">
        <w:t>came into place</w:t>
      </w:r>
      <w:r w:rsidR="00CF4017">
        <w:t xml:space="preserve">. This is likely to be the result of the hardening of the government restrictions </w:t>
      </w:r>
      <w:r w:rsidR="00A25F02">
        <w:t>by the end of</w:t>
      </w:r>
      <w:r w:rsidR="00CF4017">
        <w:t xml:space="preserve"> November 2020, when </w:t>
      </w:r>
      <w:r w:rsidR="00A25F02">
        <w:t xml:space="preserve">cafes, hospitality, non-essential shops and gyms were closed. </w:t>
      </w:r>
      <w:r w:rsidR="001E04A6">
        <w:t>S</w:t>
      </w:r>
      <w:r w:rsidR="00A25F02">
        <w:t>hoplifting decrease</w:t>
      </w:r>
      <w:r w:rsidR="001E04A6">
        <w:t>d</w:t>
      </w:r>
      <w:r w:rsidR="00A25F02">
        <w:t xml:space="preserve"> with the closing of non-essential shops.</w:t>
      </w:r>
    </w:p>
    <w:p w14:paraId="6EC8C68B" w14:textId="6EE9E167" w:rsidR="00A25F02" w:rsidRDefault="00A25F02" w:rsidP="00382C6C">
      <w:pPr>
        <w:jc w:val="both"/>
      </w:pPr>
      <w:r>
        <w:t>And thirdly, we observe</w:t>
      </w:r>
    </w:p>
    <w:p w14:paraId="1D7911A6" w14:textId="7F536B60" w:rsidR="00F87A8B" w:rsidRDefault="00F87A8B" w:rsidP="00382C6C">
      <w:pPr>
        <w:jc w:val="both"/>
      </w:pPr>
      <w:r>
        <w:t>Cyber</w:t>
      </w:r>
      <w:r w:rsidR="001E04A6">
        <w:t xml:space="preserve"> and fraud</w:t>
      </w:r>
    </w:p>
    <w:p w14:paraId="27717019" w14:textId="77777777" w:rsidR="003F4E0F" w:rsidRDefault="003F4E0F" w:rsidP="00382C6C">
      <w:pPr>
        <w:jc w:val="both"/>
      </w:pPr>
    </w:p>
    <w:p w14:paraId="152CB749" w14:textId="26F78EE0" w:rsidR="008F379E" w:rsidRDefault="008F379E" w:rsidP="00382C6C">
      <w:pPr>
        <w:jc w:val="both"/>
      </w:pPr>
    </w:p>
    <w:p w14:paraId="70F9FA82" w14:textId="0230F501" w:rsidR="00F81887" w:rsidRDefault="00F81887" w:rsidP="00382C6C">
      <w:pPr>
        <w:jc w:val="both"/>
      </w:pPr>
      <w:r>
        <w:t>Negative effect online consumer fraud – businesses closed</w:t>
      </w:r>
    </w:p>
    <w:p w14:paraId="2B33E1BC" w14:textId="0067AFE3" w:rsidR="00A25F02" w:rsidRDefault="00A25F02" w:rsidP="00382C6C">
      <w:pPr>
        <w:jc w:val="both"/>
      </w:pPr>
    </w:p>
    <w:p w14:paraId="24D33FA1" w14:textId="5D9BAA3A" w:rsidR="00A25F02" w:rsidRDefault="00A25F02" w:rsidP="00382C6C">
      <w:pPr>
        <w:jc w:val="both"/>
      </w:pPr>
      <w:r>
        <w:t>Different effect of each lockdown</w:t>
      </w:r>
    </w:p>
    <w:p w14:paraId="62D01D10" w14:textId="77777777" w:rsidR="00382C6C" w:rsidRDefault="00382C6C" w:rsidP="00382C6C">
      <w:pPr>
        <w:jc w:val="both"/>
      </w:pPr>
    </w:p>
    <w:p w14:paraId="602FCC1F" w14:textId="64BB7DCC" w:rsidR="00DF7870" w:rsidRDefault="00382C6C" w:rsidP="00382C6C">
      <w:pPr>
        <w:jc w:val="both"/>
      </w:pPr>
      <w:r>
        <w:t xml:space="preserve">While the findings presented in this article are </w:t>
      </w:r>
      <w:r w:rsidR="000A4733">
        <w:t>first-of-its-kind</w:t>
      </w:r>
      <w:r>
        <w:t xml:space="preserve"> and contribute to the criminological literature about the effect of rapid social changes on crime</w:t>
      </w:r>
      <w:r w:rsidR="000A4733">
        <w:t xml:space="preserve"> (</w:t>
      </w:r>
      <w:r>
        <w:t>offline and online</w:t>
      </w:r>
      <w:r w:rsidR="000A4733">
        <w:t>)</w:t>
      </w:r>
      <w:r>
        <w:t>, these are not free of limitations. The main</w:t>
      </w:r>
      <w:r w:rsidR="004C242C">
        <w:t xml:space="preserve"> threat to the validity of our findings is related to the use of police-recorded crime statistics as a primary source of data. Police-recorded crime data are known to be severely affected by measurement error arising from underreporting and underrecording, and it is yet unknown the extent to which the COVID-19 pandemic has not only affected crime but also the measurement properties of crime </w:t>
      </w:r>
      <w:r w:rsidR="000A4733">
        <w:t>statistics</w:t>
      </w:r>
      <w:r w:rsidR="004C242C">
        <w:t xml:space="preserve"> (Wallace et al., 2021). </w:t>
      </w:r>
      <w:r w:rsidR="000A4733">
        <w:t xml:space="preserve">This may be particularly problematic in the case of </w:t>
      </w:r>
      <w:r w:rsidR="00DF7870">
        <w:t xml:space="preserve">cybercrime given the low reporting rates that define these offences (van de Weijer et al., 2019). </w:t>
      </w:r>
      <w:r w:rsidR="004C242C">
        <w:t xml:space="preserve">Future research is needed to explore if reporting and recording practices </w:t>
      </w:r>
      <w:r w:rsidR="000A4733">
        <w:t>that affect crime data were affected by</w:t>
      </w:r>
      <w:r w:rsidR="004C242C">
        <w:t xml:space="preserve"> COVID-19, thus illuminating </w:t>
      </w:r>
      <w:r w:rsidR="00DF7870">
        <w:t>the extent to which research using police-recorded crime data to study changes in crime may be affected by measurement error.</w:t>
      </w:r>
    </w:p>
    <w:p w14:paraId="36F19F6B" w14:textId="77777777" w:rsidR="00DF7870" w:rsidRDefault="00DF7870">
      <w:pPr>
        <w:rPr>
          <w:rFonts w:asciiTheme="majorHAnsi" w:eastAsiaTheme="majorEastAsia" w:hAnsiTheme="majorHAnsi" w:cstheme="majorBidi"/>
          <w:color w:val="2F5496" w:themeColor="accent1" w:themeShade="BF"/>
          <w:sz w:val="32"/>
          <w:szCs w:val="32"/>
        </w:rPr>
      </w:pPr>
      <w:r>
        <w:lastRenderedPageBreak/>
        <w:br w:type="page"/>
      </w:r>
    </w:p>
    <w:p w14:paraId="229633BA" w14:textId="07D5FA57"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Abedi, V., Olulana, O., Avula, V.</w:t>
      </w:r>
      <w:r>
        <w:t xml:space="preserve">, </w:t>
      </w:r>
      <w:r w:rsidRPr="00FE56D5">
        <w:t>Chaudhary, D., Khan, A.,</w:t>
      </w:r>
      <w:r>
        <w:t xml:space="preserve"> </w:t>
      </w:r>
      <w:r w:rsidRPr="00FE56D5">
        <w:t xml:space="preserve">Shahjouei, </w:t>
      </w:r>
      <w:r>
        <w:t xml:space="preserve">S., </w:t>
      </w:r>
      <w:r w:rsidRPr="00FE56D5">
        <w:t>Li</w:t>
      </w:r>
      <w:r>
        <w:t>, J., and</w:t>
      </w:r>
      <w:r w:rsidRPr="00FE56D5">
        <w:t xml:space="preserve"> Zand</w:t>
      </w:r>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5"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6"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r w:rsidRPr="004B72B5">
        <w:rPr>
          <w:i/>
          <w:iCs/>
          <w:lang w:val="es-ES"/>
        </w:rPr>
        <w:t>Crime Science</w:t>
      </w:r>
      <w:r w:rsidRPr="004B72B5">
        <w:rPr>
          <w:lang w:val="es-ES"/>
        </w:rPr>
        <w:t xml:space="preserve">, 9, 6. </w:t>
      </w:r>
      <w:hyperlink r:id="rId27"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Miyar, J. R., Hoehn-Velasco,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8" w:history="1">
        <w:r w:rsidRPr="0015475C">
          <w:rPr>
            <w:rStyle w:val="Hyperlink"/>
          </w:rPr>
          <w:t>https://doi.org/10.1186/s40163-021-00147-8</w:t>
        </w:r>
      </w:hyperlink>
    </w:p>
    <w:p w14:paraId="3FBACEB5" w14:textId="545A4FC2" w:rsidR="00FE56D5" w:rsidRDefault="00FE56D5" w:rsidP="00362FF1">
      <w:pPr>
        <w:jc w:val="both"/>
      </w:pPr>
      <w:r>
        <w:t xml:space="preserve">Bartik, A. W., Bertrand, M., Cullen, Z., Glaeser,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9"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r w:rsidRPr="007214B8">
        <w:t>Décary-Hétu</w:t>
      </w:r>
      <w:r>
        <w:t xml:space="preserve">, D., and </w:t>
      </w:r>
      <w:r w:rsidRPr="007214B8">
        <w:t>Giommoni</w:t>
      </w:r>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30" w:history="1">
        <w:r w:rsidRPr="00991EC2">
          <w:rPr>
            <w:rStyle w:val="Hyperlink"/>
          </w:rPr>
          <w:t>https://doi.org/10.1016/j.drugpo.2020.102870</w:t>
        </w:r>
      </w:hyperlink>
    </w:p>
    <w:p w14:paraId="7258AF5D" w14:textId="4F4C79D8" w:rsidR="00F3667F" w:rsidRPr="00F3667F" w:rsidRDefault="00F3667F" w:rsidP="00362FF1">
      <w:pPr>
        <w:jc w:val="both"/>
      </w:pPr>
      <w:r w:rsidRPr="00F3667F">
        <w:t xml:space="preserve">Borrion, H., Kurland, J., </w:t>
      </w:r>
      <w:r>
        <w:t xml:space="preserve">Tilley, N., and Chen, P. (2020). </w:t>
      </w:r>
      <w:r w:rsidRPr="00F3667F">
        <w:t xml:space="preserve">Measuring the resilience of criminogenic ecosystems to global disruption: A case-study of COVID-19 in China. </w:t>
      </w:r>
      <w:r w:rsidRPr="00F3667F">
        <w:rPr>
          <w:i/>
          <w:iCs/>
        </w:rPr>
        <w:t>PLoS ONE</w:t>
      </w:r>
      <w:r>
        <w:t>,</w:t>
      </w:r>
      <w:r w:rsidRPr="00F3667F">
        <w:t xml:space="preserve"> 15(10)</w:t>
      </w:r>
      <w:r>
        <w:t>,</w:t>
      </w:r>
      <w:r w:rsidRPr="00F3667F">
        <w:t xml:space="preserve"> e0240077. </w:t>
      </w:r>
      <w:hyperlink r:id="rId31" w:history="1">
        <w:r w:rsidRPr="00823A22">
          <w:rPr>
            <w:rStyle w:val="Hyperlink"/>
          </w:rPr>
          <w:t>https://doi.org/10.1371/journal.pone.0240077</w:t>
        </w:r>
      </w:hyperlink>
    </w:p>
    <w:p w14:paraId="47FC76AB" w14:textId="4BC1A30D" w:rsidR="002C0BAA" w:rsidRDefault="001C2614" w:rsidP="00362FF1">
      <w:pPr>
        <w:jc w:val="both"/>
      </w:pPr>
      <w:r w:rsidRPr="00F3667F">
        <w:t xml:space="preserve">Buil-Gil, D., Miró-Llinares, F., Moneva, A., Kemp, S., and Díaz-Castaño, N. (2021). </w:t>
      </w:r>
      <w:r w:rsidRPr="001C2614">
        <w:t xml:space="preserve">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32"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3" w:history="1">
        <w:r w:rsidRPr="00991EC2">
          <w:rPr>
            <w:rStyle w:val="Hyperlink"/>
          </w:rPr>
          <w:t>https://doi.org/10.1108/JFC-02-2021-0042</w:t>
        </w:r>
      </w:hyperlink>
    </w:p>
    <w:p w14:paraId="6204946E" w14:textId="11B65C61" w:rsidR="0056217D" w:rsidRDefault="0056217D" w:rsidP="00362FF1">
      <w:pPr>
        <w:jc w:val="both"/>
      </w:pPr>
      <w:r>
        <w:t>Campedelli, G. M., Aziani, A., and Favarin,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4" w:history="1">
        <w:r w:rsidRPr="0015475C">
          <w:rPr>
            <w:rStyle w:val="Hyperlink"/>
          </w:rPr>
          <w:t>https://doi.org/10.1007/s12103-020-09578-6</w:t>
        </w:r>
      </w:hyperlink>
    </w:p>
    <w:p w14:paraId="0AF61E69" w14:textId="1EF962BC" w:rsidR="008B3957" w:rsidRPr="008B3957" w:rsidRDefault="008B3957" w:rsidP="00362FF1">
      <w:pPr>
        <w:jc w:val="both"/>
      </w:pPr>
      <w:r w:rsidRPr="008B3957">
        <w:t xml:space="preserve">Campedelli, G. M., Favarin, S., Aziani,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5"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6" w:history="1">
        <w:r w:rsidRPr="0015475C">
          <w:rPr>
            <w:rStyle w:val="Hyperlink"/>
          </w:rPr>
          <w:t>https://doi.org/10.2307/2094589</w:t>
        </w:r>
      </w:hyperlink>
    </w:p>
    <w:p w14:paraId="0A824092" w14:textId="104BABC5" w:rsidR="00FE56D5" w:rsidRDefault="00FE56D5" w:rsidP="00362FF1">
      <w:pPr>
        <w:jc w:val="both"/>
      </w:pPr>
      <w:r w:rsidRPr="00FE56D5">
        <w:t xml:space="preserve">Czymara, </w:t>
      </w:r>
      <w:r>
        <w:t xml:space="preserve">C. S., </w:t>
      </w:r>
      <w:r w:rsidRPr="00FE56D5">
        <w:t>Langenkamp</w:t>
      </w:r>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7" w:history="1">
        <w:r w:rsidRPr="00991EC2">
          <w:rPr>
            <w:rStyle w:val="Hyperlink"/>
          </w:rPr>
          <w:t>https://doi.org/10.1080/14616696.2020.1808692</w:t>
        </w:r>
      </w:hyperlink>
    </w:p>
    <w:p w14:paraId="47813B05" w14:textId="2E2A9BE3" w:rsidR="00C54311" w:rsidRDefault="00C54311" w:rsidP="00362FF1">
      <w:pPr>
        <w:jc w:val="both"/>
      </w:pPr>
      <w:r>
        <w:t xml:space="preserve">Estévez-Soto,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8" w:history="1">
        <w:r w:rsidRPr="0015475C">
          <w:rPr>
            <w:rStyle w:val="Hyperlink"/>
          </w:rPr>
          <w:t>https://doi.org/10.1186/s40163-021-00151-y</w:t>
        </w:r>
      </w:hyperlink>
    </w:p>
    <w:p w14:paraId="36B18C26" w14:textId="65C80EB6" w:rsidR="002E727F" w:rsidRDefault="002E727F" w:rsidP="00362FF1">
      <w:pPr>
        <w:jc w:val="both"/>
      </w:pPr>
      <w:r>
        <w:lastRenderedPageBreak/>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March, 2020. </w:t>
      </w:r>
      <w:r w:rsidRPr="002E727F">
        <w:rPr>
          <w:i/>
          <w:iCs/>
        </w:rPr>
        <w:t>Crime Science</w:t>
      </w:r>
      <w:r>
        <w:t>,</w:t>
      </w:r>
      <w:r w:rsidRPr="002E727F">
        <w:t xml:space="preserve"> 9, 10. </w:t>
      </w:r>
      <w:hyperlink r:id="rId39" w:history="1">
        <w:r w:rsidRPr="00823A22">
          <w:rPr>
            <w:rStyle w:val="Hyperlink"/>
          </w:rPr>
          <w:t>https://doi.org/10.1186/s40163-020-00120-x</w:t>
        </w:r>
      </w:hyperlink>
    </w:p>
    <w:p w14:paraId="73131681" w14:textId="4CBF15D4" w:rsidR="00465647" w:rsidRDefault="00465647" w:rsidP="00362FF1">
      <w:pPr>
        <w:jc w:val="both"/>
      </w:pPr>
      <w:r>
        <w:t xml:space="preserve">Gerell, M., Kardell, J., and Kindgren, J. (2020). </w:t>
      </w:r>
      <w:r w:rsidRPr="00465647">
        <w:t>Minor covid-19 association with crime in Sweden</w:t>
      </w:r>
      <w:r>
        <w:t xml:space="preserve">. </w:t>
      </w:r>
      <w:r w:rsidRPr="00465647">
        <w:rPr>
          <w:i/>
          <w:iCs/>
        </w:rPr>
        <w:t>Crime Science</w:t>
      </w:r>
      <w:r>
        <w:t xml:space="preserve">, 9, 19. </w:t>
      </w:r>
      <w:hyperlink r:id="rId40"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Malleson,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41"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r w:rsidRPr="00012A71">
        <w:rPr>
          <w:i/>
          <w:iCs/>
        </w:rPr>
        <w:t>PLoS ONE</w:t>
      </w:r>
      <w:r>
        <w:t>,</w:t>
      </w:r>
      <w:r w:rsidRPr="00012A71">
        <w:t xml:space="preserve"> 8(2)</w:t>
      </w:r>
      <w:r>
        <w:t>,</w:t>
      </w:r>
      <w:r w:rsidRPr="00012A71">
        <w:t xml:space="preserve"> e55581. </w:t>
      </w:r>
      <w:hyperlink r:id="rId42" w:history="1">
        <w:r w:rsidRPr="00991EC2">
          <w:rPr>
            <w:rStyle w:val="Hyperlink"/>
          </w:rPr>
          <w:t>https://doi.org/10.1371/journal.pone.0055581</w:t>
        </w:r>
      </w:hyperlink>
    </w:p>
    <w:p w14:paraId="71BEC540" w14:textId="3F5B6880" w:rsidR="003072BE" w:rsidRDefault="003072BE" w:rsidP="00362FF1">
      <w:pPr>
        <w:jc w:val="both"/>
      </w:pPr>
      <w:r>
        <w:t xml:space="preserve">Hyndman, R. J., and Khandakar, Y. (2008). Automatic time series forecasting: The forecast package for R. </w:t>
      </w:r>
      <w:r w:rsidRPr="003072BE">
        <w:rPr>
          <w:i/>
          <w:iCs/>
        </w:rPr>
        <w:t>Journal of Statistical Software</w:t>
      </w:r>
      <w:r>
        <w:t xml:space="preserve">, 26(3), 1-22. </w:t>
      </w:r>
      <w:hyperlink r:id="rId43" w:history="1">
        <w:r w:rsidRPr="0015475C">
          <w:rPr>
            <w:rStyle w:val="Hyperlink"/>
          </w:rPr>
          <w:t>https://doi.org/10.18637/jss.v027.i03</w:t>
        </w:r>
      </w:hyperlink>
    </w:p>
    <w:p w14:paraId="3E2D62D7" w14:textId="77A5FFD7" w:rsidR="00C23C5B" w:rsidRDefault="00C23C5B" w:rsidP="00362FF1">
      <w:pPr>
        <w:jc w:val="both"/>
      </w:pPr>
      <w:r>
        <w:t xml:space="preserve">Kalist,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4"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 xml:space="preserve">-Llinares, F., and Díaz-Castaño, N. (2021). Empty streets, busy internet: A time-series analysis of cybercrime and fraud trends during COVID-19. </w:t>
      </w:r>
      <w:r w:rsidRPr="001C2614">
        <w:rPr>
          <w:i/>
          <w:iCs/>
        </w:rPr>
        <w:t>Journal of Contemporary Criminal Justice</w:t>
      </w:r>
      <w:r>
        <w:t xml:space="preserve">. </w:t>
      </w:r>
      <w:hyperlink r:id="rId45"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6" w:history="1">
        <w:r w:rsidRPr="0015475C">
          <w:rPr>
            <w:rStyle w:val="Hyperlink"/>
          </w:rPr>
          <w:t>https://doi.org/10.1016/j.jcrimjus.2021.101783</w:t>
        </w:r>
      </w:hyperlink>
    </w:p>
    <w:p w14:paraId="1DEF0A20" w14:textId="57CA9043" w:rsidR="001D4CB5" w:rsidRDefault="001D4CB5" w:rsidP="00362FF1">
      <w:pPr>
        <w:jc w:val="both"/>
      </w:pPr>
      <w:r>
        <w:t xml:space="preserve">Lallie, H. S., Shepherd, L. A., Nurse, J. R. C., Erola, A., Epiphaniou, G., Maple, C., and Ballekens,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7"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8"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9"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50" w:history="1">
        <w:r w:rsidRPr="0015475C">
          <w:rPr>
            <w:rStyle w:val="Hyperlink"/>
          </w:rPr>
          <w:t>https://doi.org/10.1080/00330124.2010.547156</w:t>
        </w:r>
      </w:hyperlink>
    </w:p>
    <w:p w14:paraId="179A93BA" w14:textId="7E7CCEEA" w:rsidR="004A2BA7" w:rsidRPr="004A2BA7" w:rsidRDefault="004A2BA7" w:rsidP="00362FF1">
      <w:pPr>
        <w:jc w:val="both"/>
      </w:pPr>
      <w:r w:rsidRPr="004A2BA7">
        <w:t>Mohler, G., Bertozzi, A. L., Carter, J</w:t>
      </w:r>
      <w:r>
        <w:t xml:space="preserve">., Short, M. B., Sledge, D., Tita, G. E., Uchida, C. D., and Brantingham,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r w:rsidRPr="00FE56D5">
        <w:t xml:space="preserve">Nivette, </w:t>
      </w:r>
      <w:r>
        <w:t>A. E.,</w:t>
      </w:r>
      <w:r w:rsidRPr="00FE56D5">
        <w:t xml:space="preserve"> Zahnow, </w:t>
      </w:r>
      <w:r>
        <w:t>R.,</w:t>
      </w:r>
      <w:r w:rsidRPr="00FE56D5">
        <w:t xml:space="preserve"> Aguilar,</w:t>
      </w:r>
      <w:r>
        <w:t xml:space="preserve"> R., </w:t>
      </w:r>
      <w:r w:rsidRPr="00FE56D5">
        <w:t xml:space="preserve">Ahven, </w:t>
      </w:r>
      <w:r>
        <w:t>A.,</w:t>
      </w:r>
      <w:r w:rsidRPr="00FE56D5">
        <w:t xml:space="preserve"> Amram, </w:t>
      </w:r>
      <w:r>
        <w:t xml:space="preserve">S., </w:t>
      </w:r>
      <w:r w:rsidRPr="00FE56D5">
        <w:t xml:space="preserve">Ariel, </w:t>
      </w:r>
      <w:r>
        <w:t xml:space="preserve">B., </w:t>
      </w:r>
      <w:r w:rsidRPr="00FE56D5">
        <w:t xml:space="preserve">Arosemena Burbano, </w:t>
      </w:r>
      <w:r>
        <w:t xml:space="preserve">M. J., </w:t>
      </w:r>
      <w:r w:rsidRPr="00FE56D5">
        <w:t>Astolfi,</w:t>
      </w:r>
      <w:r>
        <w:t xml:space="preserve"> R., </w:t>
      </w:r>
      <w:r w:rsidRPr="00FE56D5">
        <w:t xml:space="preserve">Baier, </w:t>
      </w:r>
      <w:r>
        <w:t xml:space="preserve">D., </w:t>
      </w:r>
      <w:r w:rsidRPr="00FE56D5">
        <w:t xml:space="preserve">Bark, </w:t>
      </w:r>
      <w:r>
        <w:t xml:space="preserve">H., </w:t>
      </w:r>
      <w:r w:rsidRPr="00FE56D5">
        <w:t xml:space="preserve">Beijers, </w:t>
      </w:r>
      <w:r w:rsidR="00D437D6">
        <w:t xml:space="preserve">J. E. H., </w:t>
      </w:r>
      <w:r w:rsidRPr="00FE56D5">
        <w:t xml:space="preserve">Bergman, </w:t>
      </w:r>
      <w:r w:rsidR="00D437D6">
        <w:t xml:space="preserve">M., </w:t>
      </w:r>
      <w:r w:rsidRPr="00FE56D5">
        <w:t xml:space="preserve">Breetzke,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r w:rsidRPr="00FE56D5">
        <w:t xml:space="preserve">Fleitas, </w:t>
      </w:r>
      <w:r w:rsidR="00D437D6">
        <w:t xml:space="preserve">D., </w:t>
      </w:r>
      <w:r w:rsidRPr="00FE56D5">
        <w:t xml:space="preserve">Gerell, </w:t>
      </w:r>
      <w:r w:rsidR="00D437D6">
        <w:t xml:space="preserve">M., </w:t>
      </w:r>
      <w:r w:rsidRPr="00FE56D5">
        <w:t>Jang,</w:t>
      </w:r>
      <w:r w:rsidR="00D437D6">
        <w:t xml:space="preserve"> K., </w:t>
      </w:r>
      <w:r w:rsidRPr="00FE56D5">
        <w:t xml:space="preserve">Kääriäinen, </w:t>
      </w:r>
      <w:r w:rsidR="00D437D6">
        <w:t xml:space="preserve">J., </w:t>
      </w:r>
      <w:r w:rsidRPr="00FE56D5">
        <w:t xml:space="preserve">Lappi-Seppälä,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r w:rsidRPr="00D437D6">
        <w:t xml:space="preserve">Meško,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 xml:space="preserve">Poblete-Cazenave, </w:t>
      </w:r>
      <w:r w:rsidR="00D437D6" w:rsidRPr="00D437D6">
        <w:t xml:space="preserve">R., </w:t>
      </w:r>
      <w:r w:rsidR="00D437D6">
        <w:t xml:space="preserve">Rose, S., </w:t>
      </w:r>
      <w:r w:rsidRPr="00D437D6">
        <w:t xml:space="preserve">Svensson,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r w:rsidRPr="00D437D6">
        <w:t xml:space="preserve">Veldkamp, </w:t>
      </w:r>
      <w:r w:rsidR="00D437D6" w:rsidRPr="00D437D6">
        <w:t xml:space="preserve">J., </w:t>
      </w:r>
      <w:r w:rsidRPr="00D437D6">
        <w:t>Vilalta Perdomo</w:t>
      </w:r>
      <w:r w:rsidR="00D437D6" w:rsidRPr="00D437D6">
        <w:t>, C. J.,</w:t>
      </w:r>
      <w:r w:rsidR="00D437D6">
        <w:t xml:space="preserve"> and </w:t>
      </w:r>
      <w:r w:rsidR="00D437D6">
        <w:lastRenderedPageBreak/>
        <w:t>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Panteli, N., Blythe, J., and Koppelman,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Stephanidis, M. Antona and S. Ntoa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569D2093" w14:textId="47762414" w:rsidR="00F87A8B" w:rsidRPr="00F87A8B" w:rsidRDefault="00F87A8B" w:rsidP="00362FF1">
      <w:pPr>
        <w:jc w:val="both"/>
      </w:pPr>
      <w:r w:rsidRPr="00F87A8B">
        <w:t>Palamar, J. J., Le, A., Carr, T. H., and Cottler, L. B. (</w:t>
      </w:r>
      <w:r>
        <w:t xml:space="preserve">2021). </w:t>
      </w:r>
      <w:r w:rsidRPr="00F87A8B">
        <w:t>Shifts in drug seizures in the United States during the COVID-19 pandemic</w:t>
      </w:r>
      <w:r>
        <w:t xml:space="preserve">. </w:t>
      </w:r>
      <w:r w:rsidRPr="00F87A8B">
        <w:rPr>
          <w:i/>
          <w:iCs/>
        </w:rPr>
        <w:t>Drug and Alcohol Dependence</w:t>
      </w:r>
      <w:r>
        <w:t xml:space="preserve">, 221(1), </w:t>
      </w:r>
      <w:r w:rsidRPr="00F87A8B">
        <w:t>108580</w:t>
      </w:r>
      <w:r>
        <w:t xml:space="preserve">. </w:t>
      </w:r>
      <w:hyperlink r:id="rId57" w:history="1">
        <w:r w:rsidRPr="00823A22">
          <w:rPr>
            <w:rStyle w:val="Hyperlink"/>
          </w:rPr>
          <w:t>https://doi.org/10.1016/j.drugalcdep.2021.108580</w:t>
        </w:r>
      </w:hyperlink>
    </w:p>
    <w:p w14:paraId="4BF0D57D" w14:textId="62195920" w:rsidR="004A2BA7" w:rsidRDefault="004A2BA7" w:rsidP="00362FF1">
      <w:pPr>
        <w:jc w:val="both"/>
      </w:pPr>
      <w:r w:rsidRPr="00F87A8B">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8" w:history="1">
        <w:r w:rsidRPr="00991EC2">
          <w:rPr>
            <w:rStyle w:val="Hyperlink"/>
          </w:rPr>
          <w:t>https://doi.org/10.1186/s40163-020-00136-3</w:t>
        </w:r>
      </w:hyperlink>
    </w:p>
    <w:p w14:paraId="4653D45B" w14:textId="0BB7412A" w:rsidR="00C23C5B" w:rsidRDefault="00C23C5B" w:rsidP="00362FF1">
      <w:pPr>
        <w:jc w:val="both"/>
      </w:pPr>
      <w:r w:rsidRPr="00C23C5B">
        <w:t xml:space="preserve">Piatkowska, </w:t>
      </w:r>
      <w:r>
        <w:t xml:space="preserve">S. J., </w:t>
      </w:r>
      <w:r w:rsidRPr="00C23C5B">
        <w:t xml:space="preserve">Messner, </w:t>
      </w:r>
      <w:r>
        <w:t xml:space="preserve">S. F., and </w:t>
      </w:r>
      <w:r w:rsidRPr="00C23C5B">
        <w:t xml:space="preserve">Raffalovich,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9" w:history="1">
        <w:r w:rsidRPr="0015475C">
          <w:rPr>
            <w:rStyle w:val="Hyperlink"/>
          </w:rPr>
          <w:t>https://doi.org/10.1093/esr/jcv086</w:t>
        </w:r>
      </w:hyperlink>
    </w:p>
    <w:p w14:paraId="04C29D89" w14:textId="3654CB6D" w:rsidR="001C2614" w:rsidRPr="001C2614" w:rsidRDefault="001C2614" w:rsidP="00362FF1">
      <w:pPr>
        <w:jc w:val="both"/>
      </w:pPr>
      <w:r w:rsidRPr="001C2614">
        <w:t>Piquero, A. R., Jennings, W. G., Jemison, E., K</w:t>
      </w:r>
      <w:r>
        <w:t xml:space="preserve">aukinen,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60"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1"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2" w:history="1">
        <w:r w:rsidRPr="00991EC2">
          <w:rPr>
            <w:rStyle w:val="Hyperlink"/>
          </w:rPr>
          <w:t>https://doi.org/10.1016/j.ajp.2020.102066</w:t>
        </w:r>
      </w:hyperlink>
    </w:p>
    <w:p w14:paraId="21D6CCF9" w14:textId="7A80A922" w:rsidR="00A57E48" w:rsidRDefault="00A57E48" w:rsidP="00362FF1">
      <w:pPr>
        <w:jc w:val="both"/>
        <w:rPr>
          <w:rStyle w:val="Hyperlink"/>
        </w:rPr>
      </w:pPr>
      <w:r w:rsidRPr="00A57E48">
        <w:t>Stechemesser,</w:t>
      </w:r>
      <w:r>
        <w:t xml:space="preserve"> A., Wenz, L., and Levermann,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r w:rsidRPr="00A57E48">
        <w:rPr>
          <w:i/>
          <w:iCs/>
        </w:rPr>
        <w:t>EClinicalMedicine</w:t>
      </w:r>
      <w:r>
        <w:t xml:space="preserve">, 23, </w:t>
      </w:r>
      <w:r w:rsidRPr="00A57E48">
        <w:t>100372</w:t>
      </w:r>
      <w:r>
        <w:t>.</w:t>
      </w:r>
      <w:r w:rsidRPr="00A57E48">
        <w:t xml:space="preserve"> </w:t>
      </w:r>
      <w:hyperlink r:id="rId63" w:history="1">
        <w:r w:rsidRPr="00991EC2">
          <w:rPr>
            <w:rStyle w:val="Hyperlink"/>
          </w:rPr>
          <w:t>https://doi.org/10.1016/j.eclinm.2020.100372</w:t>
        </w:r>
      </w:hyperlink>
    </w:p>
    <w:p w14:paraId="77BF2528" w14:textId="7E0934FE" w:rsidR="000A4733" w:rsidRDefault="00D2462B" w:rsidP="000A4733">
      <w:pPr>
        <w:jc w:val="both"/>
        <w:rPr>
          <w:color w:val="0563C1" w:themeColor="hyperlink"/>
          <w:u w:val="single"/>
        </w:rPr>
      </w:pPr>
      <w:r w:rsidRPr="00D2462B">
        <w:t>Steinbach,</w:t>
      </w:r>
      <w:r>
        <w:t xml:space="preserve"> R., </w:t>
      </w:r>
      <w:r w:rsidRPr="00D2462B">
        <w:t>Perkins,</w:t>
      </w:r>
      <w:r>
        <w:t xml:space="preserve"> C., </w:t>
      </w:r>
      <w:r w:rsidRPr="00D2462B">
        <w:t>Tompson,</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4" w:history="1">
        <w:r w:rsidRPr="00991EC2">
          <w:rPr>
            <w:rStyle w:val="Hyperlink"/>
          </w:rPr>
          <w:t>http://doi.org/10.1136/jech-2015-206012</w:t>
        </w:r>
      </w:hyperlink>
    </w:p>
    <w:p w14:paraId="4A998705" w14:textId="482D89DE" w:rsidR="00DF7870" w:rsidRDefault="00DF7870" w:rsidP="000A4733">
      <w:pPr>
        <w:jc w:val="both"/>
      </w:pPr>
      <w:r w:rsidRPr="00CE5F8B">
        <w:t xml:space="preserve">van de Weijer, S. G. A, Leukfeldt, R., and Bernasco, W. (2019). </w:t>
      </w:r>
      <w:r w:rsidRPr="00DF7870">
        <w:t xml:space="preserve">Determinants of reporting cybercrime: A comparison between identity theft, consumer fraud, and hacking. </w:t>
      </w:r>
      <w:r w:rsidRPr="00DF7870">
        <w:rPr>
          <w:i/>
          <w:iCs/>
        </w:rPr>
        <w:t>European Journal of Criminology</w:t>
      </w:r>
      <w:r>
        <w:t xml:space="preserve">, </w:t>
      </w:r>
      <w:r w:rsidRPr="00DF7870">
        <w:t>16(4)</w:t>
      </w:r>
      <w:r>
        <w:t xml:space="preserve">, </w:t>
      </w:r>
      <w:r w:rsidRPr="00DF7870">
        <w:t xml:space="preserve">486-508. </w:t>
      </w:r>
      <w:hyperlink r:id="rId65" w:history="1">
        <w:r w:rsidRPr="00823A22">
          <w:rPr>
            <w:rStyle w:val="Hyperlink"/>
          </w:rPr>
          <w:t>https://doi.org/10.1177/1477370818773610</w:t>
        </w:r>
      </w:hyperlink>
    </w:p>
    <w:p w14:paraId="461A4B2F" w14:textId="7D870BC0" w:rsidR="000A4733" w:rsidRDefault="000A4733" w:rsidP="000A4733">
      <w:pPr>
        <w:jc w:val="both"/>
        <w:rPr>
          <w:color w:val="0563C1" w:themeColor="hyperlink"/>
          <w:u w:val="single"/>
        </w:rPr>
      </w:pPr>
      <w:r w:rsidRPr="000A4733">
        <w:t>Wallace</w:t>
      </w:r>
      <w:r>
        <w:t>,</w:t>
      </w:r>
      <w:r w:rsidRPr="000A4733">
        <w:t xml:space="preserve"> D</w:t>
      </w:r>
      <w:r>
        <w:t>.</w:t>
      </w:r>
      <w:r w:rsidRPr="000A4733">
        <w:t>, Walker</w:t>
      </w:r>
      <w:r>
        <w:t>,</w:t>
      </w:r>
      <w:r w:rsidRPr="000A4733">
        <w:t xml:space="preserve"> J</w:t>
      </w:r>
      <w:r>
        <w:t>.</w:t>
      </w:r>
      <w:r w:rsidRPr="000A4733">
        <w:t>, Nelson</w:t>
      </w:r>
      <w:r>
        <w:t>,</w:t>
      </w:r>
      <w:r w:rsidRPr="000A4733">
        <w:t xml:space="preserve"> J</w:t>
      </w:r>
      <w:r>
        <w:t>.</w:t>
      </w:r>
      <w:r w:rsidRPr="000A4733">
        <w:t>, Towers</w:t>
      </w:r>
      <w:r>
        <w:t>,</w:t>
      </w:r>
      <w:r w:rsidRPr="000A4733">
        <w:t xml:space="preserve"> S</w:t>
      </w:r>
      <w:r>
        <w:t>.</w:t>
      </w:r>
      <w:r w:rsidRPr="000A4733">
        <w:t>, Eason</w:t>
      </w:r>
      <w:r>
        <w:t>,</w:t>
      </w:r>
      <w:r w:rsidRPr="000A4733">
        <w:t xml:space="preserve"> J</w:t>
      </w:r>
      <w:r>
        <w:t>.</w:t>
      </w:r>
      <w:r w:rsidRPr="000A4733">
        <w:t>,</w:t>
      </w:r>
      <w:r>
        <w:t xml:space="preserve"> and</w:t>
      </w:r>
      <w:r w:rsidRPr="000A4733">
        <w:t xml:space="preserve"> Grubesic</w:t>
      </w:r>
      <w:r>
        <w:t>,</w:t>
      </w:r>
      <w:r w:rsidRPr="000A4733">
        <w:t xml:space="preserve"> T</w:t>
      </w:r>
      <w:r>
        <w:t xml:space="preserve">. </w:t>
      </w:r>
      <w:r w:rsidRPr="000A4733">
        <w:t xml:space="preserve">H. </w:t>
      </w:r>
      <w:r>
        <w:t xml:space="preserve">(2021). </w:t>
      </w:r>
      <w:r w:rsidRPr="000A4733">
        <w:t xml:space="preserve">The 2020 </w:t>
      </w:r>
      <w:r>
        <w:t>c</w:t>
      </w:r>
      <w:r w:rsidRPr="000A4733">
        <w:t xml:space="preserve">oronavirus </w:t>
      </w:r>
      <w:r>
        <w:t>p</w:t>
      </w:r>
      <w:r w:rsidRPr="000A4733">
        <w:t xml:space="preserve">andemic and </w:t>
      </w:r>
      <w:r>
        <w:t>i</w:t>
      </w:r>
      <w:r w:rsidRPr="000A4733">
        <w:t xml:space="preserve">ts </w:t>
      </w:r>
      <w:r>
        <w:t>c</w:t>
      </w:r>
      <w:r w:rsidRPr="000A4733">
        <w:t xml:space="preserve">orresponding </w:t>
      </w:r>
      <w:r>
        <w:t>d</w:t>
      </w:r>
      <w:r w:rsidRPr="000A4733">
        <w:t xml:space="preserve">ata </w:t>
      </w:r>
      <w:r>
        <w:t>b</w:t>
      </w:r>
      <w:r w:rsidRPr="000A4733">
        <w:t xml:space="preserve">oon: Issues </w:t>
      </w:r>
      <w:r>
        <w:t>w</w:t>
      </w:r>
      <w:r w:rsidRPr="000A4733">
        <w:t xml:space="preserve">ith </w:t>
      </w:r>
      <w:r>
        <w:t>p</w:t>
      </w:r>
      <w:r w:rsidRPr="000A4733">
        <w:t>andemic-</w:t>
      </w:r>
      <w:r>
        <w:t>r</w:t>
      </w:r>
      <w:r w:rsidRPr="000A4733">
        <w:t xml:space="preserve">elated </w:t>
      </w:r>
      <w:r>
        <w:t>d</w:t>
      </w:r>
      <w:r w:rsidRPr="000A4733">
        <w:t xml:space="preserve">ata </w:t>
      </w:r>
      <w:r>
        <w:t>f</w:t>
      </w:r>
      <w:r w:rsidRPr="000A4733">
        <w:t xml:space="preserve">rom </w:t>
      </w:r>
      <w:r>
        <w:lastRenderedPageBreak/>
        <w:t>c</w:t>
      </w:r>
      <w:r w:rsidRPr="000A4733">
        <w:t xml:space="preserve">riminal </w:t>
      </w:r>
      <w:r>
        <w:t>j</w:t>
      </w:r>
      <w:r w:rsidRPr="000A4733">
        <w:t xml:space="preserve">ustice </w:t>
      </w:r>
      <w:r>
        <w:t>o</w:t>
      </w:r>
      <w:r w:rsidRPr="000A4733">
        <w:t xml:space="preserve">rganizations. </w:t>
      </w:r>
      <w:r w:rsidRPr="000A4733">
        <w:rPr>
          <w:i/>
          <w:iCs/>
        </w:rPr>
        <w:t>Journal of Contemporary Criminal Justice</w:t>
      </w:r>
      <w:r w:rsidRPr="000A4733">
        <w:t>.</w:t>
      </w:r>
      <w:r>
        <w:t xml:space="preserve"> </w:t>
      </w:r>
      <w:r w:rsidRPr="000A4733">
        <w:rPr>
          <w:color w:val="0563C1" w:themeColor="hyperlink"/>
          <w:u w:val="single"/>
        </w:rPr>
        <w:t>https://doi.org/10.1177/10439862211027993</w:t>
      </w:r>
    </w:p>
    <w:p w14:paraId="4F8D4AF0" w14:textId="77777777" w:rsidR="000A4733" w:rsidRDefault="000A4733" w:rsidP="000A4733">
      <w:pPr>
        <w:jc w:val="both"/>
        <w:rPr>
          <w:color w:val="0563C1" w:themeColor="hyperlink"/>
          <w:u w:val="single"/>
        </w:rPr>
      </w:pPr>
    </w:p>
    <w:p w14:paraId="504B3096" w14:textId="79C32C74" w:rsidR="000A4733" w:rsidRPr="000A4733" w:rsidRDefault="000A4733" w:rsidP="000A4733">
      <w:pPr>
        <w:jc w:val="both"/>
        <w:sectPr w:rsidR="000A4733" w:rsidRPr="000A4733" w:rsidSect="00C576A7">
          <w:footerReference w:type="default" r:id="rId66"/>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6" w:name="_Hlk76478567"/>
      <w:r>
        <w:lastRenderedPageBreak/>
        <w:t>Appendix</w:t>
      </w:r>
    </w:p>
    <w:p w14:paraId="3413846F" w14:textId="5F744FA2" w:rsidR="00BA56ED" w:rsidRDefault="00BA56ED" w:rsidP="00BA56ED">
      <w:pPr>
        <w:rPr>
          <w:i/>
          <w:iCs/>
        </w:rPr>
      </w:pPr>
      <w:bookmarkStart w:id="7" w:name="_Hlk76976185"/>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bookmarkStart w:id="8" w:name="_Hlk76976167"/>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bookmarkEnd w:id="8"/>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559"/>
        <w:gridCol w:w="1843"/>
        <w:gridCol w:w="1984"/>
        <w:gridCol w:w="1701"/>
        <w:gridCol w:w="1592"/>
      </w:tblGrid>
      <w:tr w:rsidR="00593A35" w:rsidRPr="008C78D9" w14:paraId="30DD186C" w14:textId="406BF4CF" w:rsidTr="0095607B">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559"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43"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984"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95607B">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559"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43"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984"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95607B">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559"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43"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984"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95607B">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559"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43"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984"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95607B">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559"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43"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984"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95607B">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559"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43"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984"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95607B">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559"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43"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984"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95607B">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559"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43"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984"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6"/>
      <w:bookmarkEnd w:id="7"/>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 w:id="1" w:author="David Buil Gil" w:date="2021-07-13T14:38:00Z" w:initials="DBG">
    <w:p w14:paraId="73C655E9" w14:textId="77777777" w:rsidR="00971E81" w:rsidRDefault="00971E81">
      <w:pPr>
        <w:pStyle w:val="CommentText"/>
      </w:pPr>
      <w:r>
        <w:rPr>
          <w:rStyle w:val="CommentReference"/>
        </w:rPr>
        <w:annotationRef/>
      </w:r>
      <w:r>
        <w:rPr>
          <w:lang w:val="es-ES"/>
        </w:rPr>
        <w:t xml:space="preserve">I don't think we have space for this: </w:t>
      </w:r>
    </w:p>
    <w:p w14:paraId="1ADABC31" w14:textId="77777777" w:rsidR="00971E81" w:rsidRDefault="00971E81" w:rsidP="000662FC">
      <w:pPr>
        <w:pStyle w:val="CommentText"/>
      </w:pPr>
      <w:r>
        <w:t xml:space="preserve">The remainder of this paper is organised as follows: Section 2 describes the main changes in routine activities seen during the COVID-19 pandemic in Northern Ireland. Section 3 describes how changes in routine activities during COVID-19 affected crime rates in different parts of the world. Section 4 introduces the data and analytical strategy. Section 5 presents the results of the analysis, and Section 6 presents the discussion and conclusions of the study. </w:t>
      </w:r>
    </w:p>
  </w:comment>
  <w:comment w:id="2" w:author="David Buil Gil" w:date="2021-07-13T15:12:00Z" w:initials="DBG">
    <w:p w14:paraId="3AAFC611" w14:textId="77777777" w:rsidR="00DC1F91" w:rsidRDefault="00DC1F91">
      <w:pPr>
        <w:pStyle w:val="CommentText"/>
      </w:pPr>
      <w:r>
        <w:rPr>
          <w:rStyle w:val="CommentReference"/>
        </w:rPr>
        <w:annotationRef/>
      </w:r>
      <w:r>
        <w:t>I removed this to reduce space:</w:t>
      </w:r>
    </w:p>
    <w:p w14:paraId="044E5AEA" w14:textId="77777777" w:rsidR="00DC1F91" w:rsidRDefault="00DC1F91" w:rsidP="00CF7534">
      <w:pPr>
        <w:pStyle w:val="CommentText"/>
      </w:pPr>
      <w:r>
        <w:t>Moreover, while some of these crime types are typically seasonal and tend to increase during summer and decrease in winter (e.g., bicycle theft, criminal damage, violence), others are less affected by seasonality (e.g., shoplifting, online shopping fraud, burglary, cyber-dependent crime), which will also enable us to foreground potential disruptions in seasonal crime patterns.</w:t>
      </w:r>
    </w:p>
  </w:comment>
  <w:comment w:id="4" w:author="David Buil Gil" w:date="2021-07-13T15:53:00Z" w:initials="DBG">
    <w:p w14:paraId="6E3FB9A9" w14:textId="77777777" w:rsidR="00343EFD" w:rsidRDefault="00343EFD">
      <w:pPr>
        <w:pStyle w:val="CommentText"/>
      </w:pPr>
      <w:r>
        <w:rPr>
          <w:rStyle w:val="CommentReference"/>
        </w:rPr>
        <w:annotationRef/>
      </w:r>
      <w:r>
        <w:t>Removed this to reduce wordcount:</w:t>
      </w:r>
    </w:p>
    <w:p w14:paraId="1DC26F33" w14:textId="77777777" w:rsidR="00343EFD" w:rsidRDefault="00343EFD" w:rsidP="004B1A29">
      <w:pPr>
        <w:pStyle w:val="CommentText"/>
      </w:pPr>
      <w:r>
        <w:t>We also see that the directionality of the effect of time since the second lockdown and third lockdown on public order and possession of drugs is the opposite in the multivariate ARIMA error model, but it is non-significant in both the segmented linear and the multivariate ARIMA error models.</w:t>
      </w:r>
    </w:p>
  </w:comment>
  <w:comment w:id="5" w:author="David Buil Gil" w:date="2021-07-13T16:03:00Z" w:initials="DBG">
    <w:p w14:paraId="30400F51" w14:textId="77777777" w:rsidR="001E47D5" w:rsidRDefault="001E47D5">
      <w:pPr>
        <w:pStyle w:val="CommentText"/>
      </w:pPr>
      <w:r>
        <w:rPr>
          <w:rStyle w:val="CommentReference"/>
        </w:rPr>
        <w:annotationRef/>
      </w:r>
      <w:r>
        <w:t>Removed this to reduce wordcount:</w:t>
      </w:r>
    </w:p>
    <w:p w14:paraId="2498688D" w14:textId="77777777" w:rsidR="001E47D5" w:rsidRDefault="001E47D5" w:rsidP="00654048">
      <w:pPr>
        <w:pStyle w:val="CommentText"/>
      </w:pPr>
      <w:r>
        <w:t>In this regard, the changes in trends of theft from person resemble the trends in violence offences seen above, while bicycle theft trends resemble public order and criminal damage trends, and changes in theft of/from vehicle trends are quite similar to that of non-residential burglary. Changes in shoplifting, however, do not equate any of the other crime types analysed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Ex w15:paraId="1ADABC31" w15:done="0"/>
  <w15:commentEx w15:paraId="044E5AEA" w15:done="0"/>
  <w15:commentEx w15:paraId="1DC26F33" w15:done="0"/>
  <w15:commentEx w15:paraId="24986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Extensible w16cex:durableId="249823D6" w16cex:dateUtc="2021-07-13T13:38:00Z"/>
  <w16cex:commentExtensible w16cex:durableId="24982BC8" w16cex:dateUtc="2021-07-13T14:12:00Z"/>
  <w16cex:commentExtensible w16cex:durableId="2498356B" w16cex:dateUtc="2021-07-13T14:53:00Z"/>
  <w16cex:commentExtensible w16cex:durableId="249837D3" w16cex:dateUtc="2021-07-13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Id w16cid:paraId="1ADABC31" w16cid:durableId="249823D6"/>
  <w16cid:commentId w16cid:paraId="044E5AEA" w16cid:durableId="24982BC8"/>
  <w16cid:commentId w16cid:paraId="1DC26F33" w16cid:durableId="2498356B"/>
  <w16cid:commentId w16cid:paraId="2498688D" w16cid:durableId="24983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7813" w14:textId="77777777" w:rsidR="00092F45" w:rsidRDefault="00092F45" w:rsidP="00BA0654">
      <w:pPr>
        <w:spacing w:after="0" w:line="240" w:lineRule="auto"/>
      </w:pPr>
      <w:r>
        <w:separator/>
      </w:r>
    </w:p>
  </w:endnote>
  <w:endnote w:type="continuationSeparator" w:id="0">
    <w:p w14:paraId="4BB07652" w14:textId="77777777" w:rsidR="00092F45" w:rsidRDefault="00092F45"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09D25" w14:textId="77777777" w:rsidR="00092F45" w:rsidRDefault="00092F45" w:rsidP="00BA0654">
      <w:pPr>
        <w:spacing w:after="0" w:line="240" w:lineRule="auto"/>
      </w:pPr>
      <w:r>
        <w:separator/>
      </w:r>
    </w:p>
  </w:footnote>
  <w:footnote w:type="continuationSeparator" w:id="0">
    <w:p w14:paraId="2FD06E99" w14:textId="77777777" w:rsidR="00092F45" w:rsidRDefault="00092F45"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D36C69"/>
    <w:multiLevelType w:val="multilevel"/>
    <w:tmpl w:val="83F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92F45"/>
    <w:rsid w:val="000A4733"/>
    <w:rsid w:val="000A68B5"/>
    <w:rsid w:val="000C1175"/>
    <w:rsid w:val="000C33ED"/>
    <w:rsid w:val="000E4671"/>
    <w:rsid w:val="0010584D"/>
    <w:rsid w:val="0010686C"/>
    <w:rsid w:val="0011468F"/>
    <w:rsid w:val="00114C67"/>
    <w:rsid w:val="001154FE"/>
    <w:rsid w:val="0014433D"/>
    <w:rsid w:val="001641C1"/>
    <w:rsid w:val="00176BF5"/>
    <w:rsid w:val="00185A7E"/>
    <w:rsid w:val="001924AD"/>
    <w:rsid w:val="001A410E"/>
    <w:rsid w:val="001C2614"/>
    <w:rsid w:val="001D3935"/>
    <w:rsid w:val="001D4CB5"/>
    <w:rsid w:val="001E04A6"/>
    <w:rsid w:val="001E47D5"/>
    <w:rsid w:val="001F1246"/>
    <w:rsid w:val="00207919"/>
    <w:rsid w:val="00225800"/>
    <w:rsid w:val="002369C4"/>
    <w:rsid w:val="0024525D"/>
    <w:rsid w:val="0024709E"/>
    <w:rsid w:val="00265F5B"/>
    <w:rsid w:val="00272A72"/>
    <w:rsid w:val="00281E7C"/>
    <w:rsid w:val="002A4380"/>
    <w:rsid w:val="002A6C34"/>
    <w:rsid w:val="002A78EF"/>
    <w:rsid w:val="002C0BAA"/>
    <w:rsid w:val="002D1486"/>
    <w:rsid w:val="002D60F3"/>
    <w:rsid w:val="002E727F"/>
    <w:rsid w:val="002F23A7"/>
    <w:rsid w:val="003072BE"/>
    <w:rsid w:val="00332B61"/>
    <w:rsid w:val="00333DD3"/>
    <w:rsid w:val="00343217"/>
    <w:rsid w:val="00343EFD"/>
    <w:rsid w:val="00362FF1"/>
    <w:rsid w:val="00364EB7"/>
    <w:rsid w:val="00382C5D"/>
    <w:rsid w:val="00382C6C"/>
    <w:rsid w:val="00386474"/>
    <w:rsid w:val="003C3385"/>
    <w:rsid w:val="003D289A"/>
    <w:rsid w:val="003D57AE"/>
    <w:rsid w:val="003F4E0F"/>
    <w:rsid w:val="0040625E"/>
    <w:rsid w:val="004160CD"/>
    <w:rsid w:val="00465647"/>
    <w:rsid w:val="00465C51"/>
    <w:rsid w:val="004675AF"/>
    <w:rsid w:val="00472ED0"/>
    <w:rsid w:val="0047302D"/>
    <w:rsid w:val="004904E2"/>
    <w:rsid w:val="0049544B"/>
    <w:rsid w:val="004A14EE"/>
    <w:rsid w:val="004A2BA7"/>
    <w:rsid w:val="004B72B5"/>
    <w:rsid w:val="004C242C"/>
    <w:rsid w:val="004C6E6E"/>
    <w:rsid w:val="004F1995"/>
    <w:rsid w:val="005060AC"/>
    <w:rsid w:val="005107D9"/>
    <w:rsid w:val="00514296"/>
    <w:rsid w:val="00540645"/>
    <w:rsid w:val="00553175"/>
    <w:rsid w:val="0056217D"/>
    <w:rsid w:val="005629C6"/>
    <w:rsid w:val="00585D32"/>
    <w:rsid w:val="00593A35"/>
    <w:rsid w:val="0059522B"/>
    <w:rsid w:val="005B2DA5"/>
    <w:rsid w:val="005F6FB3"/>
    <w:rsid w:val="006076A0"/>
    <w:rsid w:val="006213A8"/>
    <w:rsid w:val="00627D46"/>
    <w:rsid w:val="00633879"/>
    <w:rsid w:val="00645B5A"/>
    <w:rsid w:val="00660362"/>
    <w:rsid w:val="006702C5"/>
    <w:rsid w:val="00670C06"/>
    <w:rsid w:val="0067178A"/>
    <w:rsid w:val="00671E67"/>
    <w:rsid w:val="0067461D"/>
    <w:rsid w:val="006A72A8"/>
    <w:rsid w:val="006A741D"/>
    <w:rsid w:val="006B2E5A"/>
    <w:rsid w:val="006B47E2"/>
    <w:rsid w:val="006C3F71"/>
    <w:rsid w:val="006F2495"/>
    <w:rsid w:val="00711869"/>
    <w:rsid w:val="007214B8"/>
    <w:rsid w:val="007406D0"/>
    <w:rsid w:val="00761E7F"/>
    <w:rsid w:val="00763218"/>
    <w:rsid w:val="007768E1"/>
    <w:rsid w:val="007907D6"/>
    <w:rsid w:val="007A702F"/>
    <w:rsid w:val="007C1100"/>
    <w:rsid w:val="008636F6"/>
    <w:rsid w:val="00873B4B"/>
    <w:rsid w:val="00893E9F"/>
    <w:rsid w:val="008A6291"/>
    <w:rsid w:val="008B2CE6"/>
    <w:rsid w:val="008B3957"/>
    <w:rsid w:val="008C2162"/>
    <w:rsid w:val="008C49C9"/>
    <w:rsid w:val="008C78D9"/>
    <w:rsid w:val="008D342F"/>
    <w:rsid w:val="008F379E"/>
    <w:rsid w:val="00906B7E"/>
    <w:rsid w:val="009235CB"/>
    <w:rsid w:val="00935A52"/>
    <w:rsid w:val="009403F2"/>
    <w:rsid w:val="00946297"/>
    <w:rsid w:val="0095607B"/>
    <w:rsid w:val="009570DE"/>
    <w:rsid w:val="009669C3"/>
    <w:rsid w:val="0097073C"/>
    <w:rsid w:val="00971E81"/>
    <w:rsid w:val="00980EE5"/>
    <w:rsid w:val="00985088"/>
    <w:rsid w:val="009A1A73"/>
    <w:rsid w:val="009A3523"/>
    <w:rsid w:val="009B786A"/>
    <w:rsid w:val="009D2E53"/>
    <w:rsid w:val="009E69EE"/>
    <w:rsid w:val="009F336B"/>
    <w:rsid w:val="00A1623A"/>
    <w:rsid w:val="00A16A0A"/>
    <w:rsid w:val="00A21481"/>
    <w:rsid w:val="00A244B6"/>
    <w:rsid w:val="00A25F02"/>
    <w:rsid w:val="00A34B56"/>
    <w:rsid w:val="00A57E48"/>
    <w:rsid w:val="00A77B60"/>
    <w:rsid w:val="00A90599"/>
    <w:rsid w:val="00A946C1"/>
    <w:rsid w:val="00AB1226"/>
    <w:rsid w:val="00AB69DA"/>
    <w:rsid w:val="00AC2846"/>
    <w:rsid w:val="00AD3BA7"/>
    <w:rsid w:val="00AD7AC7"/>
    <w:rsid w:val="00AE27BE"/>
    <w:rsid w:val="00AF1CC7"/>
    <w:rsid w:val="00AF6EDF"/>
    <w:rsid w:val="00B1328B"/>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BF3D43"/>
    <w:rsid w:val="00C11C10"/>
    <w:rsid w:val="00C1485C"/>
    <w:rsid w:val="00C174F0"/>
    <w:rsid w:val="00C23C5B"/>
    <w:rsid w:val="00C257B0"/>
    <w:rsid w:val="00C32A97"/>
    <w:rsid w:val="00C36C12"/>
    <w:rsid w:val="00C54311"/>
    <w:rsid w:val="00C576A7"/>
    <w:rsid w:val="00C82CDF"/>
    <w:rsid w:val="00C90C4C"/>
    <w:rsid w:val="00C9305B"/>
    <w:rsid w:val="00CA1CF2"/>
    <w:rsid w:val="00CB328F"/>
    <w:rsid w:val="00CE5F8B"/>
    <w:rsid w:val="00CF4017"/>
    <w:rsid w:val="00CF4591"/>
    <w:rsid w:val="00CF7B65"/>
    <w:rsid w:val="00D0398A"/>
    <w:rsid w:val="00D04842"/>
    <w:rsid w:val="00D21DC4"/>
    <w:rsid w:val="00D2462B"/>
    <w:rsid w:val="00D437D6"/>
    <w:rsid w:val="00D51022"/>
    <w:rsid w:val="00D5313A"/>
    <w:rsid w:val="00D564E1"/>
    <w:rsid w:val="00D6219A"/>
    <w:rsid w:val="00D9492C"/>
    <w:rsid w:val="00DA45E8"/>
    <w:rsid w:val="00DA55B6"/>
    <w:rsid w:val="00DB0B5B"/>
    <w:rsid w:val="00DC1F91"/>
    <w:rsid w:val="00DD13DB"/>
    <w:rsid w:val="00DE22F1"/>
    <w:rsid w:val="00DF6FFF"/>
    <w:rsid w:val="00DF7870"/>
    <w:rsid w:val="00E15EB6"/>
    <w:rsid w:val="00E20D9F"/>
    <w:rsid w:val="00E24236"/>
    <w:rsid w:val="00E25839"/>
    <w:rsid w:val="00E34132"/>
    <w:rsid w:val="00E3652D"/>
    <w:rsid w:val="00E53E39"/>
    <w:rsid w:val="00E90401"/>
    <w:rsid w:val="00E9544E"/>
    <w:rsid w:val="00EA673B"/>
    <w:rsid w:val="00EA68AA"/>
    <w:rsid w:val="00EB79C2"/>
    <w:rsid w:val="00EC78D7"/>
    <w:rsid w:val="00EE71EC"/>
    <w:rsid w:val="00F00937"/>
    <w:rsid w:val="00F031EC"/>
    <w:rsid w:val="00F04A03"/>
    <w:rsid w:val="00F15B9A"/>
    <w:rsid w:val="00F21637"/>
    <w:rsid w:val="00F3667F"/>
    <w:rsid w:val="00F46100"/>
    <w:rsid w:val="00F64EB6"/>
    <w:rsid w:val="00F71555"/>
    <w:rsid w:val="00F81887"/>
    <w:rsid w:val="00F837F4"/>
    <w:rsid w:val="00F87A8B"/>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 w:type="character" w:styleId="Emphasis">
    <w:name w:val="Emphasis"/>
    <w:basedOn w:val="DefaultParagraphFont"/>
    <w:uiPriority w:val="20"/>
    <w:qFormat/>
    <w:rsid w:val="00CE5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57979">
      <w:bodyDiv w:val="1"/>
      <w:marLeft w:val="0"/>
      <w:marRight w:val="0"/>
      <w:marTop w:val="0"/>
      <w:marBottom w:val="0"/>
      <w:divBdr>
        <w:top w:val="none" w:sz="0" w:space="0" w:color="auto"/>
        <w:left w:val="none" w:sz="0" w:space="0" w:color="auto"/>
        <w:bottom w:val="none" w:sz="0" w:space="0" w:color="auto"/>
        <w:right w:val="none" w:sz="0" w:space="0" w:color="auto"/>
      </w:divBdr>
    </w:div>
    <w:div w:id="1778451640">
      <w:bodyDiv w:val="1"/>
      <w:marLeft w:val="0"/>
      <w:marRight w:val="0"/>
      <w:marTop w:val="0"/>
      <w:marBottom w:val="0"/>
      <w:divBdr>
        <w:top w:val="none" w:sz="0" w:space="0" w:color="auto"/>
        <w:left w:val="none" w:sz="0" w:space="0" w:color="auto"/>
        <w:bottom w:val="none" w:sz="0" w:space="0" w:color="auto"/>
        <w:right w:val="none" w:sz="0" w:space="0" w:color="auto"/>
      </w:divBdr>
    </w:div>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016/j.jpubeco.2020.104344" TargetMode="External"/><Relationship Id="rId21" Type="http://schemas.openxmlformats.org/officeDocument/2006/relationships/image" Target="media/image4.png"/><Relationship Id="rId42" Type="http://schemas.openxmlformats.org/officeDocument/2006/relationships/hyperlink" Target="https://doi.org/10.1371/journal.pone.0055581" TargetMode="External"/><Relationship Id="rId47" Type="http://schemas.openxmlformats.org/officeDocument/2006/relationships/hyperlink" Target="https://doi.org/10.1016/j.cose.2021.102248" TargetMode="External"/><Relationship Id="rId63" Type="http://schemas.openxmlformats.org/officeDocument/2006/relationships/hyperlink" Target="https://doi.org/10.1016/j.eclinm.2020.100372" TargetMode="Externa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sni.police.uk/inside-psni/Statistics/police-recorded-crime-statistics/" TargetMode="External"/><Relationship Id="rId29" Type="http://schemas.openxmlformats.org/officeDocument/2006/relationships/hyperlink" Target="https://doi.org/10.1073/pnas.2006991117" TargetMode="External"/><Relationship Id="rId11" Type="http://schemas.microsoft.com/office/2018/08/relationships/commentsExtensible" Target="commentsExtensible.xml"/><Relationship Id="rId24" Type="http://schemas.openxmlformats.org/officeDocument/2006/relationships/image" Target="media/image7.png"/><Relationship Id="rId32" Type="http://schemas.openxmlformats.org/officeDocument/2006/relationships/hyperlink" Target="https://doi.org/10.1080/14616696.2020.1804973" TargetMode="External"/><Relationship Id="rId37" Type="http://schemas.openxmlformats.org/officeDocument/2006/relationships/hyperlink" Target="https://doi.org/10.1080/14616696.2020.1808692" TargetMode="External"/><Relationship Id="rId40" Type="http://schemas.openxmlformats.org/officeDocument/2006/relationships/hyperlink" Target="https://doi.org/10.1186/s40163-020-00128-3" TargetMode="External"/><Relationship Id="rId45" Type="http://schemas.openxmlformats.org/officeDocument/2006/relationships/hyperlink" Target="https://doi.org/10.1177/10439862211027986"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186/s40163-020-00136-3"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R-project.org/" TargetMode="External"/><Relationship Id="rId19" Type="http://schemas.openxmlformats.org/officeDocument/2006/relationships/image" Target="media/image2.png"/><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doi.org/10.1186/s40163-020-00117-6" TargetMode="External"/><Relationship Id="rId30" Type="http://schemas.openxmlformats.org/officeDocument/2006/relationships/hyperlink" Target="https://doi.org/10.1016/j.drugpo.2020.102870" TargetMode="External"/><Relationship Id="rId35" Type="http://schemas.openxmlformats.org/officeDocument/2006/relationships/hyperlink" Target="https://doi.org/10.1186/s40163-020-00131-8" TargetMode="External"/><Relationship Id="rId43" Type="http://schemas.openxmlformats.org/officeDocument/2006/relationships/hyperlink" Target="https://doi.org/10.18637/jss.v027.i03" TargetMode="External"/><Relationship Id="rId48" Type="http://schemas.openxmlformats.org/officeDocument/2006/relationships/hyperlink" Target="https://doi.org/10.1186/s40163-021-00142-z"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hyperlink" Target="http://doi.org/10.1136/jech-2015-206012" TargetMode="External"/><Relationship Id="rId69"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hyperlink" Target="https://www.opendatani.gov.uk/dataset/police-recorded-crime-in-northern-ireland" TargetMode="External"/><Relationship Id="rId25" Type="http://schemas.openxmlformats.org/officeDocument/2006/relationships/hyperlink" Target="https://doi.org/10.1007/s40615-020-00833-4" TargetMode="External"/><Relationship Id="rId33" Type="http://schemas.openxmlformats.org/officeDocument/2006/relationships/hyperlink" Target="https://doi.org/10.1108/JFC-02-2021-0042" TargetMode="External"/><Relationship Id="rId38" Type="http://schemas.openxmlformats.org/officeDocument/2006/relationships/hyperlink" Target="https://doi.org/10.1186/s40163-021-00151-y" TargetMode="External"/><Relationship Id="rId46" Type="http://schemas.openxmlformats.org/officeDocument/2006/relationships/hyperlink" Target="https://doi.org/10.1016/j.jcrimjus.2021.101783" TargetMode="External"/><Relationship Id="rId59" Type="http://schemas.openxmlformats.org/officeDocument/2006/relationships/hyperlink" Target="https://doi.org/10.1093/esr/jcv086" TargetMode="External"/><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doi.org/10.1186/s40163-020-00121-w"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ajp.2020.10206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oogle.com/covid19/mobility/index.html?hl=en" TargetMode="External"/><Relationship Id="rId23" Type="http://schemas.openxmlformats.org/officeDocument/2006/relationships/image" Target="media/image6.png"/><Relationship Id="rId28" Type="http://schemas.openxmlformats.org/officeDocument/2006/relationships/hyperlink" Target="https://doi.org/10.1186/s40163-021-00147-8" TargetMode="External"/><Relationship Id="rId36" Type="http://schemas.openxmlformats.org/officeDocument/2006/relationships/hyperlink" Target="https://doi.org/10.2307/2094589" TargetMode="External"/><Relationship Id="rId49" Type="http://schemas.openxmlformats.org/officeDocument/2006/relationships/hyperlink" Target="https://doi.org/10.1016/j.jcrimjus.2021.101830" TargetMode="External"/><Relationship Id="rId57" Type="http://schemas.openxmlformats.org/officeDocument/2006/relationships/hyperlink" Target="https://doi.org/10.1016/j.drugalcdep.2021.108580" TargetMode="External"/><Relationship Id="rId10" Type="http://schemas.microsoft.com/office/2016/09/relationships/commentsIds" Target="commentsIds.xml"/><Relationship Id="rId31" Type="http://schemas.openxmlformats.org/officeDocument/2006/relationships/hyperlink" Target="https://doi.org/10.1371/journal.pone.0240077" TargetMode="External"/><Relationship Id="rId44" Type="http://schemas.openxmlformats.org/officeDocument/2006/relationships/hyperlink" Target="https://doi.org/10.1177/1527002514554953" TargetMode="External"/><Relationship Id="rId52" Type="http://schemas.openxmlformats.org/officeDocument/2006/relationships/hyperlink" Target="https://doi.org/10.1038/s41562-021-01139-z" TargetMode="External"/><Relationship Id="rId60" Type="http://schemas.openxmlformats.org/officeDocument/2006/relationships/hyperlink" Target="https://doi.org/10.1016/j.jcrimjus.2021.101806" TargetMode="External"/><Relationship Id="rId65" Type="http://schemas.openxmlformats.org/officeDocument/2006/relationships/hyperlink" Target="https://doi.org/10.1177/147737081877361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anonymous.4open.science/r/covid_crime_NI-Anonymise/" TargetMode="External"/><Relationship Id="rId18" Type="http://schemas.openxmlformats.org/officeDocument/2006/relationships/hyperlink" Target="https://anonymous.4open.science/r/covid_crime_NI-Anonymise/" TargetMode="External"/><Relationship Id="rId39" Type="http://schemas.openxmlformats.org/officeDocument/2006/relationships/hyperlink" Target="https://doi.org/10.1186/s40163-020-00120-x" TargetMode="External"/><Relationship Id="rId34" Type="http://schemas.openxmlformats.org/officeDocument/2006/relationships/hyperlink" Target="https://doi.org/10.1007/s12103-020-09578-6" TargetMode="External"/><Relationship Id="rId50" Type="http://schemas.openxmlformats.org/officeDocument/2006/relationships/hyperlink" Target="https://doi.org/10.1080/00330124.2010.547156" TargetMode="External"/><Relationship Id="rId55" Type="http://schemas.openxmlformats.org/officeDocument/2006/relationships/hyperlink" Target="https://www.ofcom.org.uk/__data/assets/pdf_file/0013/220414/online-nation-2021-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5739</TotalTime>
  <Pages>22</Pages>
  <Words>8911</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27</cp:revision>
  <dcterms:created xsi:type="dcterms:W3CDTF">2021-06-24T13:28:00Z</dcterms:created>
  <dcterms:modified xsi:type="dcterms:W3CDTF">2021-07-14T11:36:00Z</dcterms:modified>
</cp:coreProperties>
</file>