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2A9" w:rsidRDefault="00A602A9">
      <w:pPr>
        <w:spacing w:before="600"/>
      </w:pPr>
    </w:p>
    <w:p w:rsidR="00040B8D" w:rsidRDefault="00040B8D">
      <w:pPr>
        <w:spacing w:before="600"/>
      </w:pPr>
    </w:p>
    <w:p w:rsidR="00040B8D" w:rsidRDefault="00040B8D">
      <w:pPr>
        <w:spacing w:before="600"/>
      </w:pPr>
    </w:p>
    <w:p w:rsidR="00040B8D" w:rsidRDefault="00040B8D">
      <w:pPr>
        <w:spacing w:before="600"/>
      </w:pPr>
    </w:p>
    <w:p w:rsidR="00040B8D" w:rsidRDefault="00040B8D">
      <w:pPr>
        <w:spacing w:before="600"/>
      </w:pPr>
    </w:p>
    <w:p w:rsidR="00A602A9" w:rsidRDefault="009C5019">
      <w:pPr>
        <w:spacing w:after="80"/>
        <w:jc w:val="center"/>
      </w:pPr>
      <w:r>
        <w:rPr>
          <w:b/>
          <w:bCs/>
          <w:color w:val="888888"/>
        </w:rPr>
        <w:t>UNIVERSIDAD DE CALDAS</w:t>
      </w:r>
    </w:p>
    <w:p w:rsidR="00A602A9" w:rsidRDefault="009C5019">
      <w:pPr>
        <w:spacing w:after="80"/>
        <w:jc w:val="center"/>
      </w:pPr>
      <w:r>
        <w:rPr>
          <w:color w:val="555555"/>
          <w:sz w:val="24"/>
          <w:szCs w:val="24"/>
        </w:rPr>
        <w:t>Sistema de Aspirantes Docentes</w:t>
      </w:r>
    </w:p>
    <w:p w:rsidR="00A602A9" w:rsidRDefault="00A602A9">
      <w:pPr>
        <w:spacing w:before="120"/>
      </w:pPr>
    </w:p>
    <w:p w:rsidR="00A602A9" w:rsidRDefault="009C5019">
      <w:pPr>
        <w:pBdr>
          <w:top w:val="single" w:sz="12" w:space="10" w:color="7B1A4B"/>
          <w:bottom w:val="single" w:sz="12" w:space="10" w:color="7B1A4B"/>
        </w:pBdr>
        <w:spacing w:after="80"/>
        <w:jc w:val="center"/>
      </w:pPr>
      <w:r>
        <w:rPr>
          <w:b/>
          <w:bCs/>
          <w:color w:val="7B1A4B"/>
          <w:sz w:val="52"/>
          <w:szCs w:val="52"/>
        </w:rPr>
        <w:t>MANUAL DE GESTIÓN DE RIESGOS</w:t>
      </w:r>
    </w:p>
    <w:p w:rsidR="00A602A9" w:rsidRDefault="00A602A9">
      <w:pPr>
        <w:spacing w:before="80"/>
      </w:pPr>
    </w:p>
    <w:p w:rsidR="00A602A9" w:rsidRDefault="009C5019">
      <w:pPr>
        <w:jc w:val="center"/>
      </w:pPr>
      <w:r>
        <w:rPr>
          <w:color w:val="555555"/>
          <w:sz w:val="26"/>
          <w:szCs w:val="26"/>
        </w:rPr>
        <w:t>Convocatoria 205 Plazas Docentes · 2024</w:t>
      </w:r>
    </w:p>
    <w:p w:rsidR="00A602A9" w:rsidRDefault="00A602A9">
      <w:pPr>
        <w:spacing w:before="200"/>
      </w:pPr>
    </w:p>
    <w:p w:rsidR="00A602A9" w:rsidRDefault="009C5019">
      <w:r>
        <w:br w:type="page"/>
      </w:r>
    </w:p>
    <w:p w:rsidR="00A602A9" w:rsidRDefault="009C5019">
      <w:pPr>
        <w:pStyle w:val="Ttulo1"/>
        <w:pBdr>
          <w:bottom w:val="single" w:sz="8" w:space="6" w:color="7B1A4B"/>
        </w:pBdr>
      </w:pPr>
      <w:r>
        <w:lastRenderedPageBreak/>
        <w:t>1. Introducción</w:t>
      </w:r>
    </w:p>
    <w:p w:rsidR="00A602A9" w:rsidRDefault="009C5019">
      <w:pPr>
        <w:spacing w:before="80" w:after="80"/>
      </w:pPr>
      <w:r>
        <w:rPr>
          <w:color w:val="1A1A1A"/>
        </w:rPr>
        <w:t>Este manual describe el proceso de identificación, análisis y tratamiento de riesgos del proyecto Sistema de Aspirantes Docentes de la Universidad de Caldas, desarrollado para gestionar la Convocatoria 205 de Plazas Docentes 2024.</w:t>
      </w:r>
    </w:p>
    <w:p w:rsidR="00A602A9" w:rsidRDefault="00A602A9">
      <w:pPr>
        <w:spacing w:before="80"/>
      </w:pPr>
    </w:p>
    <w:p w:rsidR="00A602A9" w:rsidRDefault="009C5019">
      <w:pPr>
        <w:spacing w:before="80" w:after="80"/>
      </w:pPr>
      <w:r>
        <w:rPr>
          <w:color w:val="1A1A1A"/>
        </w:rPr>
        <w:t>La gestión de riesgos pe</w:t>
      </w:r>
      <w:r>
        <w:rPr>
          <w:color w:val="1A1A1A"/>
        </w:rPr>
        <w:t>rmite al equipo anticipar amenazas que podrían comprometer el éxito del sistema, asignando responsables claros y estrategias de mitigación accionables dentro del marco ágil del proyecto.</w:t>
      </w:r>
    </w:p>
    <w:p w:rsidR="00A602A9" w:rsidRDefault="00A602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02A9">
        <w:tblPrEx>
          <w:tblCellMar>
            <w:top w:w="0" w:type="dxa"/>
            <w:bottom w:w="0" w:type="dxa"/>
          </w:tblCellMar>
        </w:tblPrEx>
        <w:tc>
          <w:tcPr>
            <w:tcW w:w="9360" w:type="dxa"/>
            <w:tcBorders>
              <w:top w:val="single" w:sz="8" w:space="0" w:color="7B1A4B"/>
              <w:left w:val="single" w:sz="24" w:space="0" w:color="7B1A4B"/>
              <w:bottom w:val="none" w:sz="0" w:space="0" w:color="FFFFFF"/>
              <w:right w:val="none" w:sz="0" w:space="0" w:color="FFFFFF"/>
            </w:tcBorders>
            <w:shd w:val="clear" w:color="auto" w:fill="F3E8EF"/>
            <w:tcMar>
              <w:top w:w="120" w:type="dxa"/>
              <w:left w:w="200" w:type="dxa"/>
              <w:bottom w:w="120" w:type="dxa"/>
              <w:right w:w="200" w:type="dxa"/>
            </w:tcMar>
          </w:tcPr>
          <w:p w:rsidR="00A602A9" w:rsidRDefault="009C5019">
            <w:pPr>
              <w:spacing w:before="40" w:after="40"/>
            </w:pPr>
            <w:r>
              <w:rPr>
                <w:i/>
                <w:iCs/>
                <w:color w:val="5A1A3A"/>
                <w:sz w:val="20"/>
                <w:szCs w:val="20"/>
              </w:rPr>
              <w:t>Propósito del sistema: digitalizar y automatizar el proceso de postu</w:t>
            </w:r>
            <w:r>
              <w:rPr>
                <w:i/>
                <w:iCs/>
                <w:color w:val="5A1A3A"/>
                <w:sz w:val="20"/>
                <w:szCs w:val="20"/>
              </w:rPr>
              <w:t>lación de aspirantes a plazas docentes, incluyendo registro de datos personales, carga de hoja de vida, extracción automática por IA y ranking de puntuación por categorías.</w:t>
            </w:r>
          </w:p>
        </w:tc>
      </w:tr>
    </w:tbl>
    <w:p w:rsidR="00A602A9" w:rsidRDefault="00A602A9">
      <w:pPr>
        <w:spacing w:before="160"/>
      </w:pPr>
    </w:p>
    <w:p w:rsidR="00A602A9" w:rsidRDefault="009C5019">
      <w:pPr>
        <w:pStyle w:val="Ttulo1"/>
        <w:pBdr>
          <w:bottom w:val="single" w:sz="8" w:space="6" w:color="7B1A4B"/>
        </w:pBdr>
      </w:pPr>
      <w:r>
        <w:t>2. Metodología de Gestión de Riesgos</w:t>
      </w:r>
    </w:p>
    <w:p w:rsidR="00A602A9" w:rsidRDefault="009C5019">
      <w:pPr>
        <w:spacing w:before="80" w:after="80"/>
      </w:pPr>
      <w:r>
        <w:rPr>
          <w:color w:val="1A1A1A"/>
        </w:rPr>
        <w:t>Se aplica una plantilla de Registro Ágil de Riesgos con los siguientes campos para cada riesgo identificado:</w:t>
      </w:r>
    </w:p>
    <w:p w:rsidR="00A602A9" w:rsidRDefault="00A602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7B1A4B"/>
            <w:tcMar>
              <w:top w:w="80" w:type="dxa"/>
              <w:left w:w="120" w:type="dxa"/>
              <w:bottom w:w="80" w:type="dxa"/>
              <w:right w:w="120" w:type="dxa"/>
            </w:tcMar>
          </w:tcPr>
          <w:p w:rsidR="00A602A9" w:rsidRDefault="009C5019">
            <w:r>
              <w:rPr>
                <w:b/>
                <w:bCs/>
                <w:color w:val="FFFFFF"/>
                <w:sz w:val="20"/>
                <w:szCs w:val="20"/>
              </w:rPr>
              <w:t>Campo</w:t>
            </w:r>
          </w:p>
        </w:tc>
        <w:tc>
          <w:tcPr>
            <w:tcW w:w="7160" w:type="dxa"/>
            <w:tcBorders>
              <w:top w:val="single" w:sz="1" w:space="0" w:color="DDDDDD"/>
              <w:left w:val="single" w:sz="1" w:space="0" w:color="DDDDDD"/>
              <w:bottom w:val="single" w:sz="1" w:space="0" w:color="DDDDDD"/>
              <w:right w:val="single" w:sz="1" w:space="0" w:color="DDDDDD"/>
            </w:tcBorders>
            <w:shd w:val="clear" w:color="auto" w:fill="7B1A4B"/>
            <w:tcMar>
              <w:top w:w="80" w:type="dxa"/>
              <w:left w:w="120" w:type="dxa"/>
              <w:bottom w:w="80" w:type="dxa"/>
              <w:right w:w="120" w:type="dxa"/>
            </w:tcMar>
          </w:tcPr>
          <w:p w:rsidR="00A602A9" w:rsidRDefault="009C5019">
            <w:r>
              <w:rPr>
                <w:b/>
                <w:bCs/>
                <w:color w:val="FFFFFF"/>
                <w:sz w:val="20"/>
                <w:szCs w:val="20"/>
              </w:rPr>
              <w:t>Descripción</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b/>
                <w:bCs/>
                <w:color w:val="7B1A4B"/>
                <w:sz w:val="20"/>
                <w:szCs w:val="20"/>
              </w:rPr>
              <w:t>ID del Riesgo</w:t>
            </w:r>
          </w:p>
        </w:tc>
        <w:tc>
          <w:tcPr>
            <w:tcW w:w="716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color w:val="1A1A1A"/>
                <w:sz w:val="20"/>
                <w:szCs w:val="20"/>
              </w:rPr>
              <w:t>Código único (R01–R10) para identificar y rastrear cada riesgo.</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A602A9" w:rsidRDefault="009C5019">
            <w:r>
              <w:rPr>
                <w:b/>
                <w:bCs/>
                <w:color w:val="7B1A4B"/>
                <w:sz w:val="20"/>
                <w:szCs w:val="20"/>
              </w:rPr>
              <w:t>Clase de Riesgo</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A602A9" w:rsidRDefault="009C5019">
            <w:r>
              <w:rPr>
                <w:color w:val="1A1A1A"/>
                <w:sz w:val="20"/>
                <w:szCs w:val="20"/>
              </w:rPr>
              <w:t>Categoría: Seguridad, Tecnológico, Alcance, Desarrollo, Estimación, Recursos, Línea de tiempo, Presupuesto, Legislativo, Solución.</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b/>
                <w:bCs/>
                <w:color w:val="7B1A4B"/>
                <w:sz w:val="20"/>
                <w:szCs w:val="20"/>
              </w:rPr>
              <w:t>Descripción del Riesgo</w:t>
            </w:r>
          </w:p>
        </w:tc>
        <w:tc>
          <w:tcPr>
            <w:tcW w:w="716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color w:val="1A1A1A"/>
                <w:sz w:val="20"/>
                <w:szCs w:val="20"/>
              </w:rPr>
              <w:t>Resumen concreto del escenario de riesgo identificado.</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A602A9" w:rsidRDefault="009C5019">
            <w:r>
              <w:rPr>
                <w:b/>
                <w:bCs/>
                <w:color w:val="7B1A4B"/>
                <w:sz w:val="20"/>
                <w:szCs w:val="20"/>
              </w:rPr>
              <w:t>Descripción del Impacto</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A602A9" w:rsidRDefault="009C5019">
            <w:r>
              <w:rPr>
                <w:color w:val="1A1A1A"/>
                <w:sz w:val="20"/>
                <w:szCs w:val="20"/>
              </w:rPr>
              <w:t>Consecuencias si el riesgo ocurre sin mitigación.</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b/>
                <w:bCs/>
                <w:color w:val="7B1A4B"/>
                <w:sz w:val="20"/>
                <w:szCs w:val="20"/>
              </w:rPr>
              <w:t>Nivel de Impacto</w:t>
            </w:r>
          </w:p>
        </w:tc>
        <w:tc>
          <w:tcPr>
            <w:tcW w:w="716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color w:val="1A1A1A"/>
                <w:sz w:val="20"/>
                <w:szCs w:val="20"/>
              </w:rPr>
              <w:t>Escala 1 (Bajo) a 5 (Alto). Evalúa la severidad de la consecuencia.</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A602A9" w:rsidRDefault="009C5019">
            <w:r>
              <w:rPr>
                <w:b/>
                <w:bCs/>
                <w:color w:val="7B1A4B"/>
                <w:sz w:val="20"/>
                <w:szCs w:val="20"/>
              </w:rPr>
              <w:t>Nivel de Probabilidad</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A602A9" w:rsidRDefault="009C5019">
            <w:r>
              <w:rPr>
                <w:color w:val="1A1A1A"/>
                <w:sz w:val="20"/>
                <w:szCs w:val="20"/>
              </w:rPr>
              <w:t>Escala 1 (Bajo) a 5 (Alto). Evalúa qué tan probable es que ocurra.</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b/>
                <w:bCs/>
                <w:color w:val="7B1A4B"/>
                <w:sz w:val="20"/>
                <w:szCs w:val="20"/>
              </w:rPr>
              <w:t>Nivel de Prioridad</w:t>
            </w:r>
          </w:p>
        </w:tc>
        <w:tc>
          <w:tcPr>
            <w:tcW w:w="716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color w:val="1A1A1A"/>
                <w:sz w:val="20"/>
                <w:szCs w:val="20"/>
              </w:rPr>
              <w:t>Impacto × Probabilidad. Determina qué riesgos atender primero.</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A602A9" w:rsidRDefault="009C5019">
            <w:r>
              <w:rPr>
                <w:b/>
                <w:bCs/>
                <w:color w:val="7B1A4B"/>
                <w:sz w:val="20"/>
                <w:szCs w:val="20"/>
              </w:rPr>
              <w:t>Estrategia de Mitigación</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A602A9" w:rsidRDefault="009C5019">
            <w:r>
              <w:rPr>
                <w:color w:val="1A1A1A"/>
                <w:sz w:val="20"/>
                <w:szCs w:val="20"/>
              </w:rPr>
              <w:t>Acciones concretas para reducir el impacto o la probabilidad.</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b/>
                <w:bCs/>
                <w:color w:val="7B1A4B"/>
                <w:sz w:val="20"/>
                <w:szCs w:val="20"/>
              </w:rPr>
              <w:t>Acción</w:t>
            </w:r>
          </w:p>
        </w:tc>
        <w:tc>
          <w:tcPr>
            <w:tcW w:w="716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color w:val="1A1A1A"/>
                <w:sz w:val="20"/>
                <w:szCs w:val="20"/>
              </w:rPr>
              <w:t>Tipo de respuesta: Mitigar, Evitar, Transferir/Compartir, Aceptar.</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A602A9" w:rsidRDefault="009C5019">
            <w:r>
              <w:rPr>
                <w:b/>
                <w:bCs/>
                <w:color w:val="7B1A4B"/>
                <w:sz w:val="20"/>
                <w:szCs w:val="20"/>
              </w:rPr>
              <w:t>Dueño</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A602A9" w:rsidRDefault="009C5019">
            <w:r>
              <w:rPr>
                <w:color w:val="1A1A1A"/>
                <w:sz w:val="20"/>
                <w:szCs w:val="20"/>
              </w:rPr>
              <w:t>Rol responsable de ejecutar la estrategia de mitigación.</w:t>
            </w:r>
          </w:p>
        </w:tc>
      </w:tr>
      <w:tr w:rsidR="00A602A9">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b/>
                <w:bCs/>
                <w:color w:val="7B1A4B"/>
                <w:sz w:val="20"/>
                <w:szCs w:val="20"/>
              </w:rPr>
              <w:t>Fecha de Reevaluación</w:t>
            </w:r>
          </w:p>
        </w:tc>
        <w:tc>
          <w:tcPr>
            <w:tcW w:w="7160" w:type="dxa"/>
            <w:tcBorders>
              <w:top w:val="single" w:sz="1" w:space="0" w:color="DDDDDD"/>
              <w:left w:val="single" w:sz="1" w:space="0" w:color="DDDDDD"/>
              <w:bottom w:val="single" w:sz="1" w:space="0" w:color="DDDDDD"/>
              <w:right w:val="single" w:sz="1" w:space="0" w:color="DDDDDD"/>
            </w:tcBorders>
            <w:shd w:val="clear" w:color="auto" w:fill="F3E8EF"/>
            <w:tcMar>
              <w:top w:w="80" w:type="dxa"/>
              <w:left w:w="120" w:type="dxa"/>
              <w:bottom w:w="80" w:type="dxa"/>
              <w:right w:w="120" w:type="dxa"/>
            </w:tcMar>
          </w:tcPr>
          <w:p w:rsidR="00A602A9" w:rsidRDefault="009C5019">
            <w:r>
              <w:rPr>
                <w:color w:val="1A1A1A"/>
                <w:sz w:val="20"/>
                <w:szCs w:val="20"/>
              </w:rPr>
              <w:t>Fecha en que se debe revisar nuevamente el estado del riesgo.</w:t>
            </w:r>
          </w:p>
        </w:tc>
      </w:tr>
    </w:tbl>
    <w:p w:rsidR="00A602A9" w:rsidRDefault="00A602A9">
      <w:pPr>
        <w:spacing w:before="160"/>
      </w:pPr>
    </w:p>
    <w:p w:rsidR="00A602A9" w:rsidRDefault="009C5019">
      <w:pPr>
        <w:pStyle w:val="Ttulo1"/>
        <w:pBdr>
          <w:bottom w:val="single" w:sz="8" w:space="6" w:color="7B1A4B"/>
        </w:pBdr>
      </w:pPr>
      <w:r>
        <w:lastRenderedPageBreak/>
        <w:t>3. Escala de Evaluación</w:t>
      </w:r>
    </w:p>
    <w:p w:rsidR="00A602A9" w:rsidRDefault="009C5019">
      <w:pPr>
        <w:spacing w:before="80" w:after="80"/>
      </w:pPr>
      <w:r>
        <w:rPr>
          <w:color w:val="1A1A1A"/>
        </w:rPr>
        <w:t>El nivel de prioridad determina el orden de atención. Los valores se obtienen multiplicando el impacto por la probabilidad:</w:t>
      </w:r>
    </w:p>
    <w:p w:rsidR="00A602A9" w:rsidRDefault="00A602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602A9">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C0392B"/>
            <w:tcMar>
              <w:top w:w="100" w:type="dxa"/>
              <w:left w:w="120" w:type="dxa"/>
              <w:bottom w:w="100" w:type="dxa"/>
              <w:right w:w="120" w:type="dxa"/>
            </w:tcMar>
          </w:tcPr>
          <w:p w:rsidR="00A602A9" w:rsidRDefault="009C5019">
            <w:pPr>
              <w:jc w:val="center"/>
            </w:pPr>
            <w:r>
              <w:rPr>
                <w:b/>
                <w:bCs/>
                <w:color w:val="FFFFFF"/>
              </w:rPr>
              <w:t>ALTA  (15-25)</w:t>
            </w:r>
          </w:p>
        </w:tc>
        <w:tc>
          <w:tcPr>
            <w:tcW w:w="3120" w:type="dxa"/>
            <w:tcBorders>
              <w:top w:val="single" w:sz="1" w:space="0" w:color="DDDDDD"/>
              <w:left w:val="single" w:sz="1" w:space="0" w:color="DDDDDD"/>
              <w:bottom w:val="single" w:sz="1" w:space="0" w:color="DDDDDD"/>
              <w:right w:val="single" w:sz="1" w:space="0" w:color="DDDDDD"/>
            </w:tcBorders>
            <w:shd w:val="clear" w:color="auto" w:fill="E67E22"/>
            <w:tcMar>
              <w:top w:w="100" w:type="dxa"/>
              <w:left w:w="120" w:type="dxa"/>
              <w:bottom w:w="100" w:type="dxa"/>
              <w:right w:w="120" w:type="dxa"/>
            </w:tcMar>
          </w:tcPr>
          <w:p w:rsidR="00A602A9" w:rsidRDefault="009C5019">
            <w:pPr>
              <w:jc w:val="center"/>
            </w:pPr>
            <w:r>
              <w:rPr>
                <w:b/>
                <w:bCs/>
                <w:color w:val="FFFFFF"/>
              </w:rPr>
              <w:t>MEDIA  (9-14)</w:t>
            </w:r>
          </w:p>
        </w:tc>
        <w:tc>
          <w:tcPr>
            <w:tcW w:w="3120" w:type="dxa"/>
            <w:tcBorders>
              <w:top w:val="single" w:sz="1" w:space="0" w:color="DDDDDD"/>
              <w:left w:val="single" w:sz="1" w:space="0" w:color="DDDDDD"/>
              <w:bottom w:val="single" w:sz="1" w:space="0" w:color="DDDDDD"/>
              <w:right w:val="single" w:sz="1" w:space="0" w:color="DDDDDD"/>
            </w:tcBorders>
            <w:shd w:val="clear" w:color="auto" w:fill="27AE60"/>
            <w:tcMar>
              <w:top w:w="100" w:type="dxa"/>
              <w:left w:w="120" w:type="dxa"/>
              <w:bottom w:w="100" w:type="dxa"/>
              <w:right w:w="120" w:type="dxa"/>
            </w:tcMar>
          </w:tcPr>
          <w:p w:rsidR="00A602A9" w:rsidRDefault="009C5019">
            <w:pPr>
              <w:jc w:val="center"/>
            </w:pPr>
            <w:r>
              <w:rPr>
                <w:b/>
                <w:bCs/>
                <w:color w:val="FFFFFF"/>
              </w:rPr>
              <w:t>BAJA  (1-8)</w:t>
            </w:r>
          </w:p>
        </w:tc>
      </w:tr>
      <w:tr w:rsidR="00A602A9">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ADBD8"/>
            <w:tcMar>
              <w:top w:w="80" w:type="dxa"/>
              <w:left w:w="120" w:type="dxa"/>
              <w:bottom w:w="80" w:type="dxa"/>
              <w:right w:w="120" w:type="dxa"/>
            </w:tcMar>
          </w:tcPr>
          <w:p w:rsidR="00A602A9" w:rsidRDefault="009C5019">
            <w:pPr>
              <w:jc w:val="center"/>
            </w:pPr>
            <w:r>
              <w:rPr>
                <w:color w:val="7B241C"/>
                <w:sz w:val="20"/>
                <w:szCs w:val="20"/>
              </w:rPr>
              <w:t>Atención inmediata. Acción de mitigación obligatoria.</w:t>
            </w:r>
          </w:p>
        </w:tc>
        <w:tc>
          <w:tcPr>
            <w:tcW w:w="3120" w:type="dxa"/>
            <w:tcBorders>
              <w:top w:val="single" w:sz="1" w:space="0" w:color="DDDDDD"/>
              <w:left w:val="single" w:sz="1" w:space="0" w:color="DDDDDD"/>
              <w:bottom w:val="single" w:sz="1" w:space="0" w:color="DDDDDD"/>
              <w:right w:val="single" w:sz="1" w:space="0" w:color="DDDDDD"/>
            </w:tcBorders>
            <w:shd w:val="clear" w:color="auto" w:fill="FDEBD0"/>
            <w:tcMar>
              <w:top w:w="80" w:type="dxa"/>
              <w:left w:w="120" w:type="dxa"/>
              <w:bottom w:w="80" w:type="dxa"/>
              <w:right w:w="120" w:type="dxa"/>
            </w:tcMar>
          </w:tcPr>
          <w:p w:rsidR="00A602A9" w:rsidRDefault="009C5019">
            <w:pPr>
              <w:jc w:val="center"/>
            </w:pPr>
            <w:r>
              <w:rPr>
                <w:color w:val="784212"/>
                <w:sz w:val="20"/>
                <w:szCs w:val="20"/>
              </w:rPr>
              <w:t>Planificar respuesta en el sprint ac</w:t>
            </w:r>
            <w:r>
              <w:rPr>
                <w:color w:val="784212"/>
                <w:sz w:val="20"/>
                <w:szCs w:val="20"/>
              </w:rPr>
              <w:t>tual.</w:t>
            </w:r>
          </w:p>
        </w:tc>
        <w:tc>
          <w:tcPr>
            <w:tcW w:w="312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rsidR="00A602A9" w:rsidRDefault="009C5019">
            <w:pPr>
              <w:jc w:val="center"/>
            </w:pPr>
            <w:r>
              <w:rPr>
                <w:color w:val="1D6A39"/>
                <w:sz w:val="20"/>
                <w:szCs w:val="20"/>
              </w:rPr>
              <w:t>Monitorear. Puede aceptarse con plan de contingencia.</w:t>
            </w:r>
          </w:p>
        </w:tc>
      </w:tr>
    </w:tbl>
    <w:p w:rsidR="00A602A9" w:rsidRDefault="00A602A9">
      <w:pPr>
        <w:spacing w:before="160"/>
      </w:pPr>
    </w:p>
    <w:p w:rsidR="00A602A9" w:rsidRDefault="009C5019" w:rsidP="00040B8D">
      <w:pPr>
        <w:rPr>
          <w:b/>
          <w:bCs/>
          <w:color w:val="7B1A4B"/>
          <w:sz w:val="32"/>
          <w:szCs w:val="32"/>
        </w:rPr>
      </w:pPr>
      <w:r>
        <w:rPr>
          <w:b/>
          <w:bCs/>
          <w:color w:val="7B1A4B"/>
          <w:sz w:val="32"/>
          <w:szCs w:val="32"/>
        </w:rPr>
        <w:t>4. Riesgos de Alta Prioridad (Acción Inmediata)</w:t>
      </w:r>
    </w:p>
    <w:p w:rsidR="00040B8D" w:rsidRDefault="00040B8D" w:rsidP="00040B8D"/>
    <w:p w:rsidR="00A602A9" w:rsidRDefault="009C5019">
      <w:pPr>
        <w:spacing w:before="80" w:after="80"/>
      </w:pPr>
      <w:r>
        <w:rPr>
          <w:color w:val="1A1A1A"/>
        </w:rPr>
        <w:t>L</w:t>
      </w:r>
      <w:r>
        <w:rPr>
          <w:color w:val="1A1A1A"/>
        </w:rPr>
        <w:t>os siguientes dos riesgos obtuvieron la mayor puntuación (15/25) y requieren atención inmediata. Son los más importantes para comentar en la presentación.</w:t>
      </w:r>
    </w:p>
    <w:p w:rsidR="00A602A9" w:rsidRDefault="00A602A9">
      <w:pPr>
        <w:spacing w:before="120"/>
      </w:pPr>
    </w:p>
    <w:p w:rsidR="00A602A9" w:rsidRDefault="009C5019">
      <w:pPr>
        <w:pStyle w:val="Ttulo2"/>
      </w:pPr>
      <w:r>
        <w:t>R01 · Exposición de Datos Personales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02A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B1A4B"/>
            <w:tcMar>
              <w:top w:w="100" w:type="dxa"/>
              <w:left w:w="180" w:type="dxa"/>
              <w:bottom w:w="100" w:type="dxa"/>
              <w:right w:w="180" w:type="dxa"/>
            </w:tcMar>
          </w:tcPr>
          <w:p w:rsidR="00A602A9" w:rsidRDefault="009C5019">
            <w:r>
              <w:rPr>
                <w:b/>
                <w:bCs/>
                <w:color w:val="FFFFFF"/>
                <w:sz w:val="24"/>
                <w:szCs w:val="24"/>
              </w:rPr>
              <w:t xml:space="preserve">R01  </w:t>
            </w:r>
            <w:r>
              <w:rPr>
                <w:color w:val="FFFFFF"/>
                <w:sz w:val="20"/>
                <w:szCs w:val="20"/>
              </w:rPr>
              <w:t>SEGURIDAD</w:t>
            </w:r>
            <w:r>
              <w:rPr>
                <w:b/>
                <w:bCs/>
                <w:color w:val="FFFFFF"/>
              </w:rPr>
              <w:t xml:space="preserve">    Prioridad: 15</w:t>
            </w:r>
          </w:p>
        </w:tc>
      </w:tr>
      <w:tr w:rsidR="00A602A9">
        <w:tblPrEx>
          <w:tblCellMar>
            <w:top w:w="0" w:type="dxa"/>
            <w:bottom w:w="0" w:type="dxa"/>
          </w:tblCellMar>
        </w:tblPrEx>
        <w:tc>
          <w:tcPr>
            <w:tcW w:w="9360" w:type="dxa"/>
            <w:tcBorders>
              <w:top w:val="none" w:sz="0" w:space="0" w:color="FFFFFF"/>
              <w:left w:val="single" w:sz="4" w:space="0" w:color="7B1A4B"/>
              <w:bottom w:val="single" w:sz="1" w:space="0" w:color="DDDDDD"/>
              <w:right w:val="none" w:sz="0" w:space="0" w:color="FFFFFF"/>
            </w:tcBorders>
            <w:shd w:val="clear" w:color="auto" w:fill="F5F5F5"/>
            <w:tcMar>
              <w:top w:w="100" w:type="dxa"/>
              <w:left w:w="180" w:type="dxa"/>
              <w:bottom w:w="100" w:type="dxa"/>
              <w:right w:w="180" w:type="dxa"/>
            </w:tcMar>
          </w:tcPr>
          <w:p w:rsidR="00A602A9" w:rsidRDefault="009C5019">
            <w:pPr>
              <w:spacing w:before="40" w:after="60"/>
            </w:pPr>
            <w:r>
              <w:rPr>
                <w:b/>
                <w:bCs/>
                <w:color w:val="333333"/>
                <w:sz w:val="21"/>
                <w:szCs w:val="21"/>
              </w:rPr>
              <w:t xml:space="preserve">Riesgo: </w:t>
            </w:r>
            <w:r>
              <w:rPr>
                <w:color w:val="1A1A1A"/>
                <w:sz w:val="21"/>
                <w:szCs w:val="21"/>
              </w:rPr>
              <w:t>Exposición de datos personales sensibles (cédula, correo, teléfono) de los aspirantes por falta de cifrado en tránsito o en reposo.</w:t>
            </w:r>
          </w:p>
          <w:p w:rsidR="00A602A9" w:rsidRDefault="009C5019">
            <w:pPr>
              <w:spacing w:before="40" w:after="60"/>
            </w:pPr>
            <w:r>
              <w:rPr>
                <w:b/>
                <w:bCs/>
                <w:color w:val="333333"/>
                <w:sz w:val="21"/>
                <w:szCs w:val="21"/>
              </w:rPr>
              <w:t xml:space="preserve">Impacto si ocurre: </w:t>
            </w:r>
            <w:r>
              <w:rPr>
                <w:color w:val="1A1A1A"/>
                <w:sz w:val="21"/>
                <w:szCs w:val="21"/>
              </w:rPr>
              <w:t>Violación de la Ley 1581 de Protección de Datos, sanciones legales y pérdida de confianza institucional.</w:t>
            </w:r>
          </w:p>
          <w:p w:rsidR="00A602A9" w:rsidRDefault="009C5019">
            <w:pPr>
              <w:spacing w:before="40" w:after="60"/>
            </w:pPr>
            <w:r>
              <w:rPr>
                <w:b/>
                <w:bCs/>
                <w:color w:val="333333"/>
                <w:sz w:val="21"/>
                <w:szCs w:val="21"/>
              </w:rPr>
              <w:t xml:space="preserve">Estrategia: </w:t>
            </w:r>
            <w:r>
              <w:rPr>
                <w:color w:val="1A1A1A"/>
                <w:sz w:val="21"/>
                <w:szCs w:val="21"/>
              </w:rPr>
              <w:t xml:space="preserve">Implementar HTTPS/TLS, cifrado en base de datos, </w:t>
            </w:r>
            <w:proofErr w:type="spellStart"/>
            <w:r>
              <w:rPr>
                <w:color w:val="1A1A1A"/>
                <w:sz w:val="21"/>
                <w:szCs w:val="21"/>
              </w:rPr>
              <w:t>hashing</w:t>
            </w:r>
            <w:proofErr w:type="spellEnd"/>
            <w:r>
              <w:rPr>
                <w:color w:val="1A1A1A"/>
                <w:sz w:val="21"/>
                <w:szCs w:val="21"/>
              </w:rPr>
              <w:t xml:space="preserve"> de contraseñas con </w:t>
            </w:r>
            <w:proofErr w:type="spellStart"/>
            <w:r>
              <w:rPr>
                <w:color w:val="1A1A1A"/>
                <w:sz w:val="21"/>
                <w:szCs w:val="21"/>
              </w:rPr>
              <w:t>bcrypt</w:t>
            </w:r>
            <w:proofErr w:type="spellEnd"/>
            <w:r>
              <w:rPr>
                <w:color w:val="1A1A1A"/>
                <w:sz w:val="21"/>
                <w:szCs w:val="21"/>
              </w:rPr>
              <w:t xml:space="preserve"> y auditorías de seguridad periódicas.</w:t>
            </w:r>
          </w:p>
          <w:p w:rsidR="00A602A9" w:rsidRDefault="009C5019">
            <w:pPr>
              <w:spacing w:before="40" w:after="40"/>
            </w:pPr>
            <w:r>
              <w:rPr>
                <w:b/>
                <w:bCs/>
                <w:color w:val="333333"/>
                <w:sz w:val="21"/>
                <w:szCs w:val="21"/>
              </w:rPr>
              <w:t xml:space="preserve">Acción: </w:t>
            </w:r>
            <w:r>
              <w:rPr>
                <w:b/>
                <w:bCs/>
                <w:color w:val="C0392B"/>
                <w:sz w:val="21"/>
                <w:szCs w:val="21"/>
              </w:rPr>
              <w:t>Mitigar</w:t>
            </w:r>
            <w:r>
              <w:rPr>
                <w:b/>
                <w:bCs/>
                <w:color w:val="333333"/>
                <w:sz w:val="21"/>
                <w:szCs w:val="21"/>
              </w:rPr>
              <w:t xml:space="preserve">     Dueño: </w:t>
            </w:r>
            <w:r>
              <w:rPr>
                <w:color w:val="1A1A1A"/>
                <w:sz w:val="21"/>
                <w:szCs w:val="21"/>
              </w:rPr>
              <w:t xml:space="preserve">Líder de Seguridad / </w:t>
            </w:r>
            <w:proofErr w:type="spellStart"/>
            <w:r>
              <w:rPr>
                <w:color w:val="1A1A1A"/>
                <w:sz w:val="21"/>
                <w:szCs w:val="21"/>
              </w:rPr>
              <w:t>DevOps</w:t>
            </w:r>
            <w:proofErr w:type="spellEnd"/>
          </w:p>
        </w:tc>
      </w:tr>
    </w:tbl>
    <w:p w:rsidR="00A602A9" w:rsidRDefault="00A602A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02A9">
        <w:tblPrEx>
          <w:tblCellMar>
            <w:top w:w="0" w:type="dxa"/>
            <w:bottom w:w="0" w:type="dxa"/>
          </w:tblCellMar>
        </w:tblPrEx>
        <w:tc>
          <w:tcPr>
            <w:tcW w:w="9360" w:type="dxa"/>
            <w:tcBorders>
              <w:top w:val="single" w:sz="8" w:space="0" w:color="7B1A4B"/>
              <w:left w:val="single" w:sz="24" w:space="0" w:color="7B1A4B"/>
              <w:bottom w:val="none" w:sz="0" w:space="0" w:color="FFFFFF"/>
              <w:right w:val="none" w:sz="0" w:space="0" w:color="FFFFFF"/>
            </w:tcBorders>
            <w:shd w:val="clear" w:color="auto" w:fill="F3E8EF"/>
            <w:tcMar>
              <w:top w:w="120" w:type="dxa"/>
              <w:left w:w="200" w:type="dxa"/>
              <w:bottom w:w="120" w:type="dxa"/>
              <w:right w:w="200" w:type="dxa"/>
            </w:tcMar>
          </w:tcPr>
          <w:p w:rsidR="00A602A9" w:rsidRDefault="009C5019">
            <w:pPr>
              <w:spacing w:before="40" w:after="40"/>
            </w:pPr>
            <w:r>
              <w:rPr>
                <w:i/>
                <w:iCs/>
                <w:color w:val="5A1A3A"/>
                <w:sz w:val="20"/>
                <w:szCs w:val="20"/>
              </w:rPr>
              <w:t>¿Por qué es crítico en la presentación? El sistema maneja información muy sensible de cientos de aspirantes. Un fallo de seguridad puede tener consecuencias legales para la universidad. La audiencia espera ver que este riesgo tiene un plan concreto y un re</w:t>
            </w:r>
            <w:r>
              <w:rPr>
                <w:i/>
                <w:iCs/>
                <w:color w:val="5A1A3A"/>
                <w:sz w:val="20"/>
                <w:szCs w:val="20"/>
              </w:rPr>
              <w:t>sponsable claro.</w:t>
            </w:r>
          </w:p>
        </w:tc>
      </w:tr>
    </w:tbl>
    <w:p w:rsidR="00A602A9" w:rsidRDefault="00A602A9">
      <w:pPr>
        <w:spacing w:before="160"/>
      </w:pPr>
    </w:p>
    <w:p w:rsidR="00A602A9" w:rsidRDefault="009C5019">
      <w:pPr>
        <w:pStyle w:val="Ttulo2"/>
      </w:pPr>
      <w:r>
        <w:t>R05 · Errores en el Motor de Puntuación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02A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392B"/>
            <w:tcMar>
              <w:top w:w="100" w:type="dxa"/>
              <w:left w:w="180" w:type="dxa"/>
              <w:bottom w:w="100" w:type="dxa"/>
              <w:right w:w="180" w:type="dxa"/>
            </w:tcMar>
          </w:tcPr>
          <w:p w:rsidR="00A602A9" w:rsidRDefault="009C5019">
            <w:r>
              <w:rPr>
                <w:b/>
                <w:bCs/>
                <w:color w:val="FFFFFF"/>
                <w:sz w:val="24"/>
                <w:szCs w:val="24"/>
              </w:rPr>
              <w:t xml:space="preserve">R05  </w:t>
            </w:r>
            <w:r>
              <w:rPr>
                <w:color w:val="FFFFFF"/>
                <w:sz w:val="20"/>
                <w:szCs w:val="20"/>
              </w:rPr>
              <w:t>DESARROLLO</w:t>
            </w:r>
            <w:r>
              <w:rPr>
                <w:b/>
                <w:bCs/>
                <w:color w:val="FFFFFF"/>
              </w:rPr>
              <w:t xml:space="preserve">    Prioridad: 15</w:t>
            </w:r>
          </w:p>
        </w:tc>
      </w:tr>
      <w:tr w:rsidR="00A602A9">
        <w:tblPrEx>
          <w:tblCellMar>
            <w:top w:w="0" w:type="dxa"/>
            <w:bottom w:w="0" w:type="dxa"/>
          </w:tblCellMar>
        </w:tblPrEx>
        <w:tc>
          <w:tcPr>
            <w:tcW w:w="9360" w:type="dxa"/>
            <w:tcBorders>
              <w:top w:val="none" w:sz="0" w:space="0" w:color="FFFFFF"/>
              <w:left w:val="single" w:sz="4" w:space="0" w:color="C0392B"/>
              <w:bottom w:val="single" w:sz="1" w:space="0" w:color="DDDDDD"/>
              <w:right w:val="none" w:sz="0" w:space="0" w:color="FFFFFF"/>
            </w:tcBorders>
            <w:shd w:val="clear" w:color="auto" w:fill="F5F5F5"/>
            <w:tcMar>
              <w:top w:w="100" w:type="dxa"/>
              <w:left w:w="180" w:type="dxa"/>
              <w:bottom w:w="100" w:type="dxa"/>
              <w:right w:w="180" w:type="dxa"/>
            </w:tcMar>
          </w:tcPr>
          <w:p w:rsidR="00A602A9" w:rsidRDefault="009C5019">
            <w:pPr>
              <w:spacing w:before="40" w:after="60"/>
            </w:pPr>
            <w:r>
              <w:rPr>
                <w:b/>
                <w:bCs/>
                <w:color w:val="333333"/>
                <w:sz w:val="21"/>
                <w:szCs w:val="21"/>
              </w:rPr>
              <w:t xml:space="preserve">Riesgo: </w:t>
            </w:r>
            <w:r>
              <w:rPr>
                <w:color w:val="1A1A1A"/>
                <w:sz w:val="21"/>
                <w:szCs w:val="21"/>
              </w:rPr>
              <w:t>Errores en el motor de reglas de puntuación (cálculo de prioridad en ranking) que otorguen puntajes incorrectos a los aspirantes.</w:t>
            </w:r>
          </w:p>
          <w:p w:rsidR="00A602A9" w:rsidRDefault="009C5019">
            <w:pPr>
              <w:spacing w:before="40" w:after="60"/>
            </w:pPr>
            <w:r>
              <w:rPr>
                <w:b/>
                <w:bCs/>
                <w:color w:val="333333"/>
                <w:sz w:val="21"/>
                <w:szCs w:val="21"/>
              </w:rPr>
              <w:t xml:space="preserve">Impacto si ocurre: </w:t>
            </w:r>
            <w:r>
              <w:rPr>
                <w:color w:val="1A1A1A"/>
                <w:sz w:val="21"/>
                <w:szCs w:val="21"/>
              </w:rPr>
              <w:t>Resultados injustos en el ranking, posibles impugnaciones legales y pérdida de credibilidad del proceso ante los aspirantes.</w:t>
            </w:r>
          </w:p>
          <w:p w:rsidR="00A602A9" w:rsidRDefault="009C5019">
            <w:pPr>
              <w:spacing w:before="40" w:after="60"/>
            </w:pPr>
            <w:r>
              <w:rPr>
                <w:b/>
                <w:bCs/>
                <w:color w:val="333333"/>
                <w:sz w:val="21"/>
                <w:szCs w:val="21"/>
              </w:rPr>
              <w:t xml:space="preserve">Estrategia: </w:t>
            </w:r>
            <w:r>
              <w:rPr>
                <w:color w:val="1A1A1A"/>
                <w:sz w:val="21"/>
                <w:szCs w:val="21"/>
              </w:rPr>
              <w:t xml:space="preserve">Desarrollar pruebas unitarias y de integración para el motor de reglas; validar casos de prueba con </w:t>
            </w:r>
            <w:r>
              <w:rPr>
                <w:color w:val="1A1A1A"/>
                <w:sz w:val="21"/>
                <w:szCs w:val="21"/>
              </w:rPr>
              <w:t>la Vicerrectoría Académica antes de producción.</w:t>
            </w:r>
          </w:p>
          <w:p w:rsidR="00A602A9" w:rsidRDefault="009C5019">
            <w:pPr>
              <w:spacing w:before="40" w:after="40"/>
            </w:pPr>
            <w:r>
              <w:rPr>
                <w:b/>
                <w:bCs/>
                <w:color w:val="333333"/>
                <w:sz w:val="21"/>
                <w:szCs w:val="21"/>
              </w:rPr>
              <w:lastRenderedPageBreak/>
              <w:t xml:space="preserve">Acción: </w:t>
            </w:r>
            <w:r>
              <w:rPr>
                <w:b/>
                <w:bCs/>
                <w:color w:val="C0392B"/>
                <w:sz w:val="21"/>
                <w:szCs w:val="21"/>
              </w:rPr>
              <w:t>Mitigar</w:t>
            </w:r>
            <w:r>
              <w:rPr>
                <w:b/>
                <w:bCs/>
                <w:color w:val="333333"/>
                <w:sz w:val="21"/>
                <w:szCs w:val="21"/>
              </w:rPr>
              <w:t xml:space="preserve">     Dueño: </w:t>
            </w:r>
            <w:r>
              <w:rPr>
                <w:color w:val="1A1A1A"/>
                <w:sz w:val="21"/>
                <w:szCs w:val="21"/>
              </w:rPr>
              <w:t>QA / Líder de Desarrollo</w:t>
            </w:r>
          </w:p>
        </w:tc>
      </w:tr>
    </w:tbl>
    <w:p w:rsidR="00A602A9" w:rsidRDefault="00A602A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02A9">
        <w:tblPrEx>
          <w:tblCellMar>
            <w:top w:w="0" w:type="dxa"/>
            <w:bottom w:w="0" w:type="dxa"/>
          </w:tblCellMar>
        </w:tblPrEx>
        <w:tc>
          <w:tcPr>
            <w:tcW w:w="9360" w:type="dxa"/>
            <w:tcBorders>
              <w:top w:val="single" w:sz="8" w:space="0" w:color="7B1A4B"/>
              <w:left w:val="single" w:sz="24" w:space="0" w:color="7B1A4B"/>
              <w:bottom w:val="none" w:sz="0" w:space="0" w:color="FFFFFF"/>
              <w:right w:val="none" w:sz="0" w:space="0" w:color="FFFFFF"/>
            </w:tcBorders>
            <w:shd w:val="clear" w:color="auto" w:fill="F3E8EF"/>
            <w:tcMar>
              <w:top w:w="120" w:type="dxa"/>
              <w:left w:w="200" w:type="dxa"/>
              <w:bottom w:w="120" w:type="dxa"/>
              <w:right w:w="200" w:type="dxa"/>
            </w:tcMar>
          </w:tcPr>
          <w:p w:rsidR="00A602A9" w:rsidRDefault="009C5019">
            <w:pPr>
              <w:spacing w:before="40" w:after="40"/>
            </w:pPr>
            <w:r>
              <w:rPr>
                <w:i/>
                <w:iCs/>
                <w:color w:val="5A1A3A"/>
                <w:sz w:val="20"/>
                <w:szCs w:val="20"/>
              </w:rPr>
              <w:t>¿Por qué es crítico en la presentación? El ranking determina quién obtiene o pierde una plaza docente. Un error aquí compromete la integridad de toda la convocatoria y puede derivar en demandas. Es el riesgo de mayor visibilidad institucional.</w:t>
            </w:r>
          </w:p>
        </w:tc>
      </w:tr>
    </w:tbl>
    <w:p w:rsidR="00040B8D" w:rsidRDefault="00040B8D" w:rsidP="00040B8D">
      <w:pPr>
        <w:pStyle w:val="Ttulo1"/>
        <w:pBdr>
          <w:bottom w:val="single" w:sz="8" w:space="6" w:color="7B1A4B"/>
        </w:pBdr>
      </w:pPr>
      <w:r>
        <w:t>5. Riesgos de Prioridad Media (Planificar en Sprint)</w:t>
      </w:r>
    </w:p>
    <w:p w:rsidR="00A602A9" w:rsidRDefault="009C5019">
      <w:pPr>
        <w:spacing w:before="80" w:after="80"/>
      </w:pPr>
      <w:bookmarkStart w:id="0" w:name="_GoBack"/>
      <w:bookmarkEnd w:id="0"/>
      <w:r>
        <w:rPr>
          <w:color w:val="1A1A1A"/>
        </w:rPr>
        <w:t>C</w:t>
      </w:r>
      <w:r>
        <w:rPr>
          <w:color w:val="1A1A1A"/>
        </w:rPr>
        <w:t xml:space="preserve">uatro riesgos se encuentran en zona media (9–14). Deben incluirse en el </w:t>
      </w:r>
      <w:proofErr w:type="spellStart"/>
      <w:r>
        <w:rPr>
          <w:color w:val="1A1A1A"/>
        </w:rPr>
        <w:t>backlog</w:t>
      </w:r>
      <w:proofErr w:type="spellEnd"/>
      <w:r>
        <w:rPr>
          <w:color w:val="1A1A1A"/>
        </w:rPr>
        <w:t xml:space="preserve"> con historias de usuario dedicadas a su mitigación.</w:t>
      </w:r>
    </w:p>
    <w:p w:rsidR="00A602A9" w:rsidRDefault="00A602A9">
      <w:pPr>
        <w:spacing w:before="120"/>
      </w:pPr>
    </w:p>
    <w:p w:rsidR="00A602A9" w:rsidRDefault="009C5019">
      <w:pPr>
        <w:pStyle w:val="Ttulo2"/>
      </w:pPr>
      <w:r>
        <w:t xml:space="preserve">R02 · Fallo del Servicio de IA para Extracción de </w:t>
      </w:r>
      <w:proofErr w:type="gramStart"/>
      <w:r>
        <w:t>HV  (</w:t>
      </w:r>
      <w:proofErr w:type="gramEnd"/>
      <w:r>
        <w:t>Prioridad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02A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471A3"/>
            <w:tcMar>
              <w:top w:w="100" w:type="dxa"/>
              <w:left w:w="180" w:type="dxa"/>
              <w:bottom w:w="100" w:type="dxa"/>
              <w:right w:w="180" w:type="dxa"/>
            </w:tcMar>
          </w:tcPr>
          <w:p w:rsidR="00A602A9" w:rsidRDefault="009C5019">
            <w:r>
              <w:rPr>
                <w:b/>
                <w:bCs/>
                <w:color w:val="FFFFFF"/>
                <w:sz w:val="24"/>
                <w:szCs w:val="24"/>
              </w:rPr>
              <w:t xml:space="preserve">R02  </w:t>
            </w:r>
            <w:r>
              <w:rPr>
                <w:color w:val="FFFFFF"/>
                <w:sz w:val="20"/>
                <w:szCs w:val="20"/>
              </w:rPr>
              <w:t>TECNOLÓGICO</w:t>
            </w:r>
            <w:r>
              <w:rPr>
                <w:b/>
                <w:bCs/>
                <w:color w:val="FFFFFF"/>
              </w:rPr>
              <w:t xml:space="preserve">    Prioridad: 12</w:t>
            </w:r>
          </w:p>
        </w:tc>
      </w:tr>
      <w:tr w:rsidR="00A602A9">
        <w:tblPrEx>
          <w:tblCellMar>
            <w:top w:w="0" w:type="dxa"/>
            <w:bottom w:w="0" w:type="dxa"/>
          </w:tblCellMar>
        </w:tblPrEx>
        <w:tc>
          <w:tcPr>
            <w:tcW w:w="9360" w:type="dxa"/>
            <w:tcBorders>
              <w:top w:val="none" w:sz="0" w:space="0" w:color="FFFFFF"/>
              <w:left w:val="single" w:sz="4" w:space="0" w:color="2471A3"/>
              <w:bottom w:val="single" w:sz="1" w:space="0" w:color="DDDDDD"/>
              <w:right w:val="none" w:sz="0" w:space="0" w:color="FFFFFF"/>
            </w:tcBorders>
            <w:shd w:val="clear" w:color="auto" w:fill="F5F5F5"/>
            <w:tcMar>
              <w:top w:w="100" w:type="dxa"/>
              <w:left w:w="180" w:type="dxa"/>
              <w:bottom w:w="100" w:type="dxa"/>
              <w:right w:w="180" w:type="dxa"/>
            </w:tcMar>
          </w:tcPr>
          <w:p w:rsidR="00A602A9" w:rsidRDefault="009C5019">
            <w:pPr>
              <w:spacing w:before="40" w:after="60"/>
            </w:pPr>
            <w:r>
              <w:rPr>
                <w:b/>
                <w:bCs/>
                <w:color w:val="333333"/>
                <w:sz w:val="21"/>
                <w:szCs w:val="21"/>
              </w:rPr>
              <w:t xml:space="preserve">Riesgo: </w:t>
            </w:r>
            <w:r>
              <w:rPr>
                <w:color w:val="1A1A1A"/>
                <w:sz w:val="21"/>
                <w:szCs w:val="21"/>
              </w:rPr>
              <w:t>Fallo o indisponibilidad del servicio de IA que extrae información de la hoja de vida (PDF/DOCX) en la etapa de carga.</w:t>
            </w:r>
          </w:p>
          <w:p w:rsidR="00A602A9" w:rsidRDefault="009C5019">
            <w:pPr>
              <w:spacing w:before="40" w:after="60"/>
            </w:pPr>
            <w:r>
              <w:rPr>
                <w:b/>
                <w:bCs/>
                <w:color w:val="333333"/>
                <w:sz w:val="21"/>
                <w:szCs w:val="21"/>
              </w:rPr>
              <w:t xml:space="preserve">Impacto si ocurre: </w:t>
            </w:r>
            <w:r>
              <w:rPr>
                <w:color w:val="1A1A1A"/>
                <w:sz w:val="21"/>
                <w:szCs w:val="21"/>
              </w:rPr>
              <w:t>Los aspirantes no pueden completar su postulación, generando retrasos en el proceso de convocatoria.</w:t>
            </w:r>
          </w:p>
          <w:p w:rsidR="00A602A9" w:rsidRDefault="009C5019">
            <w:pPr>
              <w:spacing w:before="40" w:after="60"/>
            </w:pPr>
            <w:r>
              <w:rPr>
                <w:b/>
                <w:bCs/>
                <w:color w:val="333333"/>
                <w:sz w:val="21"/>
                <w:szCs w:val="21"/>
              </w:rPr>
              <w:t xml:space="preserve">Estrategia: </w:t>
            </w:r>
            <w:r>
              <w:rPr>
                <w:color w:val="1A1A1A"/>
                <w:sz w:val="21"/>
                <w:szCs w:val="21"/>
              </w:rPr>
              <w:t>Implementar modo manual como alternativa ("Ingresar datos manualmente"), monitoreo del servicio de IA y reintentos automáticos.</w:t>
            </w:r>
          </w:p>
          <w:p w:rsidR="00A602A9" w:rsidRDefault="009C5019">
            <w:pPr>
              <w:spacing w:before="40" w:after="40"/>
            </w:pPr>
            <w:r>
              <w:rPr>
                <w:b/>
                <w:bCs/>
                <w:color w:val="333333"/>
                <w:sz w:val="21"/>
                <w:szCs w:val="21"/>
              </w:rPr>
              <w:t xml:space="preserve">Acción: </w:t>
            </w:r>
            <w:r>
              <w:rPr>
                <w:b/>
                <w:bCs/>
                <w:color w:val="E67E22"/>
                <w:sz w:val="21"/>
                <w:szCs w:val="21"/>
              </w:rPr>
              <w:t>Mitigar</w:t>
            </w:r>
            <w:r>
              <w:rPr>
                <w:b/>
                <w:bCs/>
                <w:color w:val="333333"/>
                <w:sz w:val="21"/>
                <w:szCs w:val="21"/>
              </w:rPr>
              <w:t xml:space="preserve">     Dueño: </w:t>
            </w:r>
            <w:r>
              <w:rPr>
                <w:color w:val="1A1A1A"/>
                <w:sz w:val="21"/>
                <w:szCs w:val="21"/>
              </w:rPr>
              <w:t>Líder de Desarrollo</w:t>
            </w:r>
          </w:p>
        </w:tc>
      </w:tr>
    </w:tbl>
    <w:p w:rsidR="00A602A9" w:rsidRDefault="00A602A9">
      <w:pPr>
        <w:spacing w:before="120"/>
      </w:pPr>
    </w:p>
    <w:p w:rsidR="00A602A9" w:rsidRDefault="009C5019">
      <w:pPr>
        <w:pStyle w:val="Ttulo2"/>
      </w:pPr>
      <w:r>
        <w:t xml:space="preserve">R04 · Subestimación del Módulo de </w:t>
      </w:r>
      <w:proofErr w:type="gramStart"/>
      <w:r>
        <w:t>Puntuación  (</w:t>
      </w:r>
      <w:proofErr w:type="gramEnd"/>
      <w:r>
        <w:t>Prioridad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02A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E44AD"/>
            <w:tcMar>
              <w:top w:w="100" w:type="dxa"/>
              <w:left w:w="180" w:type="dxa"/>
              <w:bottom w:w="100" w:type="dxa"/>
              <w:right w:w="180" w:type="dxa"/>
            </w:tcMar>
          </w:tcPr>
          <w:p w:rsidR="00A602A9" w:rsidRDefault="009C5019">
            <w:r>
              <w:rPr>
                <w:b/>
                <w:bCs/>
                <w:color w:val="FFFFFF"/>
                <w:sz w:val="24"/>
                <w:szCs w:val="24"/>
              </w:rPr>
              <w:t xml:space="preserve">R04  </w:t>
            </w:r>
            <w:r>
              <w:rPr>
                <w:color w:val="FFFFFF"/>
                <w:sz w:val="20"/>
                <w:szCs w:val="20"/>
              </w:rPr>
              <w:t>ESTIMACIÓN</w:t>
            </w:r>
            <w:r>
              <w:rPr>
                <w:b/>
                <w:bCs/>
                <w:color w:val="FFFFFF"/>
              </w:rPr>
              <w:t xml:space="preserve">    Prioridad: 12</w:t>
            </w:r>
          </w:p>
        </w:tc>
      </w:tr>
      <w:tr w:rsidR="00A602A9">
        <w:tblPrEx>
          <w:tblCellMar>
            <w:top w:w="0" w:type="dxa"/>
            <w:bottom w:w="0" w:type="dxa"/>
          </w:tblCellMar>
        </w:tblPrEx>
        <w:tc>
          <w:tcPr>
            <w:tcW w:w="9360" w:type="dxa"/>
            <w:tcBorders>
              <w:top w:val="none" w:sz="0" w:space="0" w:color="FFFFFF"/>
              <w:left w:val="single" w:sz="4" w:space="0" w:color="8E44AD"/>
              <w:bottom w:val="single" w:sz="1" w:space="0" w:color="DDDDDD"/>
              <w:right w:val="none" w:sz="0" w:space="0" w:color="FFFFFF"/>
            </w:tcBorders>
            <w:shd w:val="clear" w:color="auto" w:fill="F5F5F5"/>
            <w:tcMar>
              <w:top w:w="100" w:type="dxa"/>
              <w:left w:w="180" w:type="dxa"/>
              <w:bottom w:w="100" w:type="dxa"/>
              <w:right w:w="180" w:type="dxa"/>
            </w:tcMar>
          </w:tcPr>
          <w:p w:rsidR="00A602A9" w:rsidRDefault="009C5019">
            <w:pPr>
              <w:spacing w:before="40" w:after="60"/>
            </w:pPr>
            <w:r>
              <w:rPr>
                <w:b/>
                <w:bCs/>
                <w:color w:val="333333"/>
                <w:sz w:val="21"/>
                <w:szCs w:val="21"/>
              </w:rPr>
              <w:t xml:space="preserve">Riesgo: </w:t>
            </w:r>
            <w:r>
              <w:rPr>
                <w:color w:val="1A1A1A"/>
                <w:sz w:val="21"/>
                <w:szCs w:val="21"/>
              </w:rPr>
              <w:t>Subestimación del tiempo para desarrollar el módulo de cálculo automático de puntajes por categoría (formación, experiencia, producción académica, etc.).</w:t>
            </w:r>
          </w:p>
          <w:p w:rsidR="00A602A9" w:rsidRDefault="009C5019">
            <w:pPr>
              <w:spacing w:before="40" w:after="60"/>
            </w:pPr>
            <w:r>
              <w:rPr>
                <w:b/>
                <w:bCs/>
                <w:color w:val="333333"/>
                <w:sz w:val="21"/>
                <w:szCs w:val="21"/>
              </w:rPr>
              <w:t xml:space="preserve">Impacto si ocurre: </w:t>
            </w:r>
            <w:r>
              <w:rPr>
                <w:color w:val="1A1A1A"/>
                <w:sz w:val="21"/>
                <w:szCs w:val="21"/>
              </w:rPr>
              <w:t>Retraso en la entrega del sistema, afectando los plazos de la convocatoria 205.</w:t>
            </w:r>
          </w:p>
          <w:p w:rsidR="00A602A9" w:rsidRDefault="009C5019">
            <w:pPr>
              <w:spacing w:before="40" w:after="60"/>
            </w:pPr>
            <w:r>
              <w:rPr>
                <w:b/>
                <w:bCs/>
                <w:color w:val="333333"/>
                <w:sz w:val="21"/>
                <w:szCs w:val="21"/>
              </w:rPr>
              <w:t>Est</w:t>
            </w:r>
            <w:r>
              <w:rPr>
                <w:b/>
                <w:bCs/>
                <w:color w:val="333333"/>
                <w:sz w:val="21"/>
                <w:szCs w:val="21"/>
              </w:rPr>
              <w:t xml:space="preserve">rategia: </w:t>
            </w:r>
            <w:r>
              <w:rPr>
                <w:color w:val="1A1A1A"/>
                <w:sz w:val="21"/>
                <w:szCs w:val="21"/>
              </w:rPr>
              <w:t xml:space="preserve">Desglosar el módulo de puntuación en historias de usuario pequeñas, hacer estimaciones con </w:t>
            </w:r>
            <w:proofErr w:type="spellStart"/>
            <w:r>
              <w:rPr>
                <w:color w:val="1A1A1A"/>
                <w:sz w:val="21"/>
                <w:szCs w:val="21"/>
              </w:rPr>
              <w:t>Planning</w:t>
            </w:r>
            <w:proofErr w:type="spellEnd"/>
            <w:r>
              <w:rPr>
                <w:color w:val="1A1A1A"/>
                <w:sz w:val="21"/>
                <w:szCs w:val="21"/>
              </w:rPr>
              <w:t xml:space="preserve"> </w:t>
            </w:r>
            <w:proofErr w:type="spellStart"/>
            <w:r>
              <w:rPr>
                <w:color w:val="1A1A1A"/>
                <w:sz w:val="21"/>
                <w:szCs w:val="21"/>
              </w:rPr>
              <w:t>Poker</w:t>
            </w:r>
            <w:proofErr w:type="spellEnd"/>
            <w:r>
              <w:rPr>
                <w:color w:val="1A1A1A"/>
                <w:sz w:val="21"/>
                <w:szCs w:val="21"/>
              </w:rPr>
              <w:t xml:space="preserve"> y reservar buffer del 20%.</w:t>
            </w:r>
          </w:p>
          <w:p w:rsidR="00A602A9" w:rsidRDefault="009C5019">
            <w:pPr>
              <w:spacing w:before="40" w:after="40"/>
            </w:pPr>
            <w:r>
              <w:rPr>
                <w:b/>
                <w:bCs/>
                <w:color w:val="333333"/>
                <w:sz w:val="21"/>
                <w:szCs w:val="21"/>
              </w:rPr>
              <w:t xml:space="preserve">Acción: </w:t>
            </w:r>
            <w:r>
              <w:rPr>
                <w:b/>
                <w:bCs/>
                <w:color w:val="E67E22"/>
                <w:sz w:val="21"/>
                <w:szCs w:val="21"/>
              </w:rPr>
              <w:t>Mitigar</w:t>
            </w:r>
            <w:r>
              <w:rPr>
                <w:b/>
                <w:bCs/>
                <w:color w:val="333333"/>
                <w:sz w:val="21"/>
                <w:szCs w:val="21"/>
              </w:rPr>
              <w:t xml:space="preserve">     Dueño: </w:t>
            </w:r>
            <w:proofErr w:type="spellStart"/>
            <w:r>
              <w:rPr>
                <w:color w:val="1A1A1A"/>
                <w:sz w:val="21"/>
                <w:szCs w:val="21"/>
              </w:rPr>
              <w:t>Scrum</w:t>
            </w:r>
            <w:proofErr w:type="spellEnd"/>
            <w:r>
              <w:rPr>
                <w:color w:val="1A1A1A"/>
                <w:sz w:val="21"/>
                <w:szCs w:val="21"/>
              </w:rPr>
              <w:t xml:space="preserve"> Master / Equipo de Desarrollo</w:t>
            </w:r>
          </w:p>
        </w:tc>
      </w:tr>
    </w:tbl>
    <w:p w:rsidR="00A602A9" w:rsidRDefault="00A602A9">
      <w:pPr>
        <w:spacing w:before="120"/>
      </w:pPr>
    </w:p>
    <w:p w:rsidR="00A602A9" w:rsidRDefault="009C5019">
      <w:pPr>
        <w:pStyle w:val="Ttulo2"/>
      </w:pPr>
      <w:r>
        <w:t xml:space="preserve">R07 · Cierre de Convocatoria vs. Entrega del </w:t>
      </w:r>
      <w:proofErr w:type="gramStart"/>
      <w:r>
        <w:t>Sistema  (</w:t>
      </w:r>
      <w:proofErr w:type="gramEnd"/>
      <w:r>
        <w:t>Prioridad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02A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6A085"/>
            <w:tcMar>
              <w:top w:w="100" w:type="dxa"/>
              <w:left w:w="180" w:type="dxa"/>
              <w:bottom w:w="100" w:type="dxa"/>
              <w:right w:w="180" w:type="dxa"/>
            </w:tcMar>
          </w:tcPr>
          <w:p w:rsidR="00A602A9" w:rsidRDefault="009C5019">
            <w:r>
              <w:rPr>
                <w:b/>
                <w:bCs/>
                <w:color w:val="FFFFFF"/>
                <w:sz w:val="24"/>
                <w:szCs w:val="24"/>
              </w:rPr>
              <w:t xml:space="preserve">R07  </w:t>
            </w:r>
            <w:r>
              <w:rPr>
                <w:color w:val="FFFFFF"/>
                <w:sz w:val="20"/>
                <w:szCs w:val="20"/>
              </w:rPr>
              <w:t>LÍNEA DE TIEMPO</w:t>
            </w:r>
            <w:r>
              <w:rPr>
                <w:b/>
                <w:bCs/>
                <w:color w:val="FFFFFF"/>
              </w:rPr>
              <w:t xml:space="preserve">    Prioridad: 10</w:t>
            </w:r>
          </w:p>
        </w:tc>
      </w:tr>
      <w:tr w:rsidR="00A602A9">
        <w:tblPrEx>
          <w:tblCellMar>
            <w:top w:w="0" w:type="dxa"/>
            <w:bottom w:w="0" w:type="dxa"/>
          </w:tblCellMar>
        </w:tblPrEx>
        <w:tc>
          <w:tcPr>
            <w:tcW w:w="9360" w:type="dxa"/>
            <w:tcBorders>
              <w:top w:val="none" w:sz="0" w:space="0" w:color="FFFFFF"/>
              <w:left w:val="single" w:sz="4" w:space="0" w:color="16A085"/>
              <w:bottom w:val="single" w:sz="1" w:space="0" w:color="DDDDDD"/>
              <w:right w:val="none" w:sz="0" w:space="0" w:color="FFFFFF"/>
            </w:tcBorders>
            <w:shd w:val="clear" w:color="auto" w:fill="F5F5F5"/>
            <w:tcMar>
              <w:top w:w="100" w:type="dxa"/>
              <w:left w:w="180" w:type="dxa"/>
              <w:bottom w:w="100" w:type="dxa"/>
              <w:right w:w="180" w:type="dxa"/>
            </w:tcMar>
          </w:tcPr>
          <w:p w:rsidR="00A602A9" w:rsidRDefault="009C5019">
            <w:pPr>
              <w:spacing w:before="40" w:after="60"/>
            </w:pPr>
            <w:r>
              <w:rPr>
                <w:b/>
                <w:bCs/>
                <w:color w:val="333333"/>
                <w:sz w:val="21"/>
                <w:szCs w:val="21"/>
              </w:rPr>
              <w:lastRenderedPageBreak/>
              <w:t xml:space="preserve">Riesgo: </w:t>
            </w:r>
            <w:r>
              <w:rPr>
                <w:color w:val="1A1A1A"/>
                <w:sz w:val="21"/>
                <w:szCs w:val="21"/>
              </w:rPr>
              <w:t>La fecha de cierre de la Convocatoria 205 coincide con etapas críticas de desarrollo y pruebas del sistema.</w:t>
            </w:r>
          </w:p>
          <w:p w:rsidR="00A602A9" w:rsidRDefault="009C5019">
            <w:pPr>
              <w:spacing w:before="40" w:after="60"/>
            </w:pPr>
            <w:r>
              <w:rPr>
                <w:b/>
                <w:bCs/>
                <w:color w:val="333333"/>
                <w:sz w:val="21"/>
                <w:szCs w:val="21"/>
              </w:rPr>
              <w:t xml:space="preserve">Impacto si ocurre: </w:t>
            </w:r>
            <w:r>
              <w:rPr>
                <w:color w:val="1A1A1A"/>
                <w:sz w:val="21"/>
                <w:szCs w:val="21"/>
              </w:rPr>
              <w:t>El sistema no estará listo antes de que cierre la convocatoria, inutilizando el producto en su primer uso real.</w:t>
            </w:r>
          </w:p>
          <w:p w:rsidR="00A602A9" w:rsidRDefault="009C5019">
            <w:pPr>
              <w:spacing w:before="40" w:after="60"/>
            </w:pPr>
            <w:r>
              <w:rPr>
                <w:b/>
                <w:bCs/>
                <w:color w:val="333333"/>
                <w:sz w:val="21"/>
                <w:szCs w:val="21"/>
              </w:rPr>
              <w:t xml:space="preserve">Estrategia: </w:t>
            </w:r>
            <w:r>
              <w:rPr>
                <w:color w:val="1A1A1A"/>
                <w:sz w:val="21"/>
                <w:szCs w:val="21"/>
              </w:rPr>
              <w:t>Priorizar MVP con funcionalidades esenciales (registro, carga HV, puntuación básica), diferir mejoras no críticas a versiones poster</w:t>
            </w:r>
            <w:r>
              <w:rPr>
                <w:color w:val="1A1A1A"/>
                <w:sz w:val="21"/>
                <w:szCs w:val="21"/>
              </w:rPr>
              <w:t>iores.</w:t>
            </w:r>
          </w:p>
          <w:p w:rsidR="00A602A9" w:rsidRDefault="009C5019">
            <w:pPr>
              <w:spacing w:before="40" w:after="40"/>
            </w:pPr>
            <w:r>
              <w:rPr>
                <w:b/>
                <w:bCs/>
                <w:color w:val="333333"/>
                <w:sz w:val="21"/>
                <w:szCs w:val="21"/>
              </w:rPr>
              <w:t xml:space="preserve">Acción: </w:t>
            </w:r>
            <w:r>
              <w:rPr>
                <w:b/>
                <w:bCs/>
                <w:color w:val="E67E22"/>
                <w:sz w:val="21"/>
                <w:szCs w:val="21"/>
              </w:rPr>
              <w:t>Mitigar</w:t>
            </w:r>
            <w:r>
              <w:rPr>
                <w:b/>
                <w:bCs/>
                <w:color w:val="333333"/>
                <w:sz w:val="21"/>
                <w:szCs w:val="21"/>
              </w:rPr>
              <w:t xml:space="preserve">     Dueño: </w:t>
            </w:r>
            <w:r>
              <w:rPr>
                <w:color w:val="1A1A1A"/>
                <w:sz w:val="21"/>
                <w:szCs w:val="21"/>
              </w:rPr>
              <w:t>PM</w:t>
            </w:r>
          </w:p>
        </w:tc>
      </w:tr>
    </w:tbl>
    <w:p w:rsidR="00A602A9" w:rsidRDefault="00A602A9">
      <w:pPr>
        <w:spacing w:before="80"/>
      </w:pPr>
    </w:p>
    <w:sectPr w:rsidR="00A602A9">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5019" w:rsidRDefault="009C5019">
      <w:r>
        <w:separator/>
      </w:r>
    </w:p>
  </w:endnote>
  <w:endnote w:type="continuationSeparator" w:id="0">
    <w:p w:rsidR="009C5019" w:rsidRDefault="009C5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02A9" w:rsidRDefault="009C5019">
    <w:pPr>
      <w:pBdr>
        <w:top w:val="single" w:sz="4" w:space="6" w:color="7B1A4B"/>
      </w:pBdr>
      <w:tabs>
        <w:tab w:val="right" w:pos="9026"/>
      </w:tabs>
    </w:pPr>
    <w:r>
      <w:rPr>
        <w:color w:val="888888"/>
        <w:sz w:val="18"/>
        <w:szCs w:val="18"/>
      </w:rPr>
      <w:t>Convocatoria 205 Plazas Docentes 2024</w:t>
    </w:r>
    <w:r>
      <w:rPr>
        <w:color w:val="888888"/>
        <w:sz w:val="18"/>
        <w:szCs w:val="18"/>
      </w:rPr>
      <w:tab/>
      <w:t xml:space="preserve">Pág. </w:t>
    </w:r>
    <w:r>
      <w:rPr>
        <w:b/>
        <w:bCs/>
        <w:color w:val="7B1A4B"/>
        <w:sz w:val="18"/>
        <w:szCs w:val="18"/>
      </w:rPr>
      <w:fldChar w:fldCharType="begin"/>
    </w:r>
    <w:r>
      <w:rPr>
        <w:b/>
        <w:bCs/>
        <w:color w:val="7B1A4B"/>
        <w:sz w:val="18"/>
        <w:szCs w:val="18"/>
      </w:rPr>
      <w:instrText>PAGE</w:instrText>
    </w:r>
    <w:r w:rsidR="00040B8D">
      <w:rPr>
        <w:b/>
        <w:bCs/>
        <w:color w:val="7B1A4B"/>
        <w:sz w:val="18"/>
        <w:szCs w:val="18"/>
      </w:rPr>
      <w:fldChar w:fldCharType="separate"/>
    </w:r>
    <w:r w:rsidR="00040B8D">
      <w:rPr>
        <w:b/>
        <w:bCs/>
        <w:noProof/>
        <w:color w:val="7B1A4B"/>
        <w:sz w:val="18"/>
        <w:szCs w:val="18"/>
      </w:rPr>
      <w:t>5</w:t>
    </w:r>
    <w:r>
      <w:rPr>
        <w:b/>
        <w:bCs/>
        <w:color w:val="7B1A4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5019" w:rsidRDefault="009C5019">
      <w:r>
        <w:separator/>
      </w:r>
    </w:p>
  </w:footnote>
  <w:footnote w:type="continuationSeparator" w:id="0">
    <w:p w:rsidR="009C5019" w:rsidRDefault="009C50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02A9" w:rsidRDefault="009C5019">
    <w:pPr>
      <w:pBdr>
        <w:bottom w:val="single" w:sz="6" w:space="8" w:color="7B1A4B"/>
      </w:pBdr>
    </w:pPr>
    <w:r>
      <w:rPr>
        <w:color w:val="888888"/>
        <w:sz w:val="18"/>
        <w:szCs w:val="18"/>
      </w:rPr>
      <w:t xml:space="preserve">Manual de Gestión de </w:t>
    </w:r>
    <w:proofErr w:type="gramStart"/>
    <w:r>
      <w:rPr>
        <w:color w:val="888888"/>
        <w:sz w:val="18"/>
        <w:szCs w:val="18"/>
      </w:rPr>
      <w:t>Riesgos  |</w:t>
    </w:r>
    <w:proofErr w:type="gramEnd"/>
    <w:r>
      <w:rPr>
        <w:color w:val="888888"/>
        <w:sz w:val="18"/>
        <w:szCs w:val="18"/>
      </w:rPr>
      <w:t xml:space="preserve">  </w:t>
    </w:r>
    <w:r>
      <w:rPr>
        <w:b/>
        <w:bCs/>
        <w:color w:val="7B1A4B"/>
        <w:sz w:val="18"/>
        <w:szCs w:val="18"/>
      </w:rPr>
      <w:t>Sistema de Aspirantes Docentes</w:t>
    </w:r>
    <w:r>
      <w:rPr>
        <w:color w:val="888888"/>
        <w:sz w:val="18"/>
        <w:szCs w:val="18"/>
      </w:rPr>
      <w:t xml:space="preserve">  |  Universidad de Caldas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EF5F71"/>
    <w:multiLevelType w:val="hybridMultilevel"/>
    <w:tmpl w:val="68D2BB16"/>
    <w:lvl w:ilvl="0" w:tplc="C784B1EA">
      <w:start w:val="1"/>
      <w:numFmt w:val="bullet"/>
      <w:lvlText w:val="•"/>
      <w:lvlJc w:val="left"/>
      <w:pPr>
        <w:ind w:left="720" w:hanging="360"/>
      </w:pPr>
    </w:lvl>
    <w:lvl w:ilvl="1" w:tplc="D1007456">
      <w:numFmt w:val="decimal"/>
      <w:lvlText w:val=""/>
      <w:lvlJc w:val="left"/>
    </w:lvl>
    <w:lvl w:ilvl="2" w:tplc="6D84BDC8">
      <w:numFmt w:val="decimal"/>
      <w:lvlText w:val=""/>
      <w:lvlJc w:val="left"/>
    </w:lvl>
    <w:lvl w:ilvl="3" w:tplc="3800A630">
      <w:numFmt w:val="decimal"/>
      <w:lvlText w:val=""/>
      <w:lvlJc w:val="left"/>
    </w:lvl>
    <w:lvl w:ilvl="4" w:tplc="1818AF44">
      <w:numFmt w:val="decimal"/>
      <w:lvlText w:val=""/>
      <w:lvlJc w:val="left"/>
    </w:lvl>
    <w:lvl w:ilvl="5" w:tplc="3508F12C">
      <w:numFmt w:val="decimal"/>
      <w:lvlText w:val=""/>
      <w:lvlJc w:val="left"/>
    </w:lvl>
    <w:lvl w:ilvl="6" w:tplc="CD801CB6">
      <w:numFmt w:val="decimal"/>
      <w:lvlText w:val=""/>
      <w:lvlJc w:val="left"/>
    </w:lvl>
    <w:lvl w:ilvl="7" w:tplc="F4506216">
      <w:numFmt w:val="decimal"/>
      <w:lvlText w:val=""/>
      <w:lvlJc w:val="left"/>
    </w:lvl>
    <w:lvl w:ilvl="8" w:tplc="3C305950">
      <w:numFmt w:val="decimal"/>
      <w:lvlText w:val=""/>
      <w:lvlJc w:val="left"/>
    </w:lvl>
  </w:abstractNum>
  <w:abstractNum w:abstractNumId="1" w15:restartNumberingAfterBreak="0">
    <w:nsid w:val="6F34004D"/>
    <w:multiLevelType w:val="hybridMultilevel"/>
    <w:tmpl w:val="7B24A284"/>
    <w:lvl w:ilvl="0" w:tplc="48E86972">
      <w:start w:val="1"/>
      <w:numFmt w:val="decimal"/>
      <w:lvlText w:val="%1."/>
      <w:lvlJc w:val="left"/>
      <w:pPr>
        <w:ind w:left="720" w:hanging="360"/>
      </w:pPr>
    </w:lvl>
    <w:lvl w:ilvl="1" w:tplc="AAF623B2">
      <w:numFmt w:val="decimal"/>
      <w:lvlText w:val=""/>
      <w:lvlJc w:val="left"/>
    </w:lvl>
    <w:lvl w:ilvl="2" w:tplc="A7BC5C9A">
      <w:numFmt w:val="decimal"/>
      <w:lvlText w:val=""/>
      <w:lvlJc w:val="left"/>
    </w:lvl>
    <w:lvl w:ilvl="3" w:tplc="02E0B0F6">
      <w:numFmt w:val="decimal"/>
      <w:lvlText w:val=""/>
      <w:lvlJc w:val="left"/>
    </w:lvl>
    <w:lvl w:ilvl="4" w:tplc="585E7C22">
      <w:numFmt w:val="decimal"/>
      <w:lvlText w:val=""/>
      <w:lvlJc w:val="left"/>
    </w:lvl>
    <w:lvl w:ilvl="5" w:tplc="94B4672C">
      <w:numFmt w:val="decimal"/>
      <w:lvlText w:val=""/>
      <w:lvlJc w:val="left"/>
    </w:lvl>
    <w:lvl w:ilvl="6" w:tplc="7B669288">
      <w:numFmt w:val="decimal"/>
      <w:lvlText w:val=""/>
      <w:lvlJc w:val="left"/>
    </w:lvl>
    <w:lvl w:ilvl="7" w:tplc="D9A07944">
      <w:numFmt w:val="decimal"/>
      <w:lvlText w:val=""/>
      <w:lvlJc w:val="left"/>
    </w:lvl>
    <w:lvl w:ilvl="8" w:tplc="863C2ACA">
      <w:numFmt w:val="decimal"/>
      <w:lvlText w:val=""/>
      <w:lvlJc w:val="left"/>
    </w:lvl>
  </w:abstractNum>
  <w:abstractNum w:abstractNumId="2" w15:restartNumberingAfterBreak="0">
    <w:nsid w:val="79760350"/>
    <w:multiLevelType w:val="hybridMultilevel"/>
    <w:tmpl w:val="9B94E52A"/>
    <w:lvl w:ilvl="0" w:tplc="1180A336">
      <w:start w:val="1"/>
      <w:numFmt w:val="bullet"/>
      <w:lvlText w:val="●"/>
      <w:lvlJc w:val="left"/>
      <w:pPr>
        <w:ind w:left="720" w:hanging="360"/>
      </w:pPr>
    </w:lvl>
    <w:lvl w:ilvl="1" w:tplc="F1B41DBE">
      <w:start w:val="1"/>
      <w:numFmt w:val="bullet"/>
      <w:lvlText w:val="○"/>
      <w:lvlJc w:val="left"/>
      <w:pPr>
        <w:ind w:left="1440" w:hanging="360"/>
      </w:pPr>
    </w:lvl>
    <w:lvl w:ilvl="2" w:tplc="7E5ACCB0">
      <w:start w:val="1"/>
      <w:numFmt w:val="bullet"/>
      <w:lvlText w:val="■"/>
      <w:lvlJc w:val="left"/>
      <w:pPr>
        <w:ind w:left="2160" w:hanging="360"/>
      </w:pPr>
    </w:lvl>
    <w:lvl w:ilvl="3" w:tplc="25662268">
      <w:start w:val="1"/>
      <w:numFmt w:val="bullet"/>
      <w:lvlText w:val="●"/>
      <w:lvlJc w:val="left"/>
      <w:pPr>
        <w:ind w:left="2880" w:hanging="360"/>
      </w:pPr>
    </w:lvl>
    <w:lvl w:ilvl="4" w:tplc="6DA82422">
      <w:start w:val="1"/>
      <w:numFmt w:val="bullet"/>
      <w:lvlText w:val="○"/>
      <w:lvlJc w:val="left"/>
      <w:pPr>
        <w:ind w:left="3600" w:hanging="360"/>
      </w:pPr>
    </w:lvl>
    <w:lvl w:ilvl="5" w:tplc="752C998C">
      <w:start w:val="1"/>
      <w:numFmt w:val="bullet"/>
      <w:lvlText w:val="■"/>
      <w:lvlJc w:val="left"/>
      <w:pPr>
        <w:ind w:left="4320" w:hanging="360"/>
      </w:pPr>
    </w:lvl>
    <w:lvl w:ilvl="6" w:tplc="356E07B2">
      <w:start w:val="1"/>
      <w:numFmt w:val="bullet"/>
      <w:lvlText w:val="●"/>
      <w:lvlJc w:val="left"/>
      <w:pPr>
        <w:ind w:left="5040" w:hanging="360"/>
      </w:pPr>
    </w:lvl>
    <w:lvl w:ilvl="7" w:tplc="8C423ED2">
      <w:start w:val="1"/>
      <w:numFmt w:val="bullet"/>
      <w:lvlText w:val="●"/>
      <w:lvlJc w:val="left"/>
      <w:pPr>
        <w:ind w:left="5760" w:hanging="360"/>
      </w:pPr>
    </w:lvl>
    <w:lvl w:ilvl="8" w:tplc="7AB63AA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2A9"/>
    <w:rsid w:val="00040B8D"/>
    <w:rsid w:val="009C5019"/>
    <w:rsid w:val="00A602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61056"/>
  <w15:docId w15:val="{5EC8CAD5-54E7-4DE3-A1F1-26DE2083F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link w:val="Ttulo1Car"/>
    <w:qFormat/>
    <w:pPr>
      <w:spacing w:before="360" w:after="160"/>
      <w:outlineLvl w:val="0"/>
    </w:pPr>
    <w:rPr>
      <w:b/>
      <w:bCs/>
      <w:color w:val="7B1A4B"/>
      <w:sz w:val="32"/>
      <w:szCs w:val="32"/>
    </w:rPr>
  </w:style>
  <w:style w:type="paragraph" w:styleId="Ttulo2">
    <w:name w:val="heading 2"/>
    <w:qFormat/>
    <w:pPr>
      <w:spacing w:before="280" w:after="120"/>
      <w:outlineLvl w:val="1"/>
    </w:pPr>
    <w:rPr>
      <w:b/>
      <w:bCs/>
      <w:color w:val="7B1A4B"/>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rsid w:val="00040B8D"/>
    <w:rPr>
      <w:b/>
      <w:bCs/>
      <w:color w:val="7B1A4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2FE29-D190-4E91-9DF4-7ACCCD7C6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916</Words>
  <Characters>5041</Characters>
  <Application>Microsoft Office Word</Application>
  <DocSecurity>0</DocSecurity>
  <Lines>42</Lines>
  <Paragraphs>11</Paragraphs>
  <ScaleCrop>false</ScaleCrop>
  <Company>HP</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Ospi .</cp:lastModifiedBy>
  <cp:revision>2</cp:revision>
  <dcterms:created xsi:type="dcterms:W3CDTF">2026-05-19T21:07:00Z</dcterms:created>
  <dcterms:modified xsi:type="dcterms:W3CDTF">2026-05-19T21:19:00Z</dcterms:modified>
</cp:coreProperties>
</file>