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Documentación Técnica del Tablero Scrumban: Proyecto Sign College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David Bulla - 56572</w:t>
        <w:br w:type="textWrapping"/>
        <w:t xml:space="preserve">Maria Paz Martinez - 53893</w:t>
        <w:br w:type="textWrapping"/>
        <w:t xml:space="preserve">Juan Esteban Ospina - 56736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Facultad de Ingeniería</w:t>
        <w:br w:type="textWrapping"/>
        <w:t xml:space="preserve">Gestión de Proyectos de Software</w:t>
        <w:br w:type="textWrapping"/>
        <w:t xml:space="preserve">Universidad de Caldas</w:t>
        <w:br w:type="textWrapping"/>
        <w:t xml:space="preserve">Mayo 19,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Documentación Técnica del Tablero Scrumban</w:t>
      </w:r>
      <w:r w:rsidDel="00000000" w:rsidR="00000000" w:rsidRPr="00000000">
        <w:rPr>
          <w:rtl w:val="0"/>
        </w:rPr>
      </w:r>
    </w:p>
    <w:p w:rsidR="00000000" w:rsidDel="00000000" w:rsidP="00000000" w:rsidRDefault="00000000" w:rsidRPr="00000000" w14:paraId="00000010">
      <w:pPr>
        <w:spacing w:line="480" w:lineRule="auto"/>
        <w:ind w:firstLine="720"/>
        <w:jc w:val="both"/>
        <w:rPr/>
      </w:pPr>
      <w:r w:rsidDel="00000000" w:rsidR="00000000" w:rsidRPr="00000000">
        <w:rPr>
          <w:rtl w:val="0"/>
        </w:rPr>
        <w:t xml:space="preserve">La gestión del proyecto Sign College se fundamenta en la metodología Scrumban, una propuesta híbrida que aprovecha la rigurosidad estructural de Scrum con la flexibilidad visual y el enfoque en el flujo de Kanban. Esta documentación describe la arquitectura de los repositorios, la taxonomía de tareas y el flujo de automatización implementado.</w:t>
      </w:r>
    </w:p>
    <w:p w:rsidR="00000000" w:rsidDel="00000000" w:rsidP="00000000" w:rsidRDefault="00000000" w:rsidRPr="00000000" w14:paraId="00000011">
      <w:pPr>
        <w:rPr/>
      </w:pPr>
      <w:r w:rsidDel="00000000" w:rsidR="00000000" w:rsidRPr="00000000">
        <w:rPr>
          <w:b w:val="1"/>
          <w:bCs w:val="1"/>
          <w:rtl w:val="0"/>
        </w:rPr>
        <w:t xml:space="preserve">Metodología de Trabajo</w:t>
      </w:r>
      <w:r w:rsidDel="00000000" w:rsidR="00000000" w:rsidRPr="00000000">
        <w:rPr>
          <w:rtl w:val="0"/>
        </w:rPr>
      </w:r>
    </w:p>
    <w:p w:rsidR="00000000" w:rsidDel="00000000" w:rsidP="00000000" w:rsidRDefault="00000000" w:rsidRPr="00000000" w14:paraId="00000012">
      <w:pPr>
        <w:spacing w:line="480" w:lineRule="auto"/>
        <w:ind w:firstLine="720"/>
        <w:jc w:val="both"/>
        <w:rPr/>
      </w:pPr>
      <w:r w:rsidDel="00000000" w:rsidR="00000000" w:rsidRPr="00000000">
        <w:rPr>
          <w:rtl w:val="0"/>
        </w:rPr>
        <w:t xml:space="preserve">Se ha implementado un sistema de Pull Systems para evitar la sobrecarga del equipo. El tablero se divide en dos repositorios principales para separar las responsabilidades de desarrollo, permitiendo una integración continua más limpia y una gestión de errores especializada por capa tecnológica.</w:t>
      </w:r>
    </w:p>
    <w:p w:rsidR="00000000" w:rsidDel="00000000" w:rsidP="00000000" w:rsidRDefault="00000000" w:rsidRPr="00000000" w14:paraId="00000013">
      <w:pPr>
        <w:rPr/>
      </w:pPr>
      <w:r w:rsidDel="00000000" w:rsidR="00000000" w:rsidRPr="00000000">
        <w:rPr>
          <w:b w:val="1"/>
          <w:bCs w:val="1"/>
          <w:rtl w:val="0"/>
        </w:rPr>
        <w:t xml:space="preserve">Estructura de Repositorios</w:t>
      </w:r>
      <w:r w:rsidDel="00000000" w:rsidR="00000000" w:rsidRPr="00000000">
        <w:rPr>
          <w:rtl w:val="0"/>
        </w:rPr>
      </w:r>
    </w:p>
    <w:p w:rsidR="00000000" w:rsidDel="00000000" w:rsidP="00000000" w:rsidRDefault="00000000" w:rsidRPr="00000000" w14:paraId="00000014">
      <w:pPr>
        <w:spacing w:line="480" w:lineRule="auto"/>
        <w:ind w:firstLine="720"/>
        <w:jc w:val="both"/>
        <w:rPr/>
      </w:pPr>
      <w:r w:rsidDel="00000000" w:rsidR="00000000" w:rsidRPr="00000000">
        <w:rPr>
          <w:rtl w:val="0"/>
        </w:rPr>
        <w:t xml:space="preserve">Se han definido dos entornos de trabajo principales:</w:t>
      </w:r>
    </w:p>
    <w:p w:rsidR="00000000" w:rsidDel="00000000" w:rsidP="00000000" w:rsidRDefault="00000000" w:rsidRPr="00000000" w14:paraId="00000015">
      <w:pPr>
        <w:spacing w:line="480" w:lineRule="auto"/>
        <w:jc w:val="both"/>
        <w:rPr/>
      </w:pPr>
      <w:r w:rsidDel="00000000" w:rsidR="00000000" w:rsidRPr="00000000">
        <w:rPr>
          <w:rtl w:val="0"/>
        </w:rPr>
        <w:t xml:space="preserve">1. sign_college_frontend: Responsable de la Interfaz de Usuario (UI/UX) y lógica de cliente. Prefijos asociados: FE, QA.</w:t>
      </w:r>
    </w:p>
    <w:p w:rsidR="00000000" w:rsidDel="00000000" w:rsidP="00000000" w:rsidRDefault="00000000" w:rsidRPr="00000000" w14:paraId="00000016">
      <w:pPr>
        <w:spacing w:line="480" w:lineRule="auto"/>
        <w:jc w:val="both"/>
        <w:rPr/>
      </w:pPr>
      <w:r w:rsidDel="00000000" w:rsidR="00000000" w:rsidRPr="00000000">
        <w:rPr>
          <w:rtl w:val="0"/>
        </w:rPr>
        <w:t xml:space="preserve">2. sign_college_backend: Responsable de servicios, lógica de negocio y datos. Prefijos asociados: BE, DOC, PM, RISK.</w:t>
      </w:r>
    </w:p>
    <w:p w:rsidR="00000000" w:rsidDel="00000000" w:rsidP="00000000" w:rsidRDefault="00000000" w:rsidRPr="00000000" w14:paraId="00000017">
      <w:pPr>
        <w:rPr/>
      </w:pPr>
      <w:r w:rsidDel="00000000" w:rsidR="00000000" w:rsidRPr="00000000">
        <w:rPr>
          <w:b w:val="1"/>
          <w:bCs w:val="1"/>
          <w:rtl w:val="0"/>
        </w:rPr>
        <w:t xml:space="preserve">Taxonomía de Tareas (Acrónimos)</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tl w:val="0"/>
        </w:rPr>
        <w:t xml:space="preserve">Para garantizar un flujo de trabajo realista en Scrumban, cada tarea en el backlog posee un prefijo que define su naturaleza: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 (Front-End): Desarrollo de componentes visuales y estados de cliente.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(Back-End): Implementación de endpoints y modelos de base de datos.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 (Documentación): Artefactos técnicos como UML, MER e Historias de Usuario.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(Quality Assurance): Pruebas unitarias y validación de aceptación.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 (Project Management): Coordinación y planificación de Sprints.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(Riesgos): Identificación de bloqueos críticos.</w:t>
      </w:r>
    </w:p>
    <w:p w:rsidR="00000000" w:rsidDel="00000000" w:rsidP="00000000" w:rsidRDefault="00000000" w:rsidRPr="00000000" w14:paraId="0000001F">
      <w:pPr>
        <w:rPr/>
      </w:pPr>
      <w:r w:rsidDel="00000000" w:rsidR="00000000" w:rsidRPr="00000000">
        <w:rPr>
          <w:b w:val="1"/>
          <w:bCs w:val="1"/>
          <w:rtl w:val="0"/>
        </w:rPr>
        <w:t xml:space="preserve">Gestión de Sprints e Hitos</w:t>
      </w: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tl w:val="0"/>
        </w:rPr>
        <w:t xml:space="preserve">El proyecto se organiza en hitos temporales (Milestones):</w:t>
      </w:r>
    </w:p>
    <w:p w:rsidR="00000000" w:rsidDel="00000000" w:rsidP="00000000" w:rsidRDefault="00000000" w:rsidRPr="00000000" w14:paraId="00000021">
      <w:pPr>
        <w:spacing w:line="480" w:lineRule="auto"/>
        <w:jc w:val="both"/>
        <w:rPr/>
      </w:pPr>
      <w:r w:rsidDel="00000000" w:rsidR="00000000" w:rsidRPr="00000000">
        <w:rPr>
          <w:rtl w:val="0"/>
        </w:rPr>
        <w:t xml:space="preserve">- Entrega 2 (2026-05-19): Foco en los primeros 3 casos de uso base.</w:t>
      </w:r>
    </w:p>
    <w:p w:rsidR="00000000" w:rsidDel="00000000" w:rsidP="00000000" w:rsidRDefault="00000000" w:rsidRPr="00000000" w14:paraId="00000022">
      <w:pPr>
        <w:spacing w:line="480" w:lineRule="auto"/>
        <w:jc w:val="both"/>
        <w:rPr/>
      </w:pPr>
      <w:r w:rsidDel="00000000" w:rsidR="00000000" w:rsidRPr="00000000">
        <w:rPr>
          <w:rtl w:val="0"/>
        </w:rPr>
        <w:t xml:space="preserve">- Sprint Final (2026-06-08): Cierre del ciclo de vida y entrega final.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