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w:t>
      </w:r>
      <w:proofErr w:type="gramStart"/>
      <w:r w:rsidR="00846C24" w:rsidRPr="00906E69">
        <w:rPr>
          <w:rFonts w:cstheme="minorHAnsi"/>
          <w:highlight w:val="yellow"/>
        </w:rPr>
        <w:t>U(</w:t>
      </w:r>
      <w:proofErr w:type="gramEnd"/>
      <w:r w:rsidR="00846C24" w:rsidRPr="00906E69">
        <w:rPr>
          <w:rFonts w:cstheme="minorHAnsi"/>
          <w:highlight w:val="yellow"/>
        </w:rPr>
        <w:t xml:space="preserve">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w:t>
      </w:r>
      <w:proofErr w:type="gramStart"/>
      <w:r w:rsidR="00846C24" w:rsidRPr="00906E69">
        <w:rPr>
          <w:rFonts w:cstheme="minorHAnsi"/>
          <w:highlight w:val="yellow"/>
        </w:rPr>
        <w:t>before  U</w:t>
      </w:r>
      <w:proofErr w:type="gramEnd"/>
      <w:r w:rsidR="00846C24" w:rsidRPr="00906E69">
        <w:rPr>
          <w:rFonts w:cstheme="minorHAns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482AA7" w:rsidRDefault="00856654" w:rsidP="009F68D8">
      <w:pPr>
        <w:pStyle w:val="ListParagraph"/>
        <w:numPr>
          <w:ilvl w:val="2"/>
          <w:numId w:val="1"/>
        </w:numPr>
        <w:rPr>
          <w:rFonts w:cstheme="minorHAnsi"/>
          <w:b/>
          <w:i/>
          <w:color w:val="7030A0"/>
        </w:rPr>
      </w:pPr>
      <w:r w:rsidRPr="00B66991">
        <w:rPr>
          <w:rFonts w:cstheme="minorHAnsi"/>
          <w:b/>
          <w:i/>
          <w:color w:val="7030A0"/>
        </w:rPr>
        <w:t>Examiner</w:t>
      </w:r>
      <w:r w:rsidR="00B66991">
        <w:rPr>
          <w:rFonts w:cstheme="minorHAnsi"/>
          <w:b/>
          <w:i/>
          <w:color w:val="7030A0"/>
        </w:rPr>
        <w:t xml:space="preserve"> 1</w:t>
      </w:r>
      <w:r w:rsidRPr="00B66991">
        <w:rPr>
          <w:rFonts w:cstheme="minorHAnsi"/>
          <w:b/>
          <w:i/>
          <w:color w:val="7030A0"/>
        </w:rPr>
        <w:t>:</w:t>
      </w:r>
      <w:r w:rsidRPr="00B66991">
        <w:rPr>
          <w:rFonts w:cstheme="minorHAnsi"/>
          <w:i/>
          <w:color w:val="7030A0"/>
        </w:rPr>
        <w:t xml:space="preserve"> </w:t>
      </w:r>
      <w:r w:rsidRPr="00482AA7">
        <w:rPr>
          <w:rFonts w:cstheme="minorHAnsi"/>
          <w:i/>
        </w:rPr>
        <w:t xml:space="preserve">(Page 30) </w:t>
      </w:r>
      <w:r w:rsidR="00C83F81" w:rsidRPr="00482AA7">
        <w:rPr>
          <w:rFonts w:cstheme="minorHAnsi"/>
          <w:b/>
          <w:i/>
          <w:color w:val="7030A0"/>
        </w:rPr>
        <w:t>What is chirality?</w:t>
      </w:r>
      <w:r w:rsidR="00C83F81" w:rsidRPr="00482AA7">
        <w:rPr>
          <w:rFonts w:cstheme="minorHAnsi"/>
          <w:i/>
          <w:color w:val="7030A0"/>
        </w:rPr>
        <w:t xml:space="preserve"> Explain</w:t>
      </w:r>
      <w:r w:rsidR="0004215E" w:rsidRPr="00482AA7">
        <w:rPr>
          <w:rFonts w:cstheme="minorHAnsi"/>
          <w:i/>
          <w:color w:val="7030A0"/>
        </w:rPr>
        <w:t xml:space="preserve"> … chirality/left-handed fermions and T = +/- </w:t>
      </w:r>
      <w:r w:rsidR="009F68D8" w:rsidRPr="00482AA7">
        <w:rPr>
          <w:rFonts w:cstheme="minorHAnsi"/>
          <w:i/>
          <w:color w:val="7030A0"/>
        </w:rPr>
        <w:t xml:space="preserve">½ </w:t>
      </w:r>
      <w:r w:rsidR="009F68D8" w:rsidRPr="00482AA7">
        <w:rPr>
          <w:rFonts w:cstheme="minorHAnsi"/>
          <w:b/>
          <w:bCs/>
          <w:i/>
          <w:color w:val="0070C0"/>
        </w:rPr>
        <w:t>Viva question or correction?</w:t>
      </w:r>
      <w:r w:rsidR="00252ECC">
        <w:rPr>
          <w:rFonts w:cstheme="minorHAnsi"/>
          <w:b/>
          <w:bCs/>
          <w:i/>
          <w:color w:val="0070C0"/>
        </w:rPr>
        <w:t xml:space="preserve"> Only “chirality” is underlined and annotated with “explain” in the text.</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bookmarkStart w:id="0" w:name="_GoBack"/>
      <w:bookmarkEnd w:id="0"/>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6B642CAB" w:rsidR="001216E4" w:rsidRPr="00557B5C" w:rsidRDefault="001216E4" w:rsidP="00E036B5">
      <w:pPr>
        <w:pStyle w:val="ListParagraph"/>
        <w:numPr>
          <w:ilvl w:val="2"/>
          <w:numId w:val="1"/>
        </w:numPr>
        <w:rPr>
          <w:rFonts w:cstheme="minorHAnsi"/>
        </w:rPr>
      </w:pPr>
      <w:r w:rsidRPr="00557B5C">
        <w:rPr>
          <w:rFonts w:cstheme="minorHAnsi"/>
          <w:b/>
          <w:color w:val="7030A0"/>
        </w:rPr>
        <w:t>Examiners</w:t>
      </w:r>
      <w:r w:rsidRPr="00557B5C">
        <w:rPr>
          <w:rFonts w:cstheme="minorHAnsi"/>
        </w:rPr>
        <w:t>: [underlined]</w:t>
      </w:r>
      <w:r w:rsidR="00B84BAC" w:rsidRPr="00557B5C">
        <w:rPr>
          <w:rFonts w:cstheme="minorHAnsi"/>
        </w:rPr>
        <w:t xml:space="preserve"> (Page 37)</w:t>
      </w:r>
      <w:r w:rsidRPr="00557B5C">
        <w:rPr>
          <w:rFonts w:cstheme="minorHAnsi"/>
        </w:rPr>
        <w:t xml:space="preserve"> “on-shell W boson”.</w:t>
      </w:r>
      <w:r w:rsidR="00557B5C" w:rsidRPr="00557B5C">
        <w:rPr>
          <w:rFonts w:cstheme="minorHAnsi"/>
          <w:b/>
          <w:bCs/>
          <w:color w:val="0070C0"/>
        </w:rPr>
        <w:t xml:space="preserve">  Viva question?</w:t>
      </w:r>
    </w:p>
    <w:p w14:paraId="3B67A66C" w14:textId="6ADA807B"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r w:rsidR="00CF48B8" w:rsidRPr="00CF48B8">
        <w:rPr>
          <w:rFonts w:cstheme="minorHAnsi"/>
          <w:b/>
          <w:bCs/>
          <w:color w:val="0070C0"/>
        </w:rPr>
        <w:t xml:space="preserve"> </w:t>
      </w:r>
      <w:r w:rsidR="00CF48B8">
        <w:rPr>
          <w:rFonts w:cstheme="minorHAnsi"/>
          <w:b/>
          <w:bCs/>
          <w:color w:val="0070C0"/>
        </w:rPr>
        <w:t>Correction? Will use clearer language …</w:t>
      </w:r>
    </w:p>
    <w:p w14:paraId="3ED085B7" w14:textId="14E92B53" w:rsidR="00454537" w:rsidRPr="00B60D58" w:rsidRDefault="0056434A" w:rsidP="00E036B5">
      <w:pPr>
        <w:pStyle w:val="ListParagraph"/>
        <w:numPr>
          <w:ilvl w:val="2"/>
          <w:numId w:val="1"/>
        </w:numPr>
        <w:rPr>
          <w:rFonts w:cstheme="minorHAnsi"/>
        </w:rPr>
      </w:pPr>
      <w:r>
        <w:rPr>
          <w:rFonts w:cstheme="minorHAnsi"/>
          <w:b/>
          <w:color w:val="7030A0"/>
        </w:rPr>
        <w:t>Examiner 1</w:t>
      </w:r>
      <w:r w:rsidR="00454537">
        <w:rPr>
          <w:rFonts w:cstheme="minorHAnsi"/>
        </w:rPr>
        <w:t xml:space="preserve">: </w:t>
      </w:r>
      <w:r w:rsidR="00B84BAC">
        <w:rPr>
          <w:rFonts w:cstheme="minorHAnsi"/>
        </w:rPr>
        <w:t xml:space="preserve">(Page 38) </w:t>
      </w:r>
      <w:r w:rsidR="00C46590">
        <w:rPr>
          <w:rFonts w:cstheme="minorHAnsi"/>
        </w:rPr>
        <w:t>“</w:t>
      </w:r>
      <w:r w:rsidR="00C46590" w:rsidRPr="00C46590">
        <w:rPr>
          <w:rFonts w:cstheme="minorHAnsi"/>
          <w:i/>
        </w:rPr>
        <w:t xml:space="preserve">… destructive interference between the </w:t>
      </w:r>
      <w:proofErr w:type="spellStart"/>
      <w:r w:rsidR="00C46590" w:rsidRPr="00C46590">
        <w:rPr>
          <w:rFonts w:cstheme="minorHAnsi"/>
          <w:i/>
          <w:u w:val="single"/>
        </w:rPr>
        <w:t>tH</w:t>
      </w:r>
      <w:proofErr w:type="spellEnd"/>
      <w:r w:rsidR="00C46590" w:rsidRPr="00C46590">
        <w:rPr>
          <w:rFonts w:cstheme="minorHAnsi"/>
          <w:i/>
          <w:u w:val="single"/>
        </w:rPr>
        <w:t xml:space="preserve"> and HW vertices</w:t>
      </w:r>
      <w:r w:rsidR="00C46590">
        <w:rPr>
          <w:rFonts w:cstheme="minorHAnsi"/>
          <w:i/>
        </w:rPr>
        <w:t xml:space="preserve">” </w:t>
      </w:r>
      <w:r w:rsidR="00C46590" w:rsidRPr="00C46590">
        <w:rPr>
          <w:rFonts w:cstheme="minorHAnsi"/>
          <w:b/>
          <w:i/>
          <w:color w:val="7030A0"/>
        </w:rPr>
        <w:t>WHY?</w:t>
      </w:r>
      <w:r w:rsidR="000E6B05" w:rsidRPr="00C46590">
        <w:rPr>
          <w:rFonts w:cstheme="minorHAnsi"/>
          <w:i/>
        </w:rPr>
        <w:t xml:space="preserve"> </w:t>
      </w:r>
      <w:r w:rsidR="00557B5C">
        <w:rPr>
          <w:rFonts w:cstheme="minorHAnsi"/>
          <w:i/>
        </w:rPr>
        <w:t xml:space="preserve"> </w:t>
      </w:r>
      <w:r w:rsidR="000E6B05">
        <w:rPr>
          <w:rFonts w:cstheme="minorHAnsi"/>
          <w:b/>
          <w:bCs/>
          <w:color w:val="0070C0"/>
        </w:rPr>
        <w:t>Viva question or correction?</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E7B81A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2FD9AF35" w:rsidR="00633DAF" w:rsidRPr="00B4413E" w:rsidRDefault="00633DAF" w:rsidP="00FC0A9C">
      <w:pPr>
        <w:pStyle w:val="ListParagraph"/>
        <w:numPr>
          <w:ilvl w:val="2"/>
          <w:numId w:val="1"/>
        </w:numPr>
        <w:rPr>
          <w:rFonts w:cstheme="minorHAnsi"/>
          <w:i/>
        </w:rPr>
      </w:pPr>
      <w:r w:rsidRPr="00B4413E">
        <w:rPr>
          <w:rFonts w:cstheme="minorHAnsi"/>
          <w:b/>
          <w:i/>
          <w:color w:val="7030A0"/>
        </w:rPr>
        <w:t>Examiner</w:t>
      </w:r>
      <w:r w:rsidR="0084227A">
        <w:rPr>
          <w:rFonts w:cstheme="minorHAnsi"/>
          <w:b/>
          <w:i/>
          <w:color w:val="7030A0"/>
        </w:rPr>
        <w:t xml:space="preserve"> 1</w:t>
      </w:r>
      <w:r w:rsidRPr="00B4413E">
        <w:rPr>
          <w:rFonts w:cstheme="minorHAnsi"/>
          <w:b/>
          <w:i/>
          <w:color w:val="7030A0"/>
        </w:rPr>
        <w:t>:</w:t>
      </w:r>
      <w:r w:rsidRPr="00B4413E">
        <w:rPr>
          <w:rFonts w:cstheme="minorHAnsi"/>
          <w:i/>
          <w:color w:val="7030A0"/>
        </w:rPr>
        <w:t xml:space="preserve"> </w:t>
      </w:r>
      <w:r w:rsidR="00A33C1E" w:rsidRPr="00B4413E">
        <w:rPr>
          <w:rFonts w:cstheme="minorHAnsi"/>
          <w:i/>
        </w:rPr>
        <w:t xml:space="preserve">(Page 41) </w:t>
      </w:r>
      <w:r w:rsidR="002E14BD" w:rsidRPr="00554AD9">
        <w:rPr>
          <w:rFonts w:cstheme="minorHAnsi"/>
          <w:i/>
          <w:color w:val="7030A0"/>
        </w:rPr>
        <w:t>“</w:t>
      </w:r>
      <w:r w:rsidRPr="00554AD9">
        <w:rPr>
          <w:rFonts w:cstheme="minorHAnsi"/>
          <w:i/>
          <w:color w:val="7030A0"/>
        </w:rPr>
        <w:t>Explain</w:t>
      </w:r>
      <w:r w:rsidR="002E14BD" w:rsidRPr="00554AD9">
        <w:rPr>
          <w:rFonts w:cstheme="minorHAnsi"/>
          <w:i/>
          <w:color w:val="7030A0"/>
        </w:rPr>
        <w:t>”[comment in margins next to hierarchy text]</w:t>
      </w:r>
      <w:r w:rsidRPr="002E14BD">
        <w:rPr>
          <w:rFonts w:cstheme="minorHAnsi"/>
          <w:i/>
          <w:color w:val="7030A0"/>
        </w:rPr>
        <w:t xml:space="preserve"> </w:t>
      </w:r>
      <w:r w:rsidRPr="00B4413E">
        <w:rPr>
          <w:rFonts w:cstheme="minorHAnsi"/>
          <w:i/>
        </w:rPr>
        <w:t xml:space="preserve">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41478E" w:rsidRDefault="0056285A" w:rsidP="00317997">
      <w:pPr>
        <w:pStyle w:val="ListParagraph"/>
        <w:numPr>
          <w:ilvl w:val="1"/>
          <w:numId w:val="1"/>
        </w:numPr>
        <w:rPr>
          <w:rFonts w:cstheme="minorHAnsi"/>
        </w:rPr>
      </w:pPr>
      <w:r w:rsidRPr="0056285A">
        <w:rPr>
          <w:rFonts w:cstheme="minorHAnsi"/>
          <w:b/>
          <w:color w:val="7030A0"/>
        </w:rPr>
        <w:t>Examiner</w:t>
      </w:r>
      <w:r w:rsidR="003D6350">
        <w:rPr>
          <w:rFonts w:cstheme="minorHAnsi"/>
          <w:b/>
          <w:color w:val="7030A0"/>
        </w:rPr>
        <w:t xml:space="preserve"> 1</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2DCF5031"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w:t>
      </w:r>
      <w:r w:rsidR="00AE4BDC">
        <w:rPr>
          <w:rFonts w:cstheme="minorHAnsi"/>
          <w:b/>
          <w:color w:val="7030A0"/>
        </w:rPr>
        <w:t xml:space="preserve"> 1</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355A7A00" w:rsidR="00344A5F" w:rsidRPr="00CA356D" w:rsidRDefault="00E4253B" w:rsidP="00E4253B">
      <w:pPr>
        <w:pStyle w:val="ListParagraph"/>
        <w:numPr>
          <w:ilvl w:val="2"/>
          <w:numId w:val="1"/>
        </w:numPr>
        <w:rPr>
          <w:rFonts w:cstheme="minorHAnsi"/>
          <w:i/>
          <w:color w:val="7030A0"/>
        </w:rPr>
      </w:pPr>
      <w:r w:rsidRPr="00CA356D">
        <w:rPr>
          <w:rFonts w:cstheme="minorHAnsi"/>
          <w:b/>
          <w:i/>
          <w:color w:val="7030A0"/>
        </w:rPr>
        <w:t>Examiner</w:t>
      </w:r>
      <w:r w:rsidR="0018152F" w:rsidRPr="00CA356D">
        <w:rPr>
          <w:rFonts w:cstheme="minorHAnsi"/>
          <w:b/>
          <w:i/>
          <w:color w:val="7030A0"/>
        </w:rPr>
        <w:t xml:space="preserve"> 1</w:t>
      </w:r>
      <w:r w:rsidRPr="00CA356D">
        <w:rPr>
          <w:rFonts w:cstheme="minorHAnsi"/>
          <w:i/>
          <w:color w:val="7030A0"/>
        </w:rPr>
        <w:t xml:space="preserve"> </w:t>
      </w:r>
      <w:r w:rsidRPr="00CA356D">
        <w:rPr>
          <w:rFonts w:cstheme="minorHAnsi"/>
          <w:i/>
        </w:rPr>
        <w:t xml:space="preserve">(Page 47): [underlined] </w:t>
      </w:r>
      <w:r w:rsidRPr="00CA356D">
        <w:rPr>
          <w:rFonts w:cstheme="minorHAnsi"/>
          <w:i/>
          <w:color w:val="7030A0"/>
          <w:u w:val="single"/>
        </w:rPr>
        <w:t xml:space="preserve">This is due to </w:t>
      </w:r>
      <w:proofErr w:type="gramStart"/>
      <w:r w:rsidRPr="00CA356D">
        <w:rPr>
          <w:rFonts w:cstheme="minorHAnsi"/>
          <w:i/>
          <w:color w:val="7030A0"/>
          <w:u w:val="single"/>
        </w:rPr>
        <w:t>η</w:t>
      </w:r>
      <w:r w:rsidRPr="00CA356D">
        <w:rPr>
          <w:rFonts w:cstheme="minorHAnsi"/>
          <w:i/>
          <w:color w:val="7030A0"/>
        </w:rPr>
        <w:t xml:space="preserve"> ?</w:t>
      </w:r>
      <w:proofErr w:type="gramEnd"/>
      <w:r w:rsidR="00FC57A3" w:rsidRPr="00CA356D">
        <w:rPr>
          <w:rFonts w:cstheme="minorHAnsi"/>
          <w:b/>
          <w:bCs/>
          <w:i/>
          <w:color w:val="0070C0"/>
        </w:rPr>
        <w:t xml:space="preserve"> Poor language</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459A013F" w:rsidR="00D04BCA" w:rsidRPr="002E2E29" w:rsidRDefault="00257AAB" w:rsidP="00045C4A">
      <w:pPr>
        <w:pStyle w:val="ListParagraph"/>
        <w:numPr>
          <w:ilvl w:val="2"/>
          <w:numId w:val="1"/>
        </w:numPr>
        <w:rPr>
          <w:rFonts w:cstheme="minorHAnsi"/>
        </w:rPr>
      </w:pPr>
      <w:r w:rsidRPr="00257AAB">
        <w:rPr>
          <w:rFonts w:cstheme="minorHAnsi"/>
          <w:b/>
          <w:color w:val="7030A0"/>
        </w:rPr>
        <w:t>Examiner</w:t>
      </w:r>
      <w:r w:rsidR="00143949">
        <w:rPr>
          <w:rFonts w:cstheme="minorHAnsi"/>
          <w:b/>
          <w:color w:val="7030A0"/>
        </w:rPr>
        <w:t xml:space="preserve"> 1</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r w:rsidR="00DF43BD">
        <w:rPr>
          <w:rFonts w:cstheme="minorHAnsi"/>
          <w:i/>
        </w:rPr>
        <w:t xml:space="preserve"> </w:t>
      </w:r>
      <w:r w:rsidR="00DF43BD">
        <w:rPr>
          <w:rFonts w:cstheme="minorHAnsi"/>
          <w:b/>
          <w:bCs/>
          <w:color w:val="0070C0"/>
        </w:rPr>
        <w:t>Viva question I think …</w:t>
      </w:r>
    </w:p>
    <w:p w14:paraId="7E9C69DC" w14:textId="60542477" w:rsidR="002E2E29" w:rsidRPr="008F0A7E" w:rsidRDefault="002E2E29" w:rsidP="00045C4A">
      <w:pPr>
        <w:pStyle w:val="ListParagraph"/>
        <w:numPr>
          <w:ilvl w:val="2"/>
          <w:numId w:val="1"/>
        </w:numPr>
        <w:rPr>
          <w:rFonts w:cstheme="minorHAnsi"/>
        </w:rPr>
      </w:pPr>
      <w:r w:rsidRPr="00257AAB">
        <w:rPr>
          <w:rFonts w:cstheme="minorHAnsi"/>
          <w:b/>
          <w:color w:val="7030A0"/>
        </w:rPr>
        <w:t>Examiner</w:t>
      </w:r>
      <w:r w:rsidR="00E76D28">
        <w:rPr>
          <w:rFonts w:cstheme="minorHAnsi"/>
          <w:b/>
          <w:color w:val="7030A0"/>
        </w:rPr>
        <w:t xml:space="preserve"> 1</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917F5E" w:rsidRDefault="002148B8"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w:t>
      </w:r>
      <w:r>
        <w:rPr>
          <w:rFonts w:cstheme="minorHAnsi"/>
          <w:b/>
          <w:color w:val="7030A0"/>
        </w:rPr>
        <w:t>1</w:t>
      </w:r>
      <w:r w:rsidR="00F85681">
        <w:rPr>
          <w:rFonts w:cstheme="minorHAnsi"/>
        </w:rPr>
        <w:t xml:space="preserve"> (Page 48)</w:t>
      </w:r>
      <w:r w:rsidR="00257AAB">
        <w:rPr>
          <w:rFonts w:cstheme="minorHAnsi"/>
        </w:rPr>
        <w:t>:</w:t>
      </w:r>
      <w:r w:rsidR="00F85681">
        <w:rPr>
          <w:rFonts w:cstheme="minorHAnsi"/>
        </w:rPr>
        <w:t xml:space="preserve"> </w:t>
      </w:r>
      <w:r w:rsidR="00F85681">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lastRenderedPageBreak/>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1C4FE9" w:rsidRDefault="001C4FE9" w:rsidP="001C4FE9">
      <w:pPr>
        <w:pStyle w:val="ListParagraph"/>
        <w:numPr>
          <w:ilvl w:val="2"/>
          <w:numId w:val="1"/>
        </w:numPr>
        <w:rPr>
          <w:rFonts w:cstheme="minorHAnsi"/>
        </w:rPr>
      </w:pPr>
      <w:r w:rsidRPr="00337670">
        <w:rPr>
          <w:rFonts w:cstheme="minorHAnsi"/>
          <w:b/>
          <w:color w:val="7030A0"/>
        </w:rPr>
        <w:t>Examiner</w:t>
      </w:r>
      <w:r w:rsidR="00B662A2">
        <w:rPr>
          <w:rFonts w:cstheme="minorHAnsi"/>
          <w:b/>
          <w:color w:val="7030A0"/>
        </w:rPr>
        <w:t xml:space="preserve"> 1 </w:t>
      </w:r>
      <w:r>
        <w:rPr>
          <w:rFonts w:cstheme="minorHAnsi"/>
        </w:rPr>
        <w:t>(Page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lastRenderedPageBreak/>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2D27F9">
        <w:rPr>
          <w:rFonts w:cstheme="minorHAnsi"/>
          <w:b/>
          <w:iCs/>
          <w:color w:val="0070C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lastRenderedPageBreak/>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 xml:space="preserve">Underlined by Examiner 1 – </w:t>
      </w:r>
      <w:r>
        <w:rPr>
          <w:rFonts w:cstheme="minorHAnsi"/>
          <w:i/>
          <w:color w:val="7030A0"/>
        </w:rPr>
        <w:lastRenderedPageBreak/>
        <w:t>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lastRenderedPageBreak/>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lastRenderedPageBreak/>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102): “The leading b-jet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lastRenderedPageBreak/>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w:t>
      </w:r>
      <w:r w:rsidR="0072559B" w:rsidRPr="000419A1">
        <w:rPr>
          <w:rFonts w:cstheme="minorHAnsi"/>
          <w:b/>
          <w:iCs/>
          <w:color w:val="0070C0"/>
        </w:rPr>
        <w:t xml:space="preserve"> </w:t>
      </w:r>
      <w:r w:rsidR="0072559B" w:rsidRPr="000419A1">
        <w:rPr>
          <w:rFonts w:cstheme="minorHAnsi"/>
          <w:b/>
          <w:iCs/>
          <w:color w:val="0070C0"/>
        </w:rPr>
        <w:t>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lastRenderedPageBreak/>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lastRenderedPageBreak/>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lastRenderedPageBreak/>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18353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18353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4FC8D" w14:textId="77777777" w:rsidR="00183534" w:rsidRDefault="00183534" w:rsidP="007420B7">
      <w:pPr>
        <w:spacing w:after="0" w:line="240" w:lineRule="auto"/>
      </w:pPr>
      <w:r>
        <w:separator/>
      </w:r>
    </w:p>
  </w:endnote>
  <w:endnote w:type="continuationSeparator" w:id="0">
    <w:p w14:paraId="10848C00" w14:textId="77777777" w:rsidR="00183534" w:rsidRDefault="00183534"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3712C" w:rsidRDefault="0073712C">
        <w:pPr>
          <w:pStyle w:val="Footer"/>
          <w:jc w:val="center"/>
        </w:pPr>
        <w:r>
          <w:fldChar w:fldCharType="begin"/>
        </w:r>
        <w:r>
          <w:instrText xml:space="preserve"> PAGE   \* MERGEFORMAT </w:instrText>
        </w:r>
        <w:r>
          <w:fldChar w:fldCharType="separate"/>
        </w:r>
        <w:r w:rsidR="00CA356D">
          <w:rPr>
            <w:noProof/>
          </w:rPr>
          <w:t>3</w:t>
        </w:r>
        <w:r>
          <w:rPr>
            <w:noProof/>
          </w:rPr>
          <w:fldChar w:fldCharType="end"/>
        </w:r>
      </w:p>
    </w:sdtContent>
  </w:sdt>
  <w:p w14:paraId="16FA1FA9" w14:textId="77777777" w:rsidR="0073712C" w:rsidRDefault="00737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C5F29" w14:textId="77777777" w:rsidR="00183534" w:rsidRDefault="00183534" w:rsidP="007420B7">
      <w:pPr>
        <w:spacing w:after="0" w:line="240" w:lineRule="auto"/>
      </w:pPr>
      <w:r>
        <w:separator/>
      </w:r>
    </w:p>
  </w:footnote>
  <w:footnote w:type="continuationSeparator" w:id="0">
    <w:p w14:paraId="4E5C8A19" w14:textId="77777777" w:rsidR="00183534" w:rsidRDefault="00183534"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21A8"/>
    <w:rsid w:val="002F23EA"/>
    <w:rsid w:val="002F4101"/>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310C"/>
    <w:rsid w:val="00400E67"/>
    <w:rsid w:val="00403313"/>
    <w:rsid w:val="004034CF"/>
    <w:rsid w:val="004048D5"/>
    <w:rsid w:val="00404DDA"/>
    <w:rsid w:val="004050D6"/>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22300"/>
    <w:rsid w:val="00623947"/>
    <w:rsid w:val="00623EBE"/>
    <w:rsid w:val="00625B1A"/>
    <w:rsid w:val="00630F7A"/>
    <w:rsid w:val="00632D67"/>
    <w:rsid w:val="00633DAF"/>
    <w:rsid w:val="006365F1"/>
    <w:rsid w:val="0064124D"/>
    <w:rsid w:val="0064129A"/>
    <w:rsid w:val="00643DF8"/>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92B5F"/>
    <w:rsid w:val="006A1132"/>
    <w:rsid w:val="006A1843"/>
    <w:rsid w:val="006A2BA3"/>
    <w:rsid w:val="006A4EB1"/>
    <w:rsid w:val="006A5265"/>
    <w:rsid w:val="006A597F"/>
    <w:rsid w:val="006A72B5"/>
    <w:rsid w:val="006B059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1A71"/>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DEE"/>
    <w:rsid w:val="0094248C"/>
    <w:rsid w:val="009436EC"/>
    <w:rsid w:val="00943A46"/>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846"/>
    <w:rsid w:val="009F24B1"/>
    <w:rsid w:val="009F2A39"/>
    <w:rsid w:val="009F354D"/>
    <w:rsid w:val="009F35F9"/>
    <w:rsid w:val="009F68D8"/>
    <w:rsid w:val="009F77E7"/>
    <w:rsid w:val="009F7DE5"/>
    <w:rsid w:val="00A0020A"/>
    <w:rsid w:val="00A03A3D"/>
    <w:rsid w:val="00A04EC2"/>
    <w:rsid w:val="00A053C7"/>
    <w:rsid w:val="00A062A6"/>
    <w:rsid w:val="00A0654A"/>
    <w:rsid w:val="00A10EBD"/>
    <w:rsid w:val="00A11508"/>
    <w:rsid w:val="00A15120"/>
    <w:rsid w:val="00A1620C"/>
    <w:rsid w:val="00A21AD0"/>
    <w:rsid w:val="00A21C02"/>
    <w:rsid w:val="00A237E9"/>
    <w:rsid w:val="00A23CBD"/>
    <w:rsid w:val="00A26A01"/>
    <w:rsid w:val="00A27DD7"/>
    <w:rsid w:val="00A3013B"/>
    <w:rsid w:val="00A31A71"/>
    <w:rsid w:val="00A33C1E"/>
    <w:rsid w:val="00A33FCA"/>
    <w:rsid w:val="00A35F7D"/>
    <w:rsid w:val="00A3789F"/>
    <w:rsid w:val="00A407D8"/>
    <w:rsid w:val="00A41570"/>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279EB"/>
    <w:rsid w:val="00C32C1D"/>
    <w:rsid w:val="00C335FC"/>
    <w:rsid w:val="00C33E35"/>
    <w:rsid w:val="00C34142"/>
    <w:rsid w:val="00C360E1"/>
    <w:rsid w:val="00C3627B"/>
    <w:rsid w:val="00C4562C"/>
    <w:rsid w:val="00C46590"/>
    <w:rsid w:val="00C5032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901BC"/>
    <w:rsid w:val="00C927B5"/>
    <w:rsid w:val="00C93999"/>
    <w:rsid w:val="00C93D76"/>
    <w:rsid w:val="00C94EE0"/>
    <w:rsid w:val="00CA356D"/>
    <w:rsid w:val="00CA36DC"/>
    <w:rsid w:val="00CA4352"/>
    <w:rsid w:val="00CA54E7"/>
    <w:rsid w:val="00CA58C6"/>
    <w:rsid w:val="00CA6E13"/>
    <w:rsid w:val="00CB03EF"/>
    <w:rsid w:val="00CB192F"/>
    <w:rsid w:val="00CB2B68"/>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96D"/>
    <w:rsid w:val="00FC57A3"/>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E621F8B-AE56-8E41-8C86-92958572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styleId="UnresolvedMention">
    <w:name w:val="Unresolved Mention"/>
    <w:basedOn w:val="DefaultParagraphFont"/>
    <w:uiPriority w:val="99"/>
    <w:semiHidden/>
    <w:unhideWhenUsed/>
    <w:rsid w:val="00D63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CD50C-C1D9-6E41-801E-A67AFB9F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25</Pages>
  <Words>7120</Words>
  <Characters>40589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1322</cp:revision>
  <dcterms:created xsi:type="dcterms:W3CDTF">2019-01-22T23:16:00Z</dcterms:created>
  <dcterms:modified xsi:type="dcterms:W3CDTF">2019-06-18T17:41:00Z</dcterms:modified>
</cp:coreProperties>
</file>