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Add Ian Tomalin, Sioni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ee Tracklet DN</w:t>
      </w:r>
      <w:r w:rsidR="00C25FB1" w:rsidRPr="003377AC">
        <w:rPr>
          <w:rFonts w:cstheme="minorHAnsi"/>
          <w:b/>
          <w:color w:val="0070C0"/>
        </w:rPr>
        <w:t>?</w:t>
      </w:r>
      <w:r w:rsidR="00CE6802" w:rsidRPr="003377AC">
        <w:rPr>
          <w:rFonts w:cstheme="minorHAnsi"/>
          <w:b/>
          <w:color w:val="0070C0"/>
        </w:rPr>
        <w:t xml:space="preserve"> See tracklet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of both multiple scattering coefficients are superior across all p</w:t>
      </w:r>
      <w:r w:rsidRPr="0092099D">
        <w:rPr>
          <w:rFonts w:cstheme="minorHAnsi"/>
          <w:iCs/>
          <w:highlight w:val="yellow"/>
          <w:u w:val="single"/>
          <w:vertAlign w:val="subscript"/>
        </w:rPr>
        <w:t>T</w:t>
      </w:r>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1/p</w:t>
      </w:r>
      <w:r w:rsidR="006C7CBB" w:rsidRPr="0092099D">
        <w:rPr>
          <w:rFonts w:cstheme="minorHAnsi"/>
          <w:iCs/>
          <w:color w:val="7030A0"/>
          <w:highlight w:val="yellow"/>
          <w:vertAlign w:val="subscript"/>
        </w:rPr>
        <w:t>T</w:t>
      </w:r>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1/p</w:t>
      </w:r>
      <w:r w:rsidR="008D655A" w:rsidRPr="0092099D">
        <w:rPr>
          <w:rFonts w:cstheme="minorHAnsi"/>
          <w:iCs/>
          <w:color w:val="7030A0"/>
          <w:highlight w:val="yellow"/>
          <w:vertAlign w:val="subscript"/>
        </w:rPr>
        <w:t>T</w:t>
      </w:r>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q/pT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opening  paragraph: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98717E" w:rsidRDefault="000D29D0" w:rsidP="000D29D0">
      <w:pPr>
        <w:pStyle w:val="ListParagraph"/>
        <w:numPr>
          <w:ilvl w:val="2"/>
          <w:numId w:val="1"/>
        </w:numPr>
        <w:rPr>
          <w:rFonts w:cstheme="minorHAnsi"/>
          <w:iCs/>
        </w:rPr>
      </w:pPr>
      <w:r w:rsidRPr="0098717E">
        <w:rPr>
          <w:rFonts w:cstheme="minorHAnsi"/>
          <w:b/>
          <w:iCs/>
          <w:color w:val="0070C0"/>
        </w:rPr>
        <w:t>Determination of sigma values already present in the text!</w:t>
      </w:r>
    </w:p>
    <w:p w14:paraId="040A5569" w14:textId="3275AD66" w:rsidR="009746DF" w:rsidRPr="00B118F9" w:rsidRDefault="000D29D0"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highlight w:val="yellow"/>
        </w:rPr>
      </w:pPr>
      <w:r w:rsidRPr="0060560F">
        <w:rPr>
          <w:rFonts w:cstheme="minorHAnsi"/>
          <w:b/>
          <w:iCs/>
          <w:color w:val="0070C0"/>
        </w:rPr>
        <w:t xml:space="preserve">Optimisation was done on the basis of the inner contour containing </w:t>
      </w:r>
      <w:r w:rsidR="001651DC" w:rsidRPr="0060560F">
        <w:rPr>
          <w:rFonts w:cstheme="minorHAnsi"/>
          <w:b/>
          <w:iCs/>
          <w:color w:val="0070C0"/>
        </w:rPr>
        <w:t>68</w:t>
      </w:r>
      <w:r w:rsidRPr="0060560F">
        <w:rPr>
          <w:rFonts w:cstheme="minorHAnsi"/>
          <w:b/>
          <w:iCs/>
          <w:color w:val="0070C0"/>
        </w:rPr>
        <w:t>%</w:t>
      </w:r>
      <w:r w:rsidR="001651DC" w:rsidRPr="0060560F">
        <w:rPr>
          <w:rFonts w:cstheme="minorHAnsi"/>
          <w:b/>
          <w:iCs/>
          <w:color w:val="0070C0"/>
        </w:rPr>
        <w:t xml:space="preserve"> (one sigmna)</w:t>
      </w:r>
      <w:r w:rsidRPr="0060560F">
        <w:rPr>
          <w:rFonts w:cstheme="minorHAnsi"/>
          <w:b/>
          <w:iCs/>
          <w:color w:val="0070C0"/>
        </w:rPr>
        <w:t xml:space="preserve"> of the signal and the outer </w:t>
      </w:r>
      <w:r w:rsidR="00CD46CD" w:rsidRPr="0060560F">
        <w:rPr>
          <w:rFonts w:cstheme="minorHAnsi"/>
          <w:b/>
          <w:iCs/>
          <w:color w:val="0070C0"/>
        </w:rPr>
        <w:t xml:space="preserve">containing </w:t>
      </w:r>
      <w:r w:rsidR="005E2BFC" w:rsidRPr="0060560F">
        <w:rPr>
          <w:rFonts w:cstheme="minorHAnsi"/>
          <w:b/>
          <w:iCs/>
          <w:color w:val="0070C0"/>
        </w:rPr>
        <w:t>9</w:t>
      </w:r>
      <w:r w:rsidR="00A425FB" w:rsidRPr="0060560F">
        <w:rPr>
          <w:rFonts w:cstheme="minorHAnsi"/>
          <w:b/>
          <w:iCs/>
          <w:color w:val="0070C0"/>
        </w:rPr>
        <w:t>5</w:t>
      </w:r>
      <w:r w:rsidR="005E2BFC" w:rsidRPr="0060560F">
        <w:rPr>
          <w:rFonts w:cstheme="minorHAnsi"/>
          <w:b/>
          <w:iCs/>
          <w:color w:val="0070C0"/>
        </w:rPr>
        <w:t>.</w:t>
      </w:r>
      <w:r w:rsidR="00A425FB" w:rsidRPr="0060560F">
        <w:rPr>
          <w:rFonts w:cstheme="minorHAnsi"/>
          <w:b/>
          <w:iCs/>
          <w:color w:val="0070C0"/>
        </w:rPr>
        <w:t>5</w:t>
      </w:r>
      <w:r w:rsidRPr="0060560F">
        <w:rPr>
          <w:rFonts w:cstheme="minorHAnsi"/>
          <w:b/>
          <w:iCs/>
          <w:color w:val="0070C0"/>
        </w:rPr>
        <w:t>%</w:t>
      </w:r>
      <w:r w:rsidR="00FC7F13" w:rsidRPr="0060560F">
        <w:rPr>
          <w:rFonts w:cstheme="minorHAnsi"/>
          <w:b/>
          <w:iCs/>
          <w:color w:val="0070C0"/>
        </w:rPr>
        <w:t xml:space="preserve"> (</w:t>
      </w:r>
      <w:r w:rsidR="001651DC" w:rsidRPr="0060560F">
        <w:rPr>
          <w:rFonts w:cstheme="minorHAnsi"/>
          <w:b/>
          <w:iCs/>
          <w:color w:val="0070C0"/>
        </w:rPr>
        <w:t>t</w:t>
      </w:r>
      <w:r w:rsidR="00A425FB" w:rsidRPr="0060560F">
        <w:rPr>
          <w:rFonts w:cstheme="minorHAnsi"/>
          <w:b/>
          <w:iCs/>
          <w:color w:val="0070C0"/>
        </w:rPr>
        <w:t>wo</w:t>
      </w:r>
      <w:r w:rsidR="001651DC" w:rsidRPr="0060560F">
        <w:rPr>
          <w:rFonts w:cstheme="minorHAnsi"/>
          <w:b/>
          <w:iCs/>
          <w:color w:val="0070C0"/>
        </w:rPr>
        <w:t xml:space="preserve"> </w:t>
      </w:r>
      <w:r w:rsidR="00FC7F13" w:rsidRPr="0060560F">
        <w:rPr>
          <w:rFonts w:cstheme="minorHAnsi"/>
          <w:b/>
          <w:iCs/>
          <w:color w:val="0070C0"/>
        </w:rPr>
        <w:t>sigma)</w:t>
      </w:r>
      <w:r w:rsidR="00CD46CD" w:rsidRPr="0060560F">
        <w:rPr>
          <w:rFonts w:cstheme="minorHAnsi"/>
          <w:b/>
          <w:iCs/>
          <w:color w:val="0070C0"/>
        </w:rPr>
        <w:t xml:space="preserve"> of the signal</w:t>
      </w:r>
      <w:r w:rsidR="00A32D8A" w:rsidRPr="0060560F">
        <w:rPr>
          <w:rFonts w:cstheme="minorHAnsi"/>
          <w:b/>
          <w:iCs/>
          <w:color w:val="0070C0"/>
        </w:rPr>
        <w:t xml:space="preserve"> -&gt; 5 and 30 </w:t>
      </w:r>
      <w:r w:rsidR="001651DC" w:rsidRPr="0060560F">
        <w:rPr>
          <w:rFonts w:cstheme="minorHAnsi"/>
          <w:b/>
          <w:iCs/>
          <w:color w:val="0070C0"/>
        </w:rPr>
        <w:t>respectively</w:t>
      </w:r>
      <w:r w:rsidR="0060560F" w:rsidRPr="0060560F">
        <w:rPr>
          <w:rFonts w:cstheme="minorHAnsi"/>
          <w:b/>
          <w:iCs/>
          <w:color w:val="0070C0"/>
        </w:rPr>
        <w:t>.</w:t>
      </w:r>
    </w:p>
    <w:p w14:paraId="6789EF4E" w14:textId="13889151" w:rsidR="00B118F9" w:rsidRPr="00B118F9"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FF0000"/>
        </w:rPr>
      </w:pPr>
      <w:r w:rsidRPr="00B118F9">
        <w:rPr>
          <w:rFonts w:cstheme="minorHAnsi"/>
          <w:b/>
          <w:bCs/>
          <w:iCs/>
          <w:color w:val="FF0000"/>
        </w:rPr>
        <w:t xml:space="preserve">For </w:t>
      </w:r>
      <w:r w:rsidRPr="00B118F9">
        <w:rPr>
          <w:rFonts w:cstheme="minorHAnsi"/>
          <w:b/>
          <w:bCs/>
          <w:iCs/>
          <w:color w:val="FF0000"/>
        </w:rPr>
        <w:sym w:font="Symbol" w:char="F073"/>
      </w:r>
      <w:r w:rsidRPr="00B118F9">
        <w:rPr>
          <w:rFonts w:cstheme="minorHAnsi"/>
          <w:b/>
          <w:bCs/>
          <w:iCs/>
          <w:color w:val="FF0000"/>
          <w:vertAlign w:val="subscript"/>
        </w:rPr>
        <w:t>t</w:t>
      </w:r>
      <w:r w:rsidRPr="00B118F9">
        <w:rPr>
          <w:rFonts w:cstheme="minorHAnsi"/>
          <w:b/>
          <w:bCs/>
          <w:iCs/>
          <w:color w:val="FF0000"/>
        </w:rPr>
        <w:t xml:space="preserve"> = </w:t>
      </w:r>
      <w:r w:rsidR="00320EF7">
        <w:rPr>
          <w:rFonts w:cstheme="minorHAnsi"/>
          <w:b/>
          <w:bCs/>
          <w:iCs/>
          <w:color w:val="FF0000"/>
        </w:rPr>
        <w:t>30</w:t>
      </w:r>
      <w:r w:rsidRPr="00B118F9">
        <w:rPr>
          <w:rFonts w:cstheme="minorHAnsi"/>
          <w:b/>
          <w:bCs/>
          <w:iCs/>
          <w:color w:val="FF0000"/>
        </w:rPr>
        <w:t xml:space="preserve"> GeV and </w:t>
      </w:r>
      <w:r w:rsidRPr="00B118F9">
        <w:rPr>
          <w:rFonts w:cstheme="minorHAnsi"/>
          <w:b/>
          <w:bCs/>
          <w:iCs/>
          <w:color w:val="FF0000"/>
        </w:rPr>
        <w:sym w:font="Symbol" w:char="F073"/>
      </w:r>
      <w:r w:rsidRPr="00B118F9">
        <w:rPr>
          <w:rFonts w:cstheme="minorHAnsi"/>
          <w:b/>
          <w:bCs/>
          <w:iCs/>
          <w:color w:val="FF0000"/>
          <w:vertAlign w:val="subscript"/>
        </w:rPr>
        <w:t>W</w:t>
      </w:r>
      <w:r w:rsidRPr="00B118F9">
        <w:rPr>
          <w:rFonts w:cstheme="minorHAnsi"/>
          <w:b/>
          <w:bCs/>
          <w:iCs/>
          <w:color w:val="FF0000"/>
        </w:rPr>
        <w:t xml:space="preserve"> = </w:t>
      </w:r>
      <w:r w:rsidR="00320EF7">
        <w:rPr>
          <w:rFonts w:cstheme="minorHAnsi"/>
          <w:b/>
          <w:bCs/>
          <w:iCs/>
          <w:color w:val="FF0000"/>
        </w:rPr>
        <w:t>8</w:t>
      </w:r>
      <w:r w:rsidRPr="00B118F9">
        <w:rPr>
          <w:rFonts w:cstheme="minorHAnsi"/>
          <w:b/>
          <w:bCs/>
          <w:iCs/>
          <w:color w:val="FF0000"/>
        </w:rPr>
        <w:t xml:space="preserve">,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 xml:space="preserve">SR </w:t>
      </w:r>
      <w:r w:rsidRPr="00B118F9">
        <w:rPr>
          <w:rFonts w:cstheme="minorHAnsi"/>
          <w:b/>
          <w:bCs/>
          <w:iCs/>
          <w:color w:val="FF0000"/>
        </w:rPr>
        <w:t xml:space="preserve">and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CR</w:t>
      </w:r>
      <w:r w:rsidRPr="00B118F9">
        <w:rPr>
          <w:rFonts w:cstheme="minorHAnsi"/>
          <w:b/>
          <w:bCs/>
          <w:iCs/>
          <w:color w:val="FF0000"/>
        </w:rPr>
        <w:t xml:space="preserve"> were </w:t>
      </w:r>
      <w:r w:rsidRPr="00B118F9">
        <w:rPr>
          <w:b/>
          <w:bCs/>
          <w:iCs/>
          <w:color w:val="FF0000"/>
        </w:rPr>
        <w:t>defined as 5 and 30, respectively.</w:t>
      </w:r>
      <w:r>
        <w:rPr>
          <w:b/>
          <w:bCs/>
          <w:iCs/>
          <w:color w:val="FF0000"/>
        </w:rPr>
        <w:t xml:space="preserve"> These values correspond to both </w:t>
      </w:r>
    </w:p>
    <w:p w14:paraId="0CFDF045" w14:textId="77777777" w:rsidR="00B118F9" w:rsidRPr="00B118F9" w:rsidRDefault="00B118F9" w:rsidP="00B1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r w:rsidR="007E1C99" w:rsidRPr="003377AC">
        <w:rPr>
          <w:rFonts w:cstheme="minorHAnsi"/>
        </w:rPr>
        <w:t xml:space="preserve">Stray </w:t>
      </w:r>
      <w:r w:rsidR="007E1C99" w:rsidRPr="003377AC">
        <w:rPr>
          <w:rFonts w:cstheme="minorHAnsi"/>
          <w:b/>
          <w:color w:val="FF0000"/>
        </w:rPr>
        <w:t>)</w:t>
      </w:r>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33FC7F05" w14:textId="2926F4FF" w:rsidR="00C4464E" w:rsidRPr="00556046" w:rsidRDefault="00C4464E" w:rsidP="00C4464E">
      <w:pPr>
        <w:pStyle w:val="ListParagraph"/>
        <w:numPr>
          <w:ilvl w:val="2"/>
          <w:numId w:val="1"/>
        </w:numPr>
        <w:rPr>
          <w:rFonts w:cstheme="minorHAnsi"/>
          <w:iCs/>
          <w:color w:val="0070C0"/>
        </w:rPr>
      </w:pPr>
      <w:r w:rsidRPr="00E9222E">
        <w:rPr>
          <w:rFonts w:cstheme="minorHAnsi"/>
          <w:b/>
          <w:iCs/>
          <w:color w:val="0070C0"/>
        </w:rPr>
        <w:t>Add</w:t>
      </w:r>
      <w:r w:rsidR="00556046">
        <w:rPr>
          <w:rFonts w:cstheme="minorHAnsi"/>
          <w:b/>
          <w:iCs/>
          <w:color w:val="0070C0"/>
        </w:rPr>
        <w:t>ed</w:t>
      </w:r>
      <w:r w:rsidRPr="00E9222E">
        <w:rPr>
          <w:rFonts w:cstheme="minorHAnsi"/>
          <w:b/>
          <w:iCs/>
          <w:color w:val="0070C0"/>
        </w:rPr>
        <w:t xml:space="preserve"> </w:t>
      </w:r>
      <w:r w:rsidR="00556046">
        <w:rPr>
          <w:rFonts w:cstheme="minorHAnsi"/>
          <w:b/>
          <w:iCs/>
          <w:color w:val="0070C0"/>
        </w:rPr>
        <w:t xml:space="preserve">bit about </w:t>
      </w:r>
      <w:r w:rsidRPr="00E9222E">
        <w:rPr>
          <w:rFonts w:cstheme="minorHAnsi"/>
          <w:b/>
          <w:iCs/>
          <w:color w:val="0070C0"/>
        </w:rPr>
        <w:t>future work</w:t>
      </w:r>
      <w:r w:rsidR="00556046">
        <w:rPr>
          <w:rFonts w:cstheme="minorHAnsi"/>
          <w:b/>
          <w:iCs/>
          <w:color w:val="0070C0"/>
        </w:rPr>
        <w:t xml:space="preserve"> (final sentence):</w:t>
      </w:r>
    </w:p>
    <w:p w14:paraId="56919F92" w14:textId="77777777" w:rsidR="00556046" w:rsidRPr="00E9222E" w:rsidRDefault="00556046" w:rsidP="00C4464E">
      <w:pPr>
        <w:pStyle w:val="ListParagraph"/>
        <w:numPr>
          <w:ilvl w:val="2"/>
          <w:numId w:val="1"/>
        </w:numPr>
        <w:rPr>
          <w:rFonts w:cstheme="minorHAnsi"/>
          <w:iCs/>
          <w:color w:val="0070C0"/>
        </w:rPr>
      </w:pP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ID/iso/reco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 only ones I made myself for the trigger?</w:t>
      </w:r>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3C3937" w:rsidRDefault="009D6130" w:rsidP="00D67770">
      <w:pPr>
        <w:pStyle w:val="ListParagraph"/>
        <w:numPr>
          <w:ilvl w:val="1"/>
          <w:numId w:val="1"/>
        </w:numPr>
        <w:rPr>
          <w:rFonts w:cstheme="minorHAnsi"/>
          <w:iCs/>
          <w:highlight w:val="yellow"/>
        </w:rPr>
      </w:pPr>
      <w:r w:rsidRPr="003C3937">
        <w:rPr>
          <w:rFonts w:cstheme="minorHAnsi"/>
          <w:b/>
          <w:iCs/>
          <w:color w:val="7030A0"/>
          <w:highlight w:val="yellow"/>
        </w:rPr>
        <w:t>Examiner</w:t>
      </w:r>
      <w:r w:rsidR="002007AD" w:rsidRPr="003C3937">
        <w:rPr>
          <w:rFonts w:cstheme="minorHAnsi"/>
          <w:b/>
          <w:iCs/>
          <w:color w:val="7030A0"/>
          <w:highlight w:val="yellow"/>
        </w:rPr>
        <w:t xml:space="preserve"> 1</w:t>
      </w:r>
      <w:r w:rsidRPr="003C3937">
        <w:rPr>
          <w:rFonts w:cstheme="minorHAnsi"/>
          <w:b/>
          <w:iCs/>
          <w:color w:val="7030A0"/>
          <w:highlight w:val="yellow"/>
        </w:rPr>
        <w:t xml:space="preserve"> </w:t>
      </w:r>
      <w:r w:rsidRPr="003C3937">
        <w:rPr>
          <w:rFonts w:cstheme="minorHAnsi"/>
          <w:iCs/>
          <w:highlight w:val="yellow"/>
        </w:rPr>
        <w:t>(Page 124):</w:t>
      </w:r>
      <w:r w:rsidR="002007AD" w:rsidRPr="003C3937">
        <w:rPr>
          <w:rFonts w:cstheme="minorHAnsi"/>
          <w:iCs/>
          <w:highlight w:val="yellow"/>
        </w:rPr>
        <w:t xml:space="preserve"> </w:t>
      </w:r>
      <w:r w:rsidR="00E759C4" w:rsidRPr="003C3937">
        <w:rPr>
          <w:rFonts w:cstheme="minorHAnsi"/>
          <w:iCs/>
          <w:highlight w:val="yellow"/>
        </w:rPr>
        <w:t xml:space="preserve">Figure 7.2 </w:t>
      </w:r>
      <w:r w:rsidR="00E759C4" w:rsidRPr="003C3937">
        <w:rPr>
          <w:rFonts w:cstheme="minorHAnsi"/>
          <w:b/>
          <w:iCs/>
          <w:color w:val="7030A0"/>
          <w:highlight w:val="yellow"/>
        </w:rPr>
        <w:t>Only stat not system</w:t>
      </w:r>
      <w:r w:rsidR="00E759C4" w:rsidRPr="003C3937">
        <w:rPr>
          <w:rFonts w:cstheme="minorHAnsi"/>
          <w:b/>
          <w:iCs/>
          <w:color w:val="0070C0"/>
          <w:highlight w:val="yellow"/>
        </w:rPr>
        <w:t>[amtic errors]</w:t>
      </w:r>
    </w:p>
    <w:p w14:paraId="0F9EA716" w14:textId="4BC7BFF9" w:rsidR="00B84EF3" w:rsidRPr="008149C4" w:rsidRDefault="0072342D" w:rsidP="008149C4">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syst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61E2B5F7"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and these plots are arguably supplementary to Table 7.9 (i.e.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bookmarkStart w:id="0" w:name="_GoBack"/>
      <w:bookmarkEnd w:id="0"/>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lastRenderedPageBreak/>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3B8AD61D" w:rsidR="00514EE8" w:rsidRPr="00580C91" w:rsidRDefault="00514EE8" w:rsidP="00514EE8">
      <w:pPr>
        <w:pStyle w:val="ListParagraph"/>
        <w:numPr>
          <w:ilvl w:val="4"/>
          <w:numId w:val="1"/>
        </w:numPr>
        <w:rPr>
          <w:rFonts w:cstheme="minorHAnsi"/>
          <w:b/>
          <w:iCs/>
          <w:color w:val="00B050"/>
        </w:rPr>
      </w:pPr>
      <w:r w:rsidRPr="00580C91">
        <w:rPr>
          <w:rFonts w:cstheme="minorHAnsi"/>
          <w:b/>
          <w:iCs/>
          <w:color w:val="00B050"/>
        </w:rPr>
        <w:t>Chase up with Jo et al.</w:t>
      </w:r>
    </w:p>
    <w:p w14:paraId="5844DC4B" w14:textId="38F2DD17" w:rsidR="00EC6FD3" w:rsidRPr="00DA43A5" w:rsidRDefault="00EC6FD3" w:rsidP="00514EE8">
      <w:pPr>
        <w:pStyle w:val="ListParagraph"/>
        <w:numPr>
          <w:ilvl w:val="4"/>
          <w:numId w:val="1"/>
        </w:numPr>
        <w:rPr>
          <w:rFonts w:cstheme="minorHAnsi"/>
          <w:b/>
          <w:iCs/>
          <w:color w:val="0070C0"/>
          <w:highlight w:val="yellow"/>
        </w:rPr>
      </w:pPr>
      <w:r w:rsidRPr="00DA43A5">
        <w:rPr>
          <w:rFonts w:cstheme="minorHAnsi"/>
          <w:b/>
          <w:iCs/>
          <w:color w:val="0070C0"/>
          <w:highlight w:val="yellow"/>
        </w:rPr>
        <w:t>Added justification and private communication reference.</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2B45A8A"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 xml:space="preserve">I </w:t>
      </w:r>
      <w:r w:rsidRPr="00E27B33">
        <w:rPr>
          <w:rFonts w:cstheme="minorHAnsi"/>
          <w:b/>
          <w:iCs/>
          <w:color w:val="0070C0"/>
        </w:rPr>
        <w:t>suspect that a more detailed discussion is desired.</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97D4126" w14:textId="2A87B746" w:rsidR="005D19B3" w:rsidRPr="005D19B3" w:rsidRDefault="005D19B3" w:rsidP="005D19B3">
      <w:pPr>
        <w:pStyle w:val="ListParagraph"/>
        <w:numPr>
          <w:ilvl w:val="3"/>
          <w:numId w:val="1"/>
        </w:numPr>
        <w:rPr>
          <w:rFonts w:cstheme="minorHAnsi"/>
          <w:b/>
          <w:iCs/>
          <w:color w:val="0070C0"/>
        </w:rPr>
      </w:pPr>
      <w:r>
        <w:rPr>
          <w:rFonts w:cstheme="minorHAnsi"/>
          <w:b/>
          <w:iCs/>
          <w:color w:val="0070C0"/>
        </w:rPr>
        <w:t>More detailed discussion of the table contents</w:t>
      </w:r>
      <w:r w:rsidR="00E27B33">
        <w:rPr>
          <w:rFonts w:cstheme="minorHAnsi"/>
          <w:b/>
          <w:iCs/>
          <w:color w:val="0070C0"/>
        </w:rPr>
        <w:t xml:space="preserve"> added.</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lastRenderedPageBreak/>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DATA IS OF GOOD QUALITY  -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r w:rsidRPr="003377AC">
        <w:rPr>
          <w:rFonts w:cstheme="minorHAnsi"/>
        </w:rPr>
        <w:t>Page 158,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r w:rsidRPr="003377AC">
        <w:rPr>
          <w:rFonts w:cstheme="minorHAnsi"/>
          <w:i/>
          <w:highlight w:val="yellow"/>
          <w:u w:val="single" w:color="7030A0"/>
        </w:rPr>
        <w:t>Asmiov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 xml:space="preserve">“this concerns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lastRenderedPageBreak/>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under s+b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Discussion of other searches for tZq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Summary of the tZq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 …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6813EE55" w:rsidR="00E9222E" w:rsidRPr="00FB2DC1" w:rsidRDefault="00E9222E" w:rsidP="00E9222E">
      <w:pPr>
        <w:pStyle w:val="ListParagraph"/>
        <w:numPr>
          <w:ilvl w:val="1"/>
          <w:numId w:val="1"/>
        </w:numPr>
        <w:rPr>
          <w:rFonts w:cstheme="minorHAnsi"/>
          <w:b/>
          <w:bCs/>
          <w:iCs/>
          <w:color w:val="0070C0"/>
          <w:highlight w:val="yellow"/>
        </w:rPr>
      </w:pPr>
      <w:r w:rsidRPr="00FB2DC1">
        <w:rPr>
          <w:rFonts w:cstheme="minorHAnsi"/>
          <w:b/>
          <w:bCs/>
          <w:iCs/>
          <w:color w:val="0070C0"/>
          <w:highlight w:val="yellow"/>
        </w:rPr>
        <w:t xml:space="preserve">Added </w:t>
      </w:r>
      <w:r w:rsidR="00D06A58" w:rsidRPr="00FB2DC1">
        <w:rPr>
          <w:rFonts w:cstheme="minorHAnsi"/>
          <w:b/>
          <w:bCs/>
          <w:iCs/>
          <w:color w:val="0070C0"/>
          <w:highlight w:val="yellow"/>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E91B2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E91B2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98FAA" w14:textId="77777777" w:rsidR="00E91B23" w:rsidRDefault="00E91B23" w:rsidP="007420B7">
      <w:pPr>
        <w:spacing w:after="0" w:line="240" w:lineRule="auto"/>
      </w:pPr>
      <w:r>
        <w:separator/>
      </w:r>
    </w:p>
  </w:endnote>
  <w:endnote w:type="continuationSeparator" w:id="0">
    <w:p w14:paraId="299929FB" w14:textId="77777777" w:rsidR="00E91B23" w:rsidRDefault="00E91B23"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3DCF" w:rsidRDefault="00A83DC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3DCF" w:rsidRDefault="00A8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723EA" w14:textId="77777777" w:rsidR="00E91B23" w:rsidRDefault="00E91B23" w:rsidP="007420B7">
      <w:pPr>
        <w:spacing w:after="0" w:line="240" w:lineRule="auto"/>
      </w:pPr>
      <w:r>
        <w:separator/>
      </w:r>
    </w:p>
  </w:footnote>
  <w:footnote w:type="continuationSeparator" w:id="0">
    <w:p w14:paraId="70C7FBE8" w14:textId="77777777" w:rsidR="00E91B23" w:rsidRDefault="00E91B23"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712C"/>
    <w:rsid w:val="00737262"/>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6A58"/>
    <w:rsid w:val="00D0715C"/>
    <w:rsid w:val="00D1244D"/>
    <w:rsid w:val="00D2016C"/>
    <w:rsid w:val="00D2059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1B23"/>
    <w:rsid w:val="00E9222E"/>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E26D7-08FA-8F48-84EF-EE3F0228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29</Pages>
  <Words>8703</Words>
  <Characters>49609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1649</cp:revision>
  <dcterms:created xsi:type="dcterms:W3CDTF">2019-01-22T23:16:00Z</dcterms:created>
  <dcterms:modified xsi:type="dcterms:W3CDTF">2019-08-25T23:51:00Z</dcterms:modified>
</cp:coreProperties>
</file>