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bookmarkStart w:id="0" w:name="_GoBack"/>
      <w:bookmarkEnd w:id="0"/>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U(1)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36E1449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algo</w:t>
      </w:r>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597E9868" w:rsidR="0003421F" w:rsidRPr="006B5DEF"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68A9BAF3" w14:textId="565E7F94"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TeV plots </w:t>
      </w:r>
      <w:r w:rsidR="000E446C">
        <w:rPr>
          <w:rFonts w:cstheme="minorHAnsi"/>
          <w:b/>
          <w:iCs/>
          <w:color w:val="0070C0"/>
        </w:rPr>
        <w:t>for reco-only efficiency which is &gt;</w:t>
      </w:r>
      <w:r w:rsidR="00FA3850">
        <w:rPr>
          <w:rFonts w:cstheme="minorHAnsi"/>
          <w:b/>
          <w:iCs/>
          <w:color w:val="0070C0"/>
        </w:rPr>
        <w:t>=</w:t>
      </w:r>
      <w:r>
        <w:rPr>
          <w:rFonts w:cstheme="minorHAnsi"/>
          <w:b/>
          <w:iCs/>
          <w:color w:val="0070C0"/>
        </w:rPr>
        <w:t>99% reco efficiency</w:t>
      </w:r>
      <w:r w:rsidR="000E446C">
        <w:rPr>
          <w:rFonts w:cstheme="minorHAnsi"/>
          <w:b/>
          <w:iCs/>
          <w:color w:val="0070C0"/>
        </w:rPr>
        <w:t>. 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5937C6" w:rsidRDefault="00D70818" w:rsidP="001B475E">
      <w:pPr>
        <w:rPr>
          <w:rFonts w:cstheme="minorHAnsi"/>
          <w:iCs/>
        </w:rPr>
      </w:pPr>
      <w:r w:rsidRPr="005937C6">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Added tight ID+Iso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“ee” and “mumu”</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lastRenderedPageBreak/>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lastRenderedPageBreak/>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 xml:space="preserve">Table 7.8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p</w:t>
      </w:r>
      <w:r w:rsidR="00F32026" w:rsidRPr="00B167EF">
        <w:rPr>
          <w:rFonts w:cstheme="minorHAnsi"/>
          <w:b/>
          <w:color w:val="FF0000"/>
          <w:vertAlign w:val="subscript"/>
        </w:rPr>
        <w:t>T</w:t>
      </w:r>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p</w:t>
      </w:r>
      <w:r w:rsidR="00F32026" w:rsidRPr="00B167EF">
        <w:rPr>
          <w:rFonts w:cstheme="minorHAnsi"/>
          <w:b/>
          <w:color w:val="FF0000"/>
          <w:vertAlign w:val="subscript"/>
        </w:rPr>
        <w:t>T</w:t>
      </w:r>
      <w:r w:rsidR="00F32026" w:rsidRPr="005F792C">
        <w:rPr>
          <w:rFonts w:cstheme="minorHAnsi"/>
          <w:b/>
          <w:color w:val="FF0000"/>
        </w:rPr>
        <w:t xml:space="preserve"> &gt; 35 and pT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uncert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Z+jets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Corrected typo for ee Z+jets stat uncert</w:t>
      </w:r>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Removed emu Z+jets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lastRenderedPageBreak/>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lastRenderedPageBreak/>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relevant, but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lastRenderedPageBreak/>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Added new text re. which uncertainty reductions would most improve the result.</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lastRenderedPageBreak/>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A0663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A0663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Alterative deep NN trained, but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21FBF" w14:textId="77777777" w:rsidR="00A0663E" w:rsidRDefault="00A0663E" w:rsidP="007420B7">
      <w:pPr>
        <w:spacing w:after="0" w:line="240" w:lineRule="auto"/>
      </w:pPr>
      <w:r>
        <w:separator/>
      </w:r>
    </w:p>
  </w:endnote>
  <w:endnote w:type="continuationSeparator" w:id="0">
    <w:p w14:paraId="394823B2" w14:textId="77777777" w:rsidR="00A0663E" w:rsidRDefault="00A0663E"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B60FC" w:rsidRDefault="005B60F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B60FC" w:rsidRDefault="005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97572" w14:textId="77777777" w:rsidR="00A0663E" w:rsidRDefault="00A0663E" w:rsidP="007420B7">
      <w:pPr>
        <w:spacing w:after="0" w:line="240" w:lineRule="auto"/>
      </w:pPr>
      <w:r>
        <w:separator/>
      </w:r>
    </w:p>
  </w:footnote>
  <w:footnote w:type="continuationSeparator" w:id="0">
    <w:p w14:paraId="174D212C" w14:textId="77777777" w:rsidR="00A0663E" w:rsidRDefault="00A0663E"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451"/>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B5DEF"/>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D8F40-FF28-B047-978D-F6DFA8E7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31</Pages>
  <Words>9134</Words>
  <Characters>52065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1806</cp:revision>
  <dcterms:created xsi:type="dcterms:W3CDTF">2019-01-22T23:16:00Z</dcterms:created>
  <dcterms:modified xsi:type="dcterms:W3CDTF">2019-09-18T14:41:00Z</dcterms:modified>
</cp:coreProperties>
</file>