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Autospacing="1" w:afterAutospacing="1"/>
        <w:jc w:val="both"/>
        <w:rPr>
          <w:rFonts w:ascii="Cambria" w:hAnsi="Cambria" w:eastAsia="Times New Roman"/>
          <w:b/>
          <w:b/>
          <w:bCs/>
          <w:color w:val="365F91"/>
          <w:sz w:val="28"/>
          <w:szCs w:val="28"/>
          <w:lang w:eastAsia="en-GB"/>
        </w:rPr>
      </w:pPr>
      <w:bookmarkStart w:id="0" w:name="_GoBack"/>
      <w:bookmarkEnd w:id="0"/>
      <w:r>
        <w:rPr/>
        <w:drawing>
          <wp:inline distT="0" distB="0" distL="0" distR="0">
            <wp:extent cx="5731510" cy="61976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731510" cy="619760"/>
                    </a:xfrm>
                    <a:prstGeom prst="rect">
                      <a:avLst/>
                    </a:prstGeom>
                    <a:noFill/>
                    <a:ln w="9525">
                      <a:noFill/>
                      <a:miter lim="800000"/>
                      <a:headEnd/>
                      <a:tailEnd/>
                    </a:ln>
                  </pic:spPr>
                </pic:pic>
              </a:graphicData>
            </a:graphic>
          </wp:inline>
        </w:drawing>
      </w:r>
    </w:p>
    <w:p>
      <w:pPr>
        <w:pStyle w:val="Heading1"/>
        <w:jc w:val="center"/>
        <w:rPr>
          <w:color w:val="00000A"/>
          <w:lang w:eastAsia="en-GB"/>
        </w:rPr>
      </w:pPr>
      <w:r>
        <w:rPr>
          <w:color w:val="00000A"/>
          <w:lang w:eastAsia="en-GB"/>
        </w:rPr>
        <w:t>6</w:t>
      </w:r>
      <w:r>
        <w:rPr>
          <w:color w:val="00000A"/>
          <w:vertAlign w:val="superscript"/>
          <w:lang w:eastAsia="en-GB"/>
        </w:rPr>
        <w:t>th</w:t>
      </w:r>
      <w:r>
        <w:rPr>
          <w:color w:val="00000A"/>
          <w:lang w:eastAsia="en-GB"/>
        </w:rPr>
        <w:t xml:space="preserve"> – 8</w:t>
      </w:r>
      <w:r>
        <w:rPr>
          <w:color w:val="00000A"/>
          <w:vertAlign w:val="superscript"/>
          <w:lang w:eastAsia="en-GB"/>
        </w:rPr>
        <w:t>th</w:t>
      </w:r>
      <w:r>
        <w:rPr>
          <w:color w:val="00000A"/>
          <w:lang w:eastAsia="en-GB"/>
        </w:rPr>
        <w:t xml:space="preserve"> November 2015, York</w:t>
      </w:r>
    </w:p>
    <w:p>
      <w:pPr>
        <w:pStyle w:val="Heading2"/>
        <w:jc w:val="center"/>
        <w:rPr>
          <w:color w:val="00000A"/>
          <w:lang w:eastAsia="en-GB"/>
        </w:rPr>
      </w:pPr>
      <w:r>
        <w:rPr>
          <w:color w:val="00000A"/>
          <w:lang w:eastAsia="en-GB"/>
        </w:rPr>
        <w:t>Presentation submission</w:t>
      </w:r>
    </w:p>
    <w:p>
      <w:pPr>
        <w:pStyle w:val="Normal"/>
        <w:rPr>
          <w:lang w:eastAsia="en-GB"/>
        </w:rPr>
      </w:pPr>
      <w:r>
        <w:rPr>
          <w:lang w:eastAsia="en-GB"/>
        </w:rPr>
      </w:r>
    </w:p>
    <w:p>
      <w:pPr>
        <w:pStyle w:val="Normal"/>
        <w:rPr/>
      </w:pPr>
      <w:r>
        <w:rPr>
          <w:lang w:eastAsia="en-GB"/>
        </w:rPr>
        <w:t>Abstracts must be received by the conference committee no later than 30</w:t>
      </w:r>
      <w:r>
        <w:rPr>
          <w:vertAlign w:val="superscript"/>
          <w:lang w:eastAsia="en-GB"/>
        </w:rPr>
        <w:t>th</w:t>
      </w:r>
      <w:r>
        <w:rPr>
          <w:lang w:eastAsia="en-GB"/>
        </w:rPr>
        <w:t xml:space="preserve"> April 2015. Completed abstracts should be emailed as a word file to </w:t>
      </w:r>
      <w:hyperlink r:id="rId3">
        <w:r>
          <w:rPr>
            <w:rStyle w:val="InternetLink"/>
            <w:rFonts w:cs="Arial"/>
            <w:bCs/>
            <w:color w:val="0000FF"/>
            <w:u w:val="single"/>
          </w:rPr>
          <w:t>envarch2015@gmail.com</w:t>
        </w:r>
      </w:hyperlink>
      <w:r>
        <w:rPr>
          <w:rFonts w:cs="Arial"/>
          <w:b/>
          <w:bCs/>
          <w:color w:val="555555"/>
          <w:sz w:val="19"/>
          <w:szCs w:val="19"/>
        </w:rPr>
        <w:t>.</w:t>
      </w:r>
    </w:p>
    <w:p>
      <w:pPr>
        <w:pStyle w:val="Normal"/>
        <w:rPr>
          <w:lang w:eastAsia="en-GB"/>
        </w:rPr>
      </w:pPr>
      <w:r>
        <w:rPr>
          <w:lang w:eastAsia="en-GB"/>
        </w:rPr>
        <w:t>PRESENTATION TYPE (please delete as appropriate):</w:t>
      </w:r>
    </w:p>
    <w:p>
      <w:pPr>
        <w:pStyle w:val="ListParagraph"/>
        <w:numPr>
          <w:ilvl w:val="0"/>
          <w:numId w:val="1"/>
        </w:numPr>
        <w:rPr>
          <w:lang w:eastAsia="en-GB"/>
        </w:rPr>
      </w:pPr>
      <w:r>
        <w:rPr>
          <w:lang w:eastAsia="en-GB"/>
        </w:rPr>
        <w:t>ORAL PRESENTATION</w:t>
      </w:r>
    </w:p>
    <w:p>
      <w:pPr>
        <w:pStyle w:val="ListParagraph"/>
        <w:numPr>
          <w:ilvl w:val="0"/>
          <w:numId w:val="0"/>
        </w:numPr>
        <w:ind w:left="720" w:hanging="0"/>
        <w:rPr>
          <w:lang w:eastAsia="en-GB"/>
        </w:rPr>
      </w:pPr>
      <w:r>
        <w:rPr>
          <w:lang w:eastAsia="en-GB"/>
        </w:rPr>
      </w:r>
    </w:p>
    <w:p>
      <w:pPr>
        <w:pStyle w:val="Normal"/>
        <w:spacing w:lineRule="auto" w:line="240" w:beforeAutospacing="1" w:afterAutospacing="1"/>
        <w:jc w:val="both"/>
        <w:rPr/>
      </w:pPr>
      <w:r>
        <w:rPr>
          <w:rFonts w:eastAsia="Times New Roman" w:ascii="Cambria" w:hAnsi="Cambria"/>
          <w:b/>
          <w:bCs/>
          <w:color w:val="365F91"/>
          <w:sz w:val="28"/>
          <w:szCs w:val="28"/>
          <w:lang w:eastAsia="en-GB"/>
        </w:rPr>
        <w:t>Herd demographics in zooarchaeology: a critical, simulation-based assessment of the viability of the standard mandibular approach</w:t>
      </w:r>
    </w:p>
    <w:p>
      <w:pPr>
        <w:pStyle w:val="PlainText"/>
        <w:jc w:val="both"/>
        <w:rPr/>
      </w:pPr>
      <w:r>
        <w:rPr>
          <w:rFonts w:eastAsia="Times New Roman" w:cs="Arial" w:ascii="Arial" w:hAnsi="Arial"/>
          <w:sz w:val="20"/>
          <w:szCs w:val="20"/>
          <w:lang w:eastAsia="en-GB"/>
        </w:rPr>
        <w:t>First author:  Orton, David</w:t>
      </w:r>
    </w:p>
    <w:p>
      <w:pPr>
        <w:pStyle w:val="PlainText"/>
        <w:jc w:val="both"/>
        <w:rPr/>
      </w:pPr>
      <w:r>
        <w:rPr>
          <w:rFonts w:eastAsia="Times New Roman" w:cs="Arial" w:ascii="Arial" w:hAnsi="Arial"/>
          <w:sz w:val="20"/>
          <w:szCs w:val="20"/>
          <w:lang w:eastAsia="en-GB"/>
        </w:rPr>
        <w:t>Affiliation:  BioArCh, Department of Archaeology, University of York</w:t>
      </w:r>
    </w:p>
    <w:p>
      <w:pPr>
        <w:pStyle w:val="PlainText"/>
        <w:jc w:val="both"/>
        <w:rPr/>
      </w:pPr>
      <w:r>
        <w:rPr>
          <w:rFonts w:eastAsia="Times New Roman" w:cs="Arial" w:ascii="Arial" w:hAnsi="Arial"/>
          <w:sz w:val="20"/>
          <w:szCs w:val="20"/>
          <w:lang w:eastAsia="en-GB"/>
        </w:rPr>
        <w:t xml:space="preserve">Email address: </w:t>
      </w:r>
      <w:hyperlink r:id="rId4">
        <w:r>
          <w:rPr>
            <w:rStyle w:val="InternetLink"/>
            <w:rFonts w:eastAsia="Times New Roman" w:cs="Arial" w:ascii="Arial" w:hAnsi="Arial"/>
            <w:sz w:val="20"/>
            <w:szCs w:val="20"/>
            <w:lang w:eastAsia="en-GB"/>
          </w:rPr>
          <w:t>david.orton@york.ac.uk</w:t>
        </w:r>
      </w:hyperlink>
    </w:p>
    <w:p>
      <w:pPr>
        <w:pStyle w:val="PlainText"/>
        <w:jc w:val="both"/>
        <w:rPr>
          <w:rFonts w:ascii="Arial" w:hAnsi="Arial" w:eastAsia="Times New Roman" w:cs="Arial"/>
          <w:sz w:val="20"/>
          <w:szCs w:val="20"/>
          <w:lang w:eastAsia="en-GB"/>
        </w:rPr>
      </w:pPr>
      <w:r>
        <w:rPr>
          <w:rFonts w:eastAsia="Times New Roman" w:cs="Arial" w:ascii="Arial" w:hAnsi="Arial"/>
          <w:sz w:val="20"/>
          <w:szCs w:val="20"/>
          <w:lang w:eastAsia="en-GB"/>
        </w:rPr>
      </w:r>
    </w:p>
    <w:p>
      <w:pPr>
        <w:pStyle w:val="PlainText"/>
        <w:jc w:val="both"/>
        <w:rPr/>
      </w:pPr>
      <w:r>
        <w:rPr>
          <w:rFonts w:eastAsia="Times New Roman" w:cs="Arial" w:ascii="Arial" w:hAnsi="Arial"/>
          <w:sz w:val="20"/>
          <w:szCs w:val="20"/>
          <w:lang w:eastAsia="en-GB"/>
        </w:rPr>
        <w:t>Second author: Wolfhagen, Jesse</w:t>
      </w:r>
    </w:p>
    <w:p>
      <w:pPr>
        <w:pStyle w:val="PlainText"/>
        <w:jc w:val="both"/>
        <w:rPr/>
      </w:pPr>
      <w:r>
        <w:rPr>
          <w:rFonts w:eastAsia="Times New Roman" w:cs="Arial" w:ascii="Arial" w:hAnsi="Arial"/>
          <w:sz w:val="20"/>
          <w:szCs w:val="20"/>
          <w:lang w:eastAsia="en-GB"/>
        </w:rPr>
        <w:t>Affiliation: Department of Anthropology, Stony Brook University</w:t>
      </w:r>
    </w:p>
    <w:p>
      <w:pPr>
        <w:pStyle w:val="PlainText"/>
        <w:jc w:val="both"/>
        <w:rPr/>
      </w:pPr>
      <w:r>
        <w:rPr>
          <w:rFonts w:eastAsia="Times New Roman" w:cs="Arial" w:ascii="Arial" w:hAnsi="Arial"/>
          <w:sz w:val="20"/>
          <w:szCs w:val="20"/>
          <w:lang w:eastAsia="en-GB"/>
        </w:rPr>
        <w:t xml:space="preserve">Email address: </w:t>
      </w:r>
      <w:hyperlink r:id="rId5">
        <w:r>
          <w:rPr>
            <w:rStyle w:val="InternetLink"/>
            <w:rFonts w:eastAsia="Times New Roman" w:cs="Arial" w:ascii="Arial" w:hAnsi="Arial"/>
            <w:sz w:val="20"/>
            <w:szCs w:val="20"/>
            <w:lang w:eastAsia="en-GB"/>
          </w:rPr>
          <w:t>jesse.wolfhagen@stonybrook.edu</w:t>
        </w:r>
      </w:hyperlink>
      <w:r>
        <w:rPr>
          <w:rFonts w:eastAsia="Times New Roman" w:cs="Arial" w:ascii="Arial" w:hAnsi="Arial"/>
          <w:sz w:val="20"/>
          <w:szCs w:val="20"/>
          <w:lang w:eastAsia="en-GB"/>
        </w:rPr>
        <w:t xml:space="preserve"> </w:t>
      </w:r>
    </w:p>
    <w:p>
      <w:pPr>
        <w:pStyle w:val="PlainText"/>
        <w:jc w:val="both"/>
        <w:rPr>
          <w:rFonts w:ascii="Arial" w:hAnsi="Arial" w:eastAsia="Times New Roman" w:cs="Arial"/>
          <w:sz w:val="20"/>
          <w:szCs w:val="20"/>
          <w:lang w:eastAsia="en-GB"/>
        </w:rPr>
      </w:pPr>
      <w:r>
        <w:rPr>
          <w:rFonts w:eastAsia="Times New Roman" w:cs="Arial" w:ascii="Arial" w:hAnsi="Arial"/>
          <w:sz w:val="20"/>
          <w:szCs w:val="20"/>
          <w:lang w:eastAsia="en-GB"/>
        </w:rPr>
      </w:r>
    </w:p>
    <w:p>
      <w:pPr>
        <w:pStyle w:val="Normal"/>
        <w:rPr>
          <w:rFonts w:ascii="Liberation Sans" w:hAnsi="Liberation Sans"/>
          <w:sz w:val="22"/>
          <w:szCs w:val="22"/>
          <w:lang w:eastAsia="en-GB"/>
        </w:rPr>
      </w:pPr>
      <w:r>
        <w:rPr>
          <w:rFonts w:ascii="Liberation Sans" w:hAnsi="Liberation Sans"/>
          <w:sz w:val="22"/>
          <w:szCs w:val="22"/>
          <w:lang w:eastAsia="en-GB"/>
        </w:rPr>
        <w:t>Zooarchaeological age-at-death analyses are used to address a wide range of issues, from domestication through to trade and urban provisioning. In particular, however, they have been widely applied to understanding prehistoric herd management, typically by comparison to a range of published models representing idealised kill-off strategies.</w:t>
      </w:r>
    </w:p>
    <w:p>
      <w:pPr>
        <w:pStyle w:val="Normal"/>
        <w:rPr>
          <w:rFonts w:ascii="Liberation Sans" w:hAnsi="Liberation Sans"/>
          <w:sz w:val="22"/>
          <w:szCs w:val="22"/>
          <w:lang w:eastAsia="en-GB"/>
        </w:rPr>
      </w:pPr>
      <w:r>
        <w:rPr>
          <w:rFonts w:ascii="Liberation Sans" w:hAnsi="Liberation Sans"/>
          <w:sz w:val="22"/>
          <w:szCs w:val="22"/>
          <w:lang w:eastAsia="en-GB"/>
        </w:rPr>
        <w:t>Amongst numerous theoretical and technical problems with this approach, one of the most pervasive and yet poorly examined issues is that of sample size. Put simply, we have very little idea how large a sample is required in order consistently to discriminate between even idealised theoretical herding strategies.</w:t>
      </w:r>
    </w:p>
    <w:p>
      <w:pPr>
        <w:pStyle w:val="Normal"/>
        <w:rPr>
          <w:rFonts w:ascii="Liberation Sans" w:hAnsi="Liberation Sans"/>
          <w:sz w:val="22"/>
          <w:szCs w:val="22"/>
          <w:lang w:eastAsia="en-GB"/>
        </w:rPr>
      </w:pPr>
      <w:r>
        <w:rPr>
          <w:rFonts w:ascii="Liberation Sans" w:hAnsi="Liberation Sans"/>
          <w:sz w:val="22"/>
          <w:szCs w:val="22"/>
          <w:lang w:eastAsia="en-GB"/>
        </w:rPr>
        <w:t>Here, we test the effect of sample size on the ability to distinguish consistently between  four popular mortality models under ideal conditions. We simulate death assemblages of varying sample size from several models developed by Payne, Redding, and Vigne &amp; Helmer that have been widely used in the context of analysing prehistoric herding. By increasing sample size incrementally and repeating each simulation 2000 times at each increment, we visualise confidence intervals around each curve and demonstrate the extent of overlap at different sample sizes. Applying formal significance tests to each simulation run, we then plot the relationship between sample size and the rate of false negatives (type 2 errors).</w:t>
      </w:r>
    </w:p>
    <w:p>
      <w:pPr>
        <w:pStyle w:val="Normal"/>
        <w:jc w:val="both"/>
        <w:rPr>
          <w:rFonts w:ascii="Liberation Sans" w:hAnsi="Liberation Sans"/>
          <w:sz w:val="22"/>
          <w:szCs w:val="22"/>
          <w:lang w:eastAsia="en-GB"/>
        </w:rPr>
      </w:pPr>
      <w:r>
        <w:rPr>
          <w:rFonts w:eastAsia="Times New Roman" w:cs="Arial" w:ascii="Liberation Sans" w:hAnsi="Liberation Sans"/>
          <w:sz w:val="22"/>
          <w:szCs w:val="22"/>
          <w:lang w:eastAsia="en-GB"/>
        </w:rPr>
        <w:t>The results demonstrate that many of the assemblages upon which interpretations have been based, and around which arguments have revolved, are not in fact sufficient to distinguish these models even under the most optimistic of assumptions.</w:t>
      </w:r>
    </w:p>
    <w:p>
      <w:pPr>
        <w:pStyle w:val="PlainText"/>
        <w:jc w:val="both"/>
        <w:rPr>
          <w:rFonts w:ascii="Arial" w:hAnsi="Arial" w:eastAsia="Times New Roman" w:cs="Arial"/>
          <w:sz w:val="20"/>
          <w:szCs w:val="20"/>
          <w:lang w:eastAsia="en-GB"/>
        </w:rPr>
      </w:pPr>
      <w:r>
        <w:rPr>
          <w:rFonts w:eastAsia="Times New Roman" w:cs="Arial" w:ascii="Arial" w:hAnsi="Arial"/>
          <w:sz w:val="20"/>
          <w:szCs w:val="20"/>
          <w:lang w:eastAsia="en-GB"/>
        </w:rPr>
      </w:r>
    </w:p>
    <w:p>
      <w:pPr>
        <w:pStyle w:val="PlainText"/>
        <w:jc w:val="both"/>
        <w:rPr/>
      </w:pPr>
      <w:r>
        <w:rPr/>
        <w:t>Abstract (maximum 300 words).</w:t>
      </w:r>
    </w:p>
    <w:p>
      <w:pPr>
        <w:pStyle w:val="Normal"/>
        <w:spacing w:lineRule="auto" w:line="240" w:beforeAutospacing="1" w:afterAutospacing="1"/>
        <w:ind w:firstLine="708"/>
        <w:jc w:val="both"/>
        <w:rPr/>
      </w:pPr>
      <w:r>
        <w:rPr/>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Lucida Grande">
    <w:charset w:val="01"/>
    <w:family w:val="roman"/>
    <w:pitch w:val="variable"/>
  </w:font>
  <w:font w:name="Liberation Sans">
    <w:altName w:val="Arial"/>
    <w:charset w:val="01"/>
    <w:family w:val="roman"/>
    <w:pitch w:val="variable"/>
  </w:font>
  <w:font w:name="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GB"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n-GB" w:eastAsia="en-GB"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95746"/>
    <w:pPr>
      <w:widowControl/>
      <w:suppressAutoHyphens w:val="true"/>
      <w:bidi w:val="0"/>
      <w:spacing w:lineRule="auto" w:line="276" w:before="0" w:after="200"/>
      <w:jc w:val="left"/>
    </w:pPr>
    <w:rPr>
      <w:rFonts w:ascii="Calibri" w:hAnsi="Calibri" w:eastAsia="Calibri" w:cs="Times New Roman"/>
      <w:color w:val="00000A"/>
      <w:sz w:val="22"/>
      <w:szCs w:val="22"/>
      <w:lang w:val="en-GB" w:eastAsia="en-US" w:bidi="ar-SA"/>
    </w:rPr>
  </w:style>
  <w:style w:type="paragraph" w:styleId="Heading1">
    <w:name w:val="Heading 1"/>
    <w:basedOn w:val="Normal"/>
    <w:next w:val="Normal"/>
    <w:link w:val="Heading1Char"/>
    <w:uiPriority w:val="9"/>
    <w:qFormat/>
    <w:rsid w:val="00a304db"/>
    <w:pPr>
      <w:keepNext/>
      <w:keepLines/>
      <w:spacing w:before="480" w:after="0"/>
      <w:outlineLvl w:val="0"/>
    </w:pPr>
    <w:rPr>
      <w:rFonts w:ascii="Cambria" w:hAnsi="Cambria" w:eastAsia="Times New Roman"/>
      <w:b/>
      <w:bCs/>
      <w:color w:val="365F91"/>
      <w:sz w:val="28"/>
      <w:szCs w:val="28"/>
    </w:rPr>
  </w:style>
  <w:style w:type="paragraph" w:styleId="Heading2">
    <w:name w:val="Heading 2"/>
    <w:basedOn w:val="Normal"/>
    <w:next w:val="Normal"/>
    <w:link w:val="Heading2Char"/>
    <w:uiPriority w:val="9"/>
    <w:unhideWhenUsed/>
    <w:qFormat/>
    <w:rsid w:val="008c01d0"/>
    <w:pPr>
      <w:keepNext/>
      <w:keepLines/>
      <w:spacing w:before="200" w:after="0"/>
      <w:outlineLvl w:val="1"/>
    </w:pPr>
    <w:rPr>
      <w:rFonts w:ascii="Cambria" w:hAnsi="Cambria" w:eastAsia="ＭＳ ゴシック" w:cs="" w:asciiTheme="majorHAnsi" w:cstheme="majorBidi" w:eastAsiaTheme="majorEastAsia" w:hAnsiTheme="majorHAnsi"/>
      <w:b/>
      <w:bCs/>
      <w:color w:val="4F81BD" w:themeColor="accent1"/>
      <w:sz w:val="26"/>
      <w:szCs w:val="2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a304db"/>
    <w:rPr>
      <w:rFonts w:ascii="Cambria" w:hAnsi="Cambria" w:eastAsia="Times New Roman" w:cs="Times New Roman"/>
      <w:b/>
      <w:bCs/>
      <w:color w:val="365F91"/>
      <w:sz w:val="28"/>
      <w:szCs w:val="28"/>
    </w:rPr>
  </w:style>
  <w:style w:type="character" w:styleId="Grame" w:customStyle="1">
    <w:name w:val="grame"/>
    <w:basedOn w:val="DefaultParagraphFont"/>
    <w:qFormat/>
    <w:rsid w:val="00a304db"/>
    <w:rPr/>
  </w:style>
  <w:style w:type="character" w:styleId="Spelle" w:customStyle="1">
    <w:name w:val="spelle"/>
    <w:basedOn w:val="DefaultParagraphFont"/>
    <w:qFormat/>
    <w:rsid w:val="00a304db"/>
    <w:rPr/>
  </w:style>
  <w:style w:type="character" w:styleId="InternetLink">
    <w:name w:val="Internet Link"/>
    <w:basedOn w:val="DefaultParagraphFont"/>
    <w:uiPriority w:val="99"/>
    <w:unhideWhenUsed/>
    <w:rsid w:val="00de09b5"/>
    <w:rPr>
      <w:color w:val="0000FF"/>
      <w:u w:val="single"/>
    </w:rPr>
  </w:style>
  <w:style w:type="character" w:styleId="PlainTextChar" w:customStyle="1">
    <w:name w:val="Plain Text Char"/>
    <w:basedOn w:val="DefaultParagraphFont"/>
    <w:link w:val="PlainText"/>
    <w:uiPriority w:val="99"/>
    <w:qFormat/>
    <w:rsid w:val="007c1393"/>
    <w:rPr>
      <w:rFonts w:eastAsia="Calibri" w:cs="" w:cstheme="minorBidi" w:eastAsiaTheme="minorHAnsi"/>
      <w:sz w:val="22"/>
      <w:szCs w:val="21"/>
      <w:lang w:eastAsia="en-US"/>
    </w:rPr>
  </w:style>
  <w:style w:type="character" w:styleId="Annotationreference">
    <w:name w:val="annotation reference"/>
    <w:basedOn w:val="DefaultParagraphFont"/>
    <w:uiPriority w:val="99"/>
    <w:semiHidden/>
    <w:unhideWhenUsed/>
    <w:qFormat/>
    <w:rsid w:val="00533796"/>
    <w:rPr>
      <w:sz w:val="18"/>
      <w:szCs w:val="18"/>
    </w:rPr>
  </w:style>
  <w:style w:type="character" w:styleId="CommentTextChar" w:customStyle="1">
    <w:name w:val="Comment Text Char"/>
    <w:basedOn w:val="DefaultParagraphFont"/>
    <w:link w:val="CommentText"/>
    <w:uiPriority w:val="99"/>
    <w:semiHidden/>
    <w:qFormat/>
    <w:rsid w:val="00533796"/>
    <w:rPr>
      <w:sz w:val="24"/>
      <w:szCs w:val="24"/>
      <w:lang w:eastAsia="en-US"/>
    </w:rPr>
  </w:style>
  <w:style w:type="character" w:styleId="CommentSubjectChar" w:customStyle="1">
    <w:name w:val="Comment Subject Char"/>
    <w:basedOn w:val="CommentTextChar"/>
    <w:link w:val="CommentSubject"/>
    <w:uiPriority w:val="99"/>
    <w:semiHidden/>
    <w:qFormat/>
    <w:rsid w:val="00533796"/>
    <w:rPr>
      <w:b/>
      <w:bCs/>
      <w:sz w:val="24"/>
      <w:szCs w:val="24"/>
      <w:lang w:eastAsia="en-US"/>
    </w:rPr>
  </w:style>
  <w:style w:type="character" w:styleId="BalloonTextChar" w:customStyle="1">
    <w:name w:val="Balloon Text Char"/>
    <w:basedOn w:val="DefaultParagraphFont"/>
    <w:link w:val="BalloonText"/>
    <w:uiPriority w:val="99"/>
    <w:semiHidden/>
    <w:qFormat/>
    <w:rsid w:val="00533796"/>
    <w:rPr>
      <w:rFonts w:ascii="Lucida Grande" w:hAnsi="Lucida Grande" w:cs="Lucida Grande"/>
      <w:sz w:val="18"/>
      <w:szCs w:val="18"/>
      <w:lang w:eastAsia="en-US"/>
    </w:rPr>
  </w:style>
  <w:style w:type="character" w:styleId="Heading2Char" w:customStyle="1">
    <w:name w:val="Heading 2 Char"/>
    <w:basedOn w:val="DefaultParagraphFont"/>
    <w:link w:val="Heading2"/>
    <w:uiPriority w:val="9"/>
    <w:qFormat/>
    <w:rsid w:val="008c01d0"/>
    <w:rPr>
      <w:rFonts w:ascii="Cambria" w:hAnsi="Cambria" w:eastAsia="ＭＳ ゴシック" w:cs="" w:asciiTheme="majorHAnsi" w:cstheme="majorBidi" w:eastAsiaTheme="majorEastAsia" w:hAnsiTheme="majorHAnsi"/>
      <w:b/>
      <w:bCs/>
      <w:color w:val="4F81BD" w:themeColor="accent1"/>
      <w:sz w:val="26"/>
      <w:szCs w:val="26"/>
      <w:lang w:eastAsia="en-US"/>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lainText">
    <w:name w:val="Plain Text"/>
    <w:basedOn w:val="Normal"/>
    <w:link w:val="PlainTextChar"/>
    <w:uiPriority w:val="99"/>
    <w:unhideWhenUsed/>
    <w:qFormat/>
    <w:rsid w:val="007c1393"/>
    <w:pPr>
      <w:spacing w:lineRule="auto" w:line="240" w:before="0" w:after="0"/>
    </w:pPr>
    <w:rPr>
      <w:rFonts w:eastAsia="Calibri" w:cs="" w:cstheme="minorBidi" w:eastAsiaTheme="minorHAnsi"/>
      <w:szCs w:val="21"/>
    </w:rPr>
  </w:style>
  <w:style w:type="paragraph" w:styleId="Annotationtext">
    <w:name w:val="annotation text"/>
    <w:basedOn w:val="Normal"/>
    <w:link w:val="CommentTextChar"/>
    <w:uiPriority w:val="99"/>
    <w:semiHidden/>
    <w:unhideWhenUsed/>
    <w:qFormat/>
    <w:rsid w:val="00533796"/>
    <w:pPr>
      <w:spacing w:lineRule="auto" w:line="240"/>
    </w:pPr>
    <w:rPr>
      <w:sz w:val="24"/>
      <w:szCs w:val="24"/>
    </w:rPr>
  </w:style>
  <w:style w:type="paragraph" w:styleId="Annotationsubject">
    <w:name w:val="annotation subject"/>
    <w:basedOn w:val="Annotationtext"/>
    <w:link w:val="CommentSubjectChar"/>
    <w:uiPriority w:val="99"/>
    <w:semiHidden/>
    <w:unhideWhenUsed/>
    <w:qFormat/>
    <w:rsid w:val="00533796"/>
    <w:pPr/>
    <w:rPr>
      <w:b/>
      <w:bCs/>
      <w:sz w:val="20"/>
      <w:szCs w:val="20"/>
    </w:rPr>
  </w:style>
  <w:style w:type="paragraph" w:styleId="BalloonText">
    <w:name w:val="Balloon Text"/>
    <w:basedOn w:val="Normal"/>
    <w:link w:val="BalloonTextChar"/>
    <w:uiPriority w:val="99"/>
    <w:semiHidden/>
    <w:unhideWhenUsed/>
    <w:qFormat/>
    <w:rsid w:val="00533796"/>
    <w:pPr>
      <w:spacing w:lineRule="auto" w:line="240" w:before="0" w:after="0"/>
    </w:pPr>
    <w:rPr>
      <w:rFonts w:ascii="Lucida Grande" w:hAnsi="Lucida Grande" w:cs="Lucida Grande"/>
      <w:sz w:val="18"/>
      <w:szCs w:val="18"/>
    </w:rPr>
  </w:style>
  <w:style w:type="paragraph" w:styleId="Revision">
    <w:name w:val="Revision"/>
    <w:uiPriority w:val="99"/>
    <w:semiHidden/>
    <w:qFormat/>
    <w:rsid w:val="00230fb5"/>
    <w:pPr>
      <w:widowControl/>
      <w:suppressAutoHyphens w:val="true"/>
      <w:bidi w:val="0"/>
      <w:jc w:val="left"/>
    </w:pPr>
    <w:rPr>
      <w:rFonts w:ascii="Calibri" w:hAnsi="Calibri" w:eastAsia="Calibri" w:cs="Times New Roman"/>
      <w:color w:val="00000A"/>
      <w:sz w:val="22"/>
      <w:szCs w:val="22"/>
      <w:lang w:val="en-GB" w:eastAsia="en-US" w:bidi="ar-SA"/>
    </w:rPr>
  </w:style>
  <w:style w:type="paragraph" w:styleId="ListParagraph">
    <w:name w:val="List Paragraph"/>
    <w:basedOn w:val="Normal"/>
    <w:uiPriority w:val="34"/>
    <w:qFormat/>
    <w:rsid w:val="008c01d0"/>
    <w:pPr>
      <w:spacing w:before="0" w:after="200"/>
      <w:ind w:left="720" w:hanging="0"/>
      <w:contextualSpacing/>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mailto:envarch2015@gmail.com" TargetMode="External"/><Relationship Id="rId4" Type="http://schemas.openxmlformats.org/officeDocument/2006/relationships/hyperlink" Target="mailto:david.orton@york.ac.uk" TargetMode="External"/><Relationship Id="rId5" Type="http://schemas.openxmlformats.org/officeDocument/2006/relationships/hyperlink" Target="mailto:jesse.wolfhagen@stonybrook.edu"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AD3194-D7E4-452D-8310-202E17A1D6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FF689E64.dotm</Template>
  <TotalTime>1002</TotalTime>
  <Application>LibreOffice/4.4.2.2$Linux_X86_64 LibreOffice_project/40m0$Build-2</Application>
  <Paragraphs>18</Paragraphs>
  <Company>Deftones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2015-02-03T12:54:00Z</dcterms:created>
  <dc:creator>Lee G. Broderick</dc:creator>
  <dc:language>en-GB</dc:language>
  <dcterms:modified xsi:type="dcterms:W3CDTF">2015-08-21T20:37:01Z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Deftones</vt:lpwstr>
  </property>
  <property fmtid="{D5CDD505-2E9C-101B-9397-08002B2CF9AE}" pid="4" name="DocSecurity">
    <vt:i4>4</vt:i4>
  </property>
  <property fmtid="{D5CDD505-2E9C-101B-9397-08002B2CF9AE}" pid="5" name="HyperlinksChanged">
    <vt:bool>0</vt:bool>
  </property>
  <property fmtid="{D5CDD505-2E9C-101B-9397-08002B2CF9AE}" pid="6" name="LinksUpToDate">
    <vt:bool>0</vt:bool>
  </property>
  <property fmtid="{D5CDD505-2E9C-101B-9397-08002B2CF9AE}" pid="7" name="Mendeley Citation Style_1">
    <vt:lpwstr>http://www.zotero.org/styles/apa</vt:lpwstr>
  </property>
  <property fmtid="{D5CDD505-2E9C-101B-9397-08002B2CF9AE}" pid="8" name="ScaleCrop">
    <vt:bool>0</vt:bool>
  </property>
  <property fmtid="{D5CDD505-2E9C-101B-9397-08002B2CF9AE}" pid="9" name="ShareDoc">
    <vt:bool>0</vt:bool>
  </property>
</Properties>
</file>