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8"/>
              </w:rPr>
              <w:t>Kiama Hire Pty Ltd</w:t>
            </w:r>
          </w:p>
          <w:p>
            <w:r>
              <w:rPr>
                <w:rFonts w:ascii="Arial" w:hAnsi="Arial"/>
                <w:sz w:val="20"/>
              </w:rPr>
              <w:t>ABN: 61 671 383 136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Arial" w:hAnsi="Arial"/>
                <w:b/>
                <w:sz w:val="44"/>
              </w:rPr>
              <w:t>INVOICE</w:t>
            </w:r>
          </w:p>
          <w:p>
            <w:pPr>
              <w:jc w:val="right"/>
            </w:pPr>
            <w:r>
              <w:rPr>
                <w:rFonts w:ascii="Arial" w:hAnsi="Arial"/>
                <w:sz w:val="20"/>
              </w:rPr>
              <w:t>Invoice date: 2026-04-30</w:t>
            </w:r>
          </w:p>
          <w:p>
            <w:pPr>
              <w:jc w:val="right"/>
            </w:pPr>
            <w:r>
              <w:rPr>
                <w:rFonts w:ascii="Arial" w:hAnsi="Arial"/>
                <w:sz w:val="20"/>
              </w:rPr>
              <w:t>Invoice no.: WH-2026-04-30</w:t>
            </w:r>
          </w:p>
        </w:tc>
      </w:tr>
      <w:tr>
        <w:tc>
          <w:tcPr>
            <w:tcW w:type="dxa" w:w="8640"/>
            <w:gridSpan w:val="2"/>
          </w:tcPr>
          <w:p>
            <w:pPr>
              <w:spacing w:before="320"/>
            </w:pPr>
            <w:r>
              <w:rPr>
                <w:rFonts w:ascii="Arial" w:hAnsi="Arial"/>
                <w:b/>
                <w:sz w:val="20"/>
              </w:rPr>
              <w:t>Bill to</w:t>
            </w:r>
          </w:p>
          <w:p>
            <w:r>
              <w:rPr>
                <w:rFonts w:ascii="Arial" w:hAnsi="Arial"/>
                <w:sz w:val="20"/>
              </w:rPr>
              <w:t>Branlamie Pty Ltd</w:t>
            </w:r>
          </w:p>
          <w:p>
            <w:r>
              <w:rPr>
                <w:rFonts w:ascii="Arial" w:hAnsi="Arial"/>
                <w:sz w:val="20"/>
              </w:rPr>
              <w:t>ABN 91 117 499 20</w:t>
            </w:r>
          </w:p>
          <w:p>
            <w:r>
              <w:rPr>
                <w:rFonts w:ascii="Arial" w:hAnsi="Arial"/>
                <w:sz w:val="20"/>
              </w:rPr>
              <w:t>ATTN: Brett Elsey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Work hours line items</w:t>
      </w:r>
    </w:p>
    <w:p>
      <w:r>
        <w:rPr>
          <w:rFonts w:ascii="Arial" w:hAnsi="Arial"/>
          <w:sz w:val="20"/>
        </w:rPr>
        <w:t>Project: claims-manager</w:t>
      </w:r>
      <w:r>
        <w:br/>
      </w:r>
      <w:r>
        <w:rPr>
          <w:rFonts w:ascii="Arial" w:hAnsi="Arial"/>
          <w:sz w:val="20"/>
        </w:rPr>
        <w:t>Basis: docs/tracking/work_hours.md (commit-level ledger)</w:t>
      </w:r>
      <w:r>
        <w:br/>
      </w:r>
      <w:r>
        <w:rPr>
          <w:rFonts w:ascii="Arial" w:hAnsi="Arial"/>
          <w:sz w:val="20"/>
        </w:rPr>
        <w:t>Period: new billable ledger entries after invoice WH-2026-04-14 (entries dated 2026-04-17 through 2026-04-25; April remainder through month-end).</w:t>
      </w:r>
      <w:r>
        <w:br/>
      </w:r>
      <w:r>
        <w:rPr>
          <w:rFonts w:ascii="Arial" w:hAnsi="Arial"/>
          <w:sz w:val="20"/>
        </w:rPr>
        <w:t>Invoice date: 2026-04-30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Entry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20"/>
              </w:rPr>
              <w:t>Description (invoice text)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2026-04-17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18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98 files | +12 755 −823 |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fc9153a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Major back-office upgrade so partner activity flows in through one controlled path, with stronger tracking of who is on each claim, encrypted stored credentials, and refreshed claims screens for staff.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Delivered webhook pipeline v2</w:t>
            </w:r>
            <w:r>
              <w:rPr>
                <w:rFonts w:ascii="Arial" w:hAnsi="Arial"/>
                <w:b w:val="0"/>
                <w:sz w:val="18"/>
              </w:rPr>
              <w:t xml:space="preserve"> — a coordinated path for bringing in partner-system activity so events are processed reliably end-to-end.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retries, recovery for out-of-order updates, and in-memory projection so late or related events are still captured correctly.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</w:t>
            </w:r>
            <w:r>
              <w:rPr>
                <w:rFonts w:ascii="Arial" w:hAnsi="Arial"/>
                <w:b/>
                <w:sz w:val="18"/>
              </w:rPr>
              <w:t>claim data modelling</w:t>
            </w:r>
            <w:r>
              <w:rPr>
                <w:rFonts w:ascii="Arial" w:hAnsi="Arial"/>
                <w:b w:val="0"/>
                <w:sz w:val="18"/>
              </w:rPr>
              <w:t xml:space="preserve"> to track assignees and contact relationships directly on each claim, with the supporting database migration.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Encrypted stored partner credentials at rest and refreshed the configuration layout to match the updated integration arrangement.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Expanded translation coverage for the main partner system with new appointment, quote, and report mappings plus a richer claim mapping.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the </w:t>
            </w:r>
            <w:r>
              <w:rPr>
                <w:rFonts w:ascii="Arial" w:hAnsi="Arial"/>
                <w:b/>
                <w:sz w:val="18"/>
              </w:rPr>
              <w:t>claims list screen</w:t>
            </w:r>
            <w:r>
              <w:rPr>
                <w:rFonts w:ascii="Arial" w:hAnsi="Arial"/>
                <w:b w:val="0"/>
                <w:sz w:val="18"/>
              </w:rPr>
              <w:t xml:space="preserve"> with cleaner filtering and updated provider editing screens for consistency.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Authored mapping and orchestration </w:t>
            </w:r>
            <w:r>
              <w:rPr>
                <w:rFonts w:ascii="Arial" w:hAnsi="Arial"/>
                <w:b/>
                <w:sz w:val="18"/>
              </w:rPr>
              <w:t>documentation</w:t>
            </w:r>
            <w:r>
              <w:rPr>
                <w:rFonts w:ascii="Arial" w:hAnsi="Arial"/>
                <w:b w:val="0"/>
                <w:sz w:val="18"/>
              </w:rPr>
              <w:t xml:space="preserve"> for the team plus an internal time-tracking invoice tool.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2026-04-18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6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47 files | +8 775 −2 374 | Tier 2 standard / Tier 3 complex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a1f5a74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Replaced the old "add your own partner" screens with a built-in list of supported partner systems and tailored connection forms, so staff configure partner links instead of defining the partners themselves.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Hardcoded provider catalogue and connection-focused management UI.</w:t>
            </w:r>
            <w:r>
              <w:rPr>
                <w:rFonts w:ascii="Arial" w:hAnsi="Arial"/>
                <w:b w:val="0"/>
                <w:sz w:val="18"/>
              </w:rPr>
              <w:t xml:space="preserve"> Replaced the previous generic partner management screens with a </w:t>
            </w:r>
            <w:r>
              <w:rPr>
                <w:rFonts w:ascii="Arial" w:hAnsi="Arial"/>
                <w:b/>
                <w:sz w:val="18"/>
              </w:rPr>
              <w:t>built-in catalogue</w:t>
            </w:r>
            <w:r>
              <w:rPr>
                <w:rFonts w:ascii="Arial" w:hAnsi="Arial"/>
                <w:b w:val="0"/>
                <w:sz w:val="18"/>
              </w:rPr>
              <w:t xml:space="preserve"> of supported partner systems so staff no longer maintain partner records by hand.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Introduced </w:t>
            </w:r>
            <w:r>
              <w:rPr>
                <w:rFonts w:ascii="Arial" w:hAnsi="Arial"/>
                <w:b/>
                <w:sz w:val="18"/>
              </w:rPr>
              <w:t>partner-specific connection forms</w:t>
            </w:r>
            <w:r>
              <w:rPr>
                <w:rFonts w:ascii="Arial" w:hAnsi="Arial"/>
                <w:b w:val="0"/>
                <w:sz w:val="18"/>
              </w:rPr>
              <w:t xml:space="preserve"> so each partner link is configured using the exact fields that partner actually needs.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the </w:t>
            </w:r>
            <w:r>
              <w:rPr>
                <w:rFonts w:ascii="Arial" w:hAnsi="Arial"/>
                <w:b/>
                <w:sz w:val="18"/>
              </w:rPr>
              <w:t>back-office API</w:t>
            </w:r>
            <w:r>
              <w:rPr>
                <w:rFonts w:ascii="Arial" w:hAnsi="Arial"/>
                <w:b w:val="0"/>
                <w:sz w:val="18"/>
              </w:rPr>
              <w:t xml:space="preserve"> with new endpoints for managing connections, matching the simplified model end-to-end.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Retired the </w:t>
            </w:r>
            <w:r>
              <w:rPr>
                <w:rFonts w:ascii="Arial" w:hAnsi="Arial"/>
                <w:b/>
                <w:sz w:val="18"/>
              </w:rPr>
              <w:t>unused partner records table</w:t>
            </w:r>
            <w:r>
              <w:rPr>
                <w:rFonts w:ascii="Arial" w:hAnsi="Arial"/>
                <w:b w:val="0"/>
                <w:sz w:val="18"/>
              </w:rPr>
              <w:t xml:space="preserve"> with a safe database migration, reducing surface area and keeping the schema focused.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Delivered a </w:t>
            </w:r>
            <w:r>
              <w:rPr>
                <w:rFonts w:ascii="Arial" w:hAnsi="Arial"/>
                <w:b/>
                <w:sz w:val="18"/>
              </w:rPr>
              <w:t>design specification</w:t>
            </w:r>
            <w:r>
              <w:rPr>
                <w:rFonts w:ascii="Arial" w:hAnsi="Arial"/>
                <w:b w:val="0"/>
                <w:sz w:val="18"/>
              </w:rPr>
              <w:t xml:space="preserve"> describing the new hardcoded-partner model so the team has a single reference for future changes.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automated tests</w:t>
            </w:r>
            <w:r>
              <w:rPr>
                <w:rFonts w:ascii="Arial" w:hAnsi="Arial"/>
                <w:b w:val="0"/>
                <w:sz w:val="18"/>
              </w:rPr>
              <w:t xml:space="preserve"> covering the updated partner service to guard the refactor going forward.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2026-04-18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4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17 files | +7 242 −36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1d41703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Tightened how customer identity is stored and linked across claims records so partner updates always land against the correct customer, with safeguards against accidentally pointing services at the wrong database.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Schema tenant-id hardening, webhook tenant wiring, and seed framework.</w:t>
            </w:r>
            <w:r>
              <w:rPr>
                <w:rFonts w:ascii="Arial" w:hAnsi="Arial"/>
                <w:b w:val="0"/>
                <w:sz w:val="18"/>
              </w:rPr>
              <w:t xml:space="preserve"> Converted the stored </w:t>
            </w:r>
            <w:r>
              <w:rPr>
                <w:rFonts w:ascii="Arial" w:hAnsi="Arial"/>
                <w:b/>
                <w:sz w:val="18"/>
              </w:rPr>
              <w:t>customer identifier</w:t>
            </w:r>
            <w:r>
              <w:rPr>
                <w:rFonts w:ascii="Arial" w:hAnsi="Arial"/>
                <w:b w:val="0"/>
                <w:sz w:val="18"/>
              </w:rPr>
              <w:t xml:space="preserve"> on every claims table into a strongly-typed reference back to the </w:t>
            </w:r>
            <w:r>
              <w:rPr>
                <w:rFonts w:ascii="Arial" w:hAnsi="Arial"/>
                <w:b/>
                <w:sz w:val="18"/>
              </w:rPr>
              <w:t>organizations</w:t>
            </w:r>
            <w:r>
              <w:rPr>
                <w:rFonts w:ascii="Arial" w:hAnsi="Arial"/>
                <w:b w:val="0"/>
                <w:sz w:val="18"/>
              </w:rPr>
              <w:t xml:space="preserve"> table so bad or mismatched values are rejected at the database level.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Shipped the supporting </w:t>
            </w:r>
            <w:r>
              <w:rPr>
                <w:rFonts w:ascii="Arial" w:hAnsi="Arial"/>
                <w:b/>
                <w:sz w:val="18"/>
              </w:rPr>
              <w:t>database migration</w:t>
            </w:r>
            <w:r>
              <w:rPr>
                <w:rFonts w:ascii="Arial" w:hAnsi="Arial"/>
                <w:b w:val="0"/>
                <w:sz w:val="18"/>
              </w:rPr>
              <w:t xml:space="preserve"> that safely converts existing records and adds the new constraints.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</w:t>
            </w:r>
            <w:r>
              <w:rPr>
                <w:rFonts w:ascii="Arial" w:hAnsi="Arial"/>
                <w:b/>
                <w:sz w:val="18"/>
              </w:rPr>
              <w:t>webhook intake</w:t>
            </w:r>
            <w:r>
              <w:rPr>
                <w:rFonts w:ascii="Arial" w:hAnsi="Arial"/>
                <w:b w:val="0"/>
                <w:sz w:val="18"/>
              </w:rPr>
              <w:t xml:space="preserve"> so incoming partner events are attributed to the customer from the </w:t>
            </w:r>
            <w:r>
              <w:rPr>
                <w:rFonts w:ascii="Arial" w:hAnsi="Arial"/>
                <w:b/>
                <w:sz w:val="18"/>
              </w:rPr>
              <w:t>signed-in connection</w:t>
            </w:r>
            <w:r>
              <w:rPr>
                <w:rFonts w:ascii="Arial" w:hAnsi="Arial"/>
                <w:b w:val="0"/>
                <w:sz w:val="18"/>
              </w:rPr>
              <w:t xml:space="preserve"> rather than trusting a field in the payload, preventing cross-customer drift.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a </w:t>
            </w:r>
            <w:r>
              <w:rPr>
                <w:rFonts w:ascii="Arial" w:hAnsi="Arial"/>
                <w:b/>
                <w:sz w:val="18"/>
              </w:rPr>
              <w:t>startup safety check</w:t>
            </w:r>
            <w:r>
              <w:rPr>
                <w:rFonts w:ascii="Arial" w:hAnsi="Arial"/>
                <w:b w:val="0"/>
                <w:sz w:val="18"/>
              </w:rPr>
              <w:t xml:space="preserve"> in both the main API and sign-in service that refuses to start if pointed at the wrong database, protecting against accidental environment mis-configuration.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Introduced a </w:t>
            </w:r>
            <w:r>
              <w:rPr>
                <w:rFonts w:ascii="Arial" w:hAnsi="Arial"/>
                <w:b/>
                <w:sz w:val="18"/>
              </w:rPr>
              <w:t>reusable seeding framework</w:t>
            </w:r>
            <w:r>
              <w:rPr>
                <w:rFonts w:ascii="Arial" w:hAnsi="Arial"/>
                <w:b w:val="0"/>
                <w:sz w:val="18"/>
              </w:rPr>
              <w:t xml:space="preserve"> with flush support so reference data (like integration providers) can be populated and reset consistently across environments.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Delivered an initial </w:t>
            </w:r>
            <w:r>
              <w:rPr>
                <w:rFonts w:ascii="Arial" w:hAnsi="Arial"/>
                <w:b/>
                <w:sz w:val="18"/>
              </w:rPr>
              <w:t>integration providers seed</w:t>
            </w:r>
            <w:r>
              <w:rPr>
                <w:rFonts w:ascii="Arial" w:hAnsi="Arial"/>
                <w:b w:val="0"/>
                <w:sz w:val="18"/>
              </w:rPr>
              <w:t xml:space="preserve"> so new environments come up with the expected partner catalog out of the box.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2026-04-20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14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52 files | +2 617 −243 |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9ba736d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Set up the full automated delivery pipeline to the staging website and worked through many rounds of fixes so the website, sign-in service, and application all build, deploy, and start cleanly against live hosted infrastructure.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Automated delivery pipeline to branlamie.com staging, plus live pipeline hardening.</w:t>
            </w:r>
            <w:r>
              <w:rPr>
                <w:rFonts w:ascii="Arial" w:hAnsi="Arial"/>
                <w:b w:val="0"/>
                <w:sz w:val="18"/>
              </w:rPr>
              <w:t xml:space="preserve"> Delivered an </w:t>
            </w:r>
            <w:r>
              <w:rPr>
                <w:rFonts w:ascii="Arial" w:hAnsi="Arial"/>
                <w:b/>
                <w:sz w:val="18"/>
              </w:rPr>
              <w:t>end-to-end automated hosted delivery pipeline</w:t>
            </w:r>
            <w:r>
              <w:rPr>
                <w:rFonts w:ascii="Arial" w:hAnsi="Arial"/>
                <w:b w:val="0"/>
                <w:sz w:val="18"/>
              </w:rPr>
              <w:t xml:space="preserve"> so every change flows from automated checks through build, packaging, and rollout to the live staging site.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Provisioned the staging environment as </w:t>
            </w:r>
            <w:r>
              <w:rPr>
                <w:rFonts w:ascii="Arial" w:hAnsi="Arial"/>
                <w:b/>
                <w:sz w:val="18"/>
              </w:rPr>
              <w:t>infrastructure-as-code</w:t>
            </w:r>
            <w:r>
              <w:rPr>
                <w:rFonts w:ascii="Arial" w:hAnsi="Arial"/>
                <w:b w:val="0"/>
                <w:sz w:val="18"/>
              </w:rPr>
              <w:t xml:space="preserve"> — databases, in-memory cache, private network, container registry, a hosted virtual machine, custom domains, and HTTPS — with repeatable apply and rollback.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</w:t>
            </w:r>
            <w:r>
              <w:rPr>
                <w:rFonts w:ascii="Arial" w:hAnsi="Arial"/>
                <w:b/>
                <w:sz w:val="18"/>
              </w:rPr>
              <w:t>operator seeding and bootstrap scripts</w:t>
            </w:r>
            <w:r>
              <w:rPr>
                <w:rFonts w:ascii="Arial" w:hAnsi="Arial"/>
                <w:b w:val="0"/>
                <w:sz w:val="18"/>
              </w:rPr>
              <w:t xml:space="preserve"> so environment secrets, database connection strings, and encryption keys are populated into the managed secret store in one idempotent run.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Hardened the </w:t>
            </w:r>
            <w:r>
              <w:rPr>
                <w:rFonts w:ascii="Arial" w:hAnsi="Arial"/>
                <w:b/>
                <w:sz w:val="18"/>
              </w:rPr>
              <w:t>container images</w:t>
            </w:r>
            <w:r>
              <w:rPr>
                <w:rFonts w:ascii="Arial" w:hAnsi="Arial"/>
                <w:b w:val="0"/>
                <w:sz w:val="18"/>
              </w:rPr>
              <w:t xml:space="preserve"> for the application, the sign-in service, and the public website so each starts cleanly in the hosted environment and follows the expected workspace layout.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Reworked the </w:t>
            </w:r>
            <w:r>
              <w:rPr>
                <w:rFonts w:ascii="Arial" w:hAnsi="Arial"/>
                <w:b/>
                <w:sz w:val="18"/>
              </w:rPr>
              <w:t>sign-in service configuration</w:t>
            </w:r>
            <w:r>
              <w:rPr>
                <w:rFonts w:ascii="Arial" w:hAnsi="Arial"/>
                <w:b w:val="0"/>
                <w:sz w:val="18"/>
              </w:rPr>
              <w:t xml:space="preserve"> so registered redirect addresses and client credentials come from environment configuration, making the service safe to deploy across environments.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Walked the pipeline through successive staging runs, </w:t>
            </w:r>
            <w:r>
              <w:rPr>
                <w:rFonts w:ascii="Arial" w:hAnsi="Arial"/>
                <w:b/>
                <w:sz w:val="18"/>
              </w:rPr>
              <w:t>diagnosing and fixing each failure</w:t>
            </w:r>
            <w:r>
              <w:rPr>
                <w:rFonts w:ascii="Arial" w:hAnsi="Arial"/>
                <w:b w:val="0"/>
                <w:sz w:val="18"/>
              </w:rPr>
              <w:t xml:space="preserve"> surfaced by the live environment — package manager pinning, first-time image bootstrap, migration networking, database name alignment, and standards-compliant token exchange.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Registered the </w:t>
            </w:r>
            <w:r>
              <w:rPr>
                <w:rFonts w:ascii="Arial" w:hAnsi="Arial"/>
                <w:b/>
                <w:sz w:val="18"/>
              </w:rPr>
              <w:t>staging domains</w:t>
            </w:r>
            <w:r>
              <w:rPr>
                <w:rFonts w:ascii="Arial" w:hAnsi="Arial"/>
                <w:b w:val="0"/>
                <w:sz w:val="18"/>
              </w:rPr>
              <w:t xml:space="preserve"> (web app, sign-in, and application interface) with HTTPS so the product is reachable at its friendly URLs, ready for end-to-end user flow testing.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3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17 files | +245 −195 | Tier 2 standard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45d0d54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Diagnosed and fixed a production error blocking every signed-in page on the staging website, and made the site gracefully degrade instead of showing a blank error if a backend hiccup happens.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Staging authentication fix and Server Components resilience.</w:t>
            </w:r>
            <w:r>
              <w:rPr>
                <w:rFonts w:ascii="Arial" w:hAnsi="Arial"/>
                <w:b w:val="0"/>
                <w:sz w:val="18"/>
              </w:rPr>
              <w:t xml:space="preserve"> Diagnosed the root cause of the generic error message users were seeing on the staging site — the </w:t>
            </w:r>
            <w:r>
              <w:rPr>
                <w:rFonts w:ascii="Arial" w:hAnsi="Arial"/>
                <w:b/>
                <w:sz w:val="18"/>
              </w:rPr>
              <w:t>signing-key lookup address</w:t>
            </w:r>
            <w:r>
              <w:rPr>
                <w:rFonts w:ascii="Arial" w:hAnsi="Arial"/>
                <w:b w:val="0"/>
                <w:sz w:val="18"/>
              </w:rPr>
              <w:t xml:space="preserve"> was wrong, so every signed-in request was being rejected.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Corrected the staging configuration to point at the </w:t>
            </w:r>
            <w:r>
              <w:rPr>
                <w:rFonts w:ascii="Arial" w:hAnsi="Arial"/>
                <w:b/>
                <w:sz w:val="18"/>
              </w:rPr>
              <w:t>correct signing-key endpoint</w:t>
            </w:r>
            <w:r>
              <w:rPr>
                <w:rFonts w:ascii="Arial" w:hAnsi="Arial"/>
                <w:b w:val="0"/>
                <w:sz w:val="18"/>
              </w:rPr>
              <w:t xml:space="preserve"> so tokens validate cleanly end-to-end.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Hardened </w:t>
            </w:r>
            <w:r>
              <w:rPr>
                <w:rFonts w:ascii="Arial" w:hAnsi="Arial"/>
                <w:b/>
                <w:sz w:val="18"/>
              </w:rPr>
              <w:t>every signed-in page</w:t>
            </w:r>
            <w:r>
              <w:rPr>
                <w:rFonts w:ascii="Arial" w:hAnsi="Arial"/>
                <w:b w:val="0"/>
                <w:sz w:val="18"/>
              </w:rPr>
              <w:t xml:space="preserve"> (claims, jobs, quotes, invoices, reports, vendors, purchase orders, and related detail screens) so future backend hiccups surface as empty states or clean not-found pages instead of the generic error message.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Aligned every server-rendered page on the </w:t>
            </w:r>
            <w:r>
              <w:rPr>
                <w:rFonts w:ascii="Arial" w:hAnsi="Arial"/>
                <w:b/>
                <w:sz w:val="18"/>
              </w:rPr>
              <w:t>shared tenant-aware request helper</w:t>
            </w:r>
            <w:r>
              <w:rPr>
                <w:rFonts w:ascii="Arial" w:hAnsi="Arial"/>
                <w:b w:val="0"/>
                <w:sz w:val="18"/>
              </w:rPr>
              <w:t xml:space="preserve"> so the customer identifier is always forwarded to the backend consistently.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Tightened the </w:t>
            </w:r>
            <w:r>
              <w:rPr>
                <w:rFonts w:ascii="Arial" w:hAnsi="Arial"/>
                <w:b/>
                <w:sz w:val="18"/>
              </w:rPr>
              <w:t>backend tenant resolver</w:t>
            </w:r>
            <w:r>
              <w:rPr>
                <w:rFonts w:ascii="Arial" w:hAnsi="Arial"/>
                <w:b w:val="0"/>
                <w:sz w:val="18"/>
              </w:rPr>
              <w:t xml:space="preserve"> to ignore blank-or-whitespace values, removing a class of silent mis-routes.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Verified the staging database shape (tables, applied migrations, row counts) against the expected model while investigating.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4.5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 files | +1 107 −33 | Tier 2 standard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2f01230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Redesigned the public marketing home page so it looks like a modern, professional product site with a custom hero illustration and a consistent style across every section.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Redesign marketing landing page with bespoke hero illustration.</w:t>
            </w:r>
            <w:r>
              <w:rPr>
                <w:rFonts w:ascii="Arial" w:hAnsi="Arial"/>
                <w:b w:val="0"/>
                <w:sz w:val="18"/>
              </w:rPr>
              <w:t xml:space="preserve"> Rebuilt the public </w:t>
            </w:r>
            <w:r>
              <w:rPr>
                <w:rFonts w:ascii="Arial" w:hAnsi="Arial"/>
                <w:b/>
                <w:sz w:val="18"/>
              </w:rPr>
              <w:t>home page</w:t>
            </w:r>
            <w:r>
              <w:rPr>
                <w:rFonts w:ascii="Arial" w:hAnsi="Arial"/>
                <w:b w:val="0"/>
                <w:sz w:val="18"/>
              </w:rPr>
              <w:t xml:space="preserve"> as a proper marketing site with a clean, alternating-section layout, consistent typography, and a cohesive colour palette drawn from the company's other product sites.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Delivered a distinctive </w:t>
            </w:r>
            <w:r>
              <w:rPr>
                <w:rFonts w:ascii="Arial" w:hAnsi="Arial"/>
                <w:b/>
                <w:sz w:val="18"/>
              </w:rPr>
              <w:t>hero section</w:t>
            </w:r>
            <w:r>
              <w:rPr>
                <w:rFonts w:ascii="Arial" w:hAnsi="Arial"/>
                <w:b w:val="0"/>
                <w:sz w:val="18"/>
              </w:rPr>
              <w:t xml:space="preserve"> with a custom-generated product illustration, headline and subtitle, primary and secondary calls-to-action, customer rating, and high-level trust indicators.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sections for </w:t>
            </w:r>
            <w:r>
              <w:rPr>
                <w:rFonts w:ascii="Arial" w:hAnsi="Arial"/>
                <w:b/>
                <w:sz w:val="18"/>
              </w:rPr>
              <w:t>the problem we solve</w:t>
            </w:r>
            <w:r>
              <w:rPr>
                <w:rFonts w:ascii="Arial" w:hAnsi="Arial"/>
                <w:b w:val="0"/>
                <w:sz w:val="18"/>
              </w:rPr>
              <w:t xml:space="preserve">, a </w:t>
            </w:r>
            <w:r>
              <w:rPr>
                <w:rFonts w:ascii="Arial" w:hAnsi="Arial"/>
                <w:b/>
                <w:sz w:val="18"/>
              </w:rPr>
              <w:t>unified-records</w:t>
            </w:r>
            <w:r>
              <w:rPr>
                <w:rFonts w:ascii="Arial" w:hAnsi="Arial"/>
                <w:b w:val="0"/>
                <w:sz w:val="18"/>
              </w:rPr>
              <w:t xml:space="preserve"> overview, </w:t>
            </w:r>
            <w:r>
              <w:rPr>
                <w:rFonts w:ascii="Arial" w:hAnsi="Arial"/>
                <w:b/>
                <w:sz w:val="18"/>
              </w:rPr>
              <w:t>workflow automation</w:t>
            </w:r>
            <w:r>
              <w:rPr>
                <w:rFonts w:ascii="Arial" w:hAnsi="Arial"/>
                <w:b w:val="0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operational reporting</w:t>
            </w:r>
            <w:r>
              <w:rPr>
                <w:rFonts w:ascii="Arial" w:hAnsi="Arial"/>
                <w:b w:val="0"/>
                <w:sz w:val="18"/>
              </w:rPr>
              <w:t xml:space="preserve">, and </w:t>
            </w:r>
            <w:r>
              <w:rPr>
                <w:rFonts w:ascii="Arial" w:hAnsi="Arial"/>
                <w:b/>
                <w:sz w:val="18"/>
              </w:rPr>
              <w:t>professional-standards assurances</w:t>
            </w:r>
            <w:r>
              <w:rPr>
                <w:rFonts w:ascii="Arial" w:hAnsi="Arial"/>
                <w:b w:val="0"/>
                <w:sz w:val="18"/>
              </w:rPr>
              <w:t>, each with supporting visuals.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Included a </w:t>
            </w:r>
            <w:r>
              <w:rPr>
                <w:rFonts w:ascii="Arial" w:hAnsi="Arial"/>
                <w:b/>
                <w:sz w:val="18"/>
              </w:rPr>
              <w:t>sign-up call-to-action</w:t>
            </w:r>
            <w:r>
              <w:rPr>
                <w:rFonts w:ascii="Arial" w:hAnsi="Arial"/>
                <w:b w:val="0"/>
                <w:sz w:val="18"/>
              </w:rPr>
              <w:t xml:space="preserve"> band and a clean </w:t>
            </w:r>
            <w:r>
              <w:rPr>
                <w:rFonts w:ascii="Arial" w:hAnsi="Arial"/>
                <w:b/>
                <w:sz w:val="18"/>
              </w:rPr>
              <w:t>footer</w:t>
            </w:r>
            <w:r>
              <w:rPr>
                <w:rFonts w:ascii="Arial" w:hAnsi="Arial"/>
                <w:b w:val="0"/>
                <w:sz w:val="18"/>
              </w:rPr>
              <w:t xml:space="preserve"> so visitors always have a clear next step.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Produced a bespoke </w:t>
            </w:r>
            <w:r>
              <w:rPr>
                <w:rFonts w:ascii="Arial" w:hAnsi="Arial"/>
                <w:b/>
                <w:sz w:val="18"/>
              </w:rPr>
              <w:t>navy hero visual</w:t>
            </w:r>
            <w:r>
              <w:rPr>
                <w:rFonts w:ascii="Arial" w:hAnsi="Arial"/>
                <w:b w:val="0"/>
                <w:sz w:val="18"/>
              </w:rPr>
              <w:t xml:space="preserve"> (AI-generated) shipped with the site so the page does not rely on stock imagery.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Made the whole page </w:t>
            </w:r>
            <w:r>
              <w:rPr>
                <w:rFonts w:ascii="Arial" w:hAnsi="Arial"/>
                <w:b/>
                <w:sz w:val="18"/>
              </w:rPr>
              <w:t>responsive</w:t>
            </w:r>
            <w:r>
              <w:rPr>
                <w:rFonts w:ascii="Arial" w:hAnsi="Arial"/>
                <w:b w:val="0"/>
                <w:sz w:val="18"/>
              </w:rPr>
              <w:t xml:space="preserve"> so it reads cleanly on phones, tablets, and desktops.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6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75 files | +12 247 −671 | Tier 3 complex / Tier 4 deep integration | Heavy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b093287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Rebuilt the partner-webhook processing pipeline so each incoming event is handed to a managed workflow that runs a short, auditable sequence of steps, with the raw payload archived to object storage and a clean fallback to the existing in-process path.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More0 webhook-workflow app with S3 archive, webhook tools, and event orchestration.</w:t>
            </w:r>
            <w:r>
              <w:rPr>
                <w:rFonts w:ascii="Arial" w:hAnsi="Arial"/>
                <w:b w:val="0"/>
                <w:sz w:val="18"/>
              </w:rPr>
              <w:t xml:space="preserve"> Packaged the webhook pipeline as a self-contained </w:t>
            </w:r>
            <w:r>
              <w:rPr>
                <w:rFonts w:ascii="Arial" w:hAnsi="Arial"/>
                <w:b/>
                <w:sz w:val="18"/>
              </w:rPr>
              <w:t>More0 workflow app</w:t>
            </w:r>
            <w:r>
              <w:rPr>
                <w:rFonts w:ascii="Arial" w:hAnsi="Arial"/>
                <w:b w:val="0"/>
                <w:sz w:val="18"/>
              </w:rPr>
              <w:t xml:space="preserve"> (`process-inbound-event`) that takes an event identifier and drives the end-to-end flow: read the event, archive the raw payload, upsert mapped records, and update the processing log.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Defined six </w:t>
            </w:r>
            <w:r>
              <w:rPr>
                <w:rFonts w:ascii="Arial" w:hAnsi="Arial"/>
                <w:b/>
                <w:sz w:val="18"/>
              </w:rPr>
              <w:t>HTTP tool endpoints</w:t>
            </w:r>
            <w:r>
              <w:rPr>
                <w:rFonts w:ascii="Arial" w:hAnsi="Arial"/>
                <w:b w:val="0"/>
                <w:sz w:val="18"/>
              </w:rPr>
              <w:t xml:space="preserve"> (webhook-event-read, payload-archive, crunchwork-fetch, external-object-upsert, entity-mapper, processing-log-update) behind a shared </w:t>
            </w:r>
            <w:r>
              <w:rPr>
                <w:rFonts w:ascii="Arial" w:hAnsi="Arial"/>
                <w:b/>
                <w:sz w:val="18"/>
              </w:rPr>
              <w:t>tool-auth guard</w:t>
            </w:r>
            <w:r>
              <w:rPr>
                <w:rFonts w:ascii="Arial" w:hAnsi="Arial"/>
                <w:b w:val="0"/>
                <w:sz w:val="18"/>
              </w:rPr>
              <w:t>, each with its own tool descriptor and typed handler, so the workflow can call well-scoped API capabilities.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a new </w:t>
            </w:r>
            <w:r>
              <w:rPr>
                <w:rFonts w:ascii="Arial" w:hAnsi="Arial"/>
                <w:b/>
                <w:sz w:val="18"/>
              </w:rPr>
              <w:t>S3 / MinIO service and module</w:t>
            </w:r>
            <w:r>
              <w:rPr>
                <w:rFonts w:ascii="Arial" w:hAnsi="Arial"/>
                <w:b w:val="0"/>
                <w:sz w:val="18"/>
              </w:rPr>
              <w:t xml:space="preserve"> with configuration wiring so inbound payloads are archived to a dedicated bucket for audit and replay.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Shipped a </w:t>
            </w:r>
            <w:r>
              <w:rPr>
                <w:rFonts w:ascii="Arial" w:hAnsi="Arial"/>
                <w:b/>
                <w:sz w:val="18"/>
              </w:rPr>
              <w:t>database migration and seed-framework entry</w:t>
            </w:r>
            <w:r>
              <w:rPr>
                <w:rFonts w:ascii="Arial" w:hAnsi="Arial"/>
                <w:b w:val="0"/>
                <w:sz w:val="18"/>
              </w:rPr>
              <w:t xml:space="preserve"> (`sample-data.seed.ts`) to support the new archive / processing flow and populate reference data consistently across environments.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the </w:t>
            </w:r>
            <w:r>
              <w:rPr>
                <w:rFonts w:ascii="Arial" w:hAnsi="Arial"/>
                <w:b/>
                <w:sz w:val="18"/>
              </w:rPr>
              <w:t>webhook orchestrator</w:t>
            </w:r>
            <w:r>
              <w:rPr>
                <w:rFonts w:ascii="Arial" w:hAnsi="Arial"/>
                <w:b w:val="0"/>
                <w:sz w:val="18"/>
              </w:rPr>
              <w:t xml:space="preserve"> and event-type resolver to dispatch to the workflow when enabled, while keeping the legacy in-process path as an environment-switchable fallback.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</w:t>
            </w:r>
            <w:r>
              <w:rPr>
                <w:rFonts w:ascii="Arial" w:hAnsi="Arial"/>
                <w:b/>
                <w:sz w:val="18"/>
              </w:rPr>
              <w:t>external-object service, entity mapper registry, and partner mappers</w:t>
            </w:r>
            <w:r>
              <w:rPr>
                <w:rFonts w:ascii="Arial" w:hAnsi="Arial"/>
                <w:b w:val="0"/>
                <w:sz w:val="18"/>
              </w:rPr>
              <w:t xml:space="preserve"> (appointment, attachment, claim, invoice, job, message, purchase order, quote, report, task) to plug into the new pipeline cleanly.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Wired the </w:t>
            </w:r>
            <w:r>
              <w:rPr>
                <w:rFonts w:ascii="Arial" w:hAnsi="Arial"/>
                <w:b/>
                <w:sz w:val="18"/>
              </w:rPr>
              <w:t>deployment layer</w:t>
            </w:r>
            <w:r>
              <w:rPr>
                <w:rFonts w:ascii="Arial" w:hAnsi="Arial"/>
                <w:b w:val="0"/>
                <w:sz w:val="18"/>
              </w:rPr>
              <w:t xml:space="preserve"> — Docker Compose for local, Kubernetes external-secrets and api-server manifests, and the Terraform secrets module — so the new bucket, More0 config, and environment toggles are available in every environment.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Retired the previous `external/tools` module in favour of the new </w:t>
            </w:r>
            <w:r>
              <w:rPr>
                <w:rFonts w:ascii="Arial" w:hAnsi="Arial"/>
                <w:b/>
                <w:sz w:val="18"/>
              </w:rPr>
              <w:t>webhook-tools module</w:t>
            </w:r>
            <w:r>
              <w:rPr>
                <w:rFonts w:ascii="Arial" w:hAnsi="Arial"/>
                <w:b w:val="0"/>
                <w:sz w:val="18"/>
              </w:rPr>
              <w:t xml:space="preserve"> and documented the whole pipeline in an implementation note.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unit specs for the </w:t>
            </w:r>
            <w:r>
              <w:rPr>
                <w:rFonts w:ascii="Arial" w:hAnsi="Arial"/>
                <w:b/>
                <w:sz w:val="18"/>
              </w:rPr>
              <w:t>orchestrator and More0 service</w:t>
            </w:r>
            <w:r>
              <w:rPr>
                <w:rFonts w:ascii="Arial" w:hAnsi="Arial"/>
                <w:b w:val="0"/>
                <w:sz w:val="18"/>
              </w:rPr>
              <w:t xml:space="preserve"> plus a client-test script for the workflow so the integration can be exercised end-to-end without the partner.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2026-04-22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4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25 files | +2 599 −557 | Tier 2 standard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ff299f5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Rebuilt every list screen — claims, jobs, invoices, quotes, purchase orders, reports, and vendors — around a shared, consistent layout with the same filters, search, and table behaviour so the application feels like one coherent product.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Unified list pages with shared filters and cleaner detail view.</w:t>
            </w:r>
            <w:r>
              <w:rPr>
                <w:rFonts w:ascii="Arial" w:hAnsi="Arial"/>
                <w:b w:val="0"/>
                <w:sz w:val="18"/>
              </w:rPr>
              <w:t xml:space="preserve"> Introduced a </w:t>
            </w:r>
            <w:r>
              <w:rPr>
                <w:rFonts w:ascii="Arial" w:hAnsi="Arial"/>
                <w:b/>
                <w:sz w:val="18"/>
              </w:rPr>
              <w:t>shared list-filters component</w:t>
            </w:r>
            <w:r>
              <w:rPr>
                <w:rFonts w:ascii="Arial" w:hAnsi="Arial"/>
                <w:b w:val="0"/>
                <w:sz w:val="18"/>
              </w:rPr>
              <w:t xml:space="preserve"> used by every list screen so search, status, date, and other filter controls look and behave identically everywhere.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Rebuilt the </w:t>
            </w:r>
            <w:r>
              <w:rPr>
                <w:rFonts w:ascii="Arial" w:hAnsi="Arial"/>
                <w:b/>
                <w:sz w:val="18"/>
              </w:rPr>
              <w:t>list clients</w:t>
            </w:r>
            <w:r>
              <w:rPr>
                <w:rFonts w:ascii="Arial" w:hAnsi="Arial"/>
                <w:b w:val="0"/>
                <w:sz w:val="18"/>
              </w:rPr>
              <w:t xml:space="preserve"> for claims, jobs, invoices, quotes, purchase orders, reports, and vendors around a single consistent table-based layout, replacing the older mixed card-and-table approach.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Retired the legacy </w:t>
            </w:r>
            <w:r>
              <w:rPr>
                <w:rFonts w:ascii="Arial" w:hAnsi="Arial"/>
                <w:b/>
                <w:sz w:val="18"/>
              </w:rPr>
              <w:t>per-entity card components</w:t>
            </w:r>
            <w:r>
              <w:rPr>
                <w:rFonts w:ascii="Arial" w:hAnsi="Arial"/>
                <w:b w:val="0"/>
                <w:sz w:val="18"/>
              </w:rPr>
              <w:t xml:space="preserve"> (ClaimCard, InvoiceCard, JobCard, PurchaseOrderCard, QuoteCard, ReportCard) so there is one canonical presentation for list items, reducing visual drift and maintenance cost.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Tightened the </w:t>
            </w:r>
            <w:r>
              <w:rPr>
                <w:rFonts w:ascii="Arial" w:hAnsi="Arial"/>
                <w:b/>
                <w:sz w:val="18"/>
              </w:rPr>
              <w:t>claim detail page</w:t>
            </w:r>
            <w:r>
              <w:rPr>
                <w:rFonts w:ascii="Arial" w:hAnsi="Arial"/>
                <w:b w:val="0"/>
                <w:sz w:val="18"/>
              </w:rPr>
              <w:t xml:space="preserve"> and matching loading state for a faster, cleaner read, and aligned the associated page clients (invoices, jobs) on the new layout.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Aligned </w:t>
            </w:r>
            <w:r>
              <w:rPr>
                <w:rFonts w:ascii="Arial" w:hAnsi="Arial"/>
                <w:b/>
                <w:sz w:val="18"/>
              </w:rPr>
              <w:t>server-rendered pages</w:t>
            </w:r>
            <w:r>
              <w:rPr>
                <w:rFonts w:ascii="Arial" w:hAnsi="Arial"/>
                <w:b w:val="0"/>
                <w:sz w:val="18"/>
              </w:rPr>
              <w:t xml:space="preserve"> across the app on the new list structure so page headings, empty states, and data flow match end-to-end.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shared </w:t>
            </w:r>
            <w:r>
              <w:rPr>
                <w:rFonts w:ascii="Arial" w:hAnsi="Arial"/>
                <w:b/>
                <w:sz w:val="18"/>
              </w:rPr>
              <w:t>API types</w:t>
            </w:r>
            <w:r>
              <w:rPr>
                <w:rFonts w:ascii="Arial" w:hAnsi="Arial"/>
                <w:b w:val="0"/>
                <w:sz w:val="18"/>
              </w:rPr>
              <w:t xml:space="preserve"> to support the unified filter surface across list screens.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2026-04-23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2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45 files | +3 887 −960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96dbedc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Staff see a clearer job screen with organized tabs and sign-in pages that match the rest of the product.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Job detail workspace and refreshed sign-in experience.</w:t>
            </w:r>
            <w:r>
              <w:rPr>
                <w:rFonts w:ascii="Arial" w:hAnsi="Arial"/>
                <w:b w:val="0"/>
                <w:sz w:val="18"/>
              </w:rPr>
              <w:t xml:space="preserve"> Delivered a clearer job workspace with dedicated tabs for appointments, documents, messages, finances, parties, tasks, and job-type specifics so everything related to a job is easy to find.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Modernized the sign-in, registration, and sign-out screens to match the product's visual standards and keep the first impression consistent with the main application.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Introduced reusable building blocks for structured detail views shared across job and claim areas so future screens stay visually aligned with less repeat work.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Expanded job actions and loading behaviour so the page keeps pace with real-world use and surfaces the right information as work moves forward.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Aligned navigation and data typing with the updated screens for fewer surprises during review and smoother handoffs between list and detail views.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Captured the design approach in an implementation note for future maintenance and onboarding.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2026-04-23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5.5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39 files | +574 −689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762bed1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The product now appears under the new EnsureOS name and logo everywhere customers sign in and use the site, with a cleaner two-column sign-in layout.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Rebrand to EnsureOS with logos and unified auth layout.</w:t>
            </w:r>
            <w:r>
              <w:rPr>
                <w:rFonts w:ascii="Arial" w:hAnsi="Arial"/>
                <w:b w:val="0"/>
                <w:sz w:val="18"/>
              </w:rPr>
              <w:t xml:space="preserve"> Rolled out the </w:t>
            </w:r>
            <w:r>
              <w:rPr>
                <w:rFonts w:ascii="Arial" w:hAnsi="Arial"/>
                <w:b/>
                <w:sz w:val="18"/>
              </w:rPr>
              <w:t>EnsureOS</w:t>
            </w:r>
            <w:r>
              <w:rPr>
                <w:rFonts w:ascii="Arial" w:hAnsi="Arial"/>
                <w:b w:val="0"/>
                <w:sz w:val="18"/>
              </w:rPr>
              <w:t xml:space="preserve"> name and </w:t>
            </w:r>
            <w:r>
              <w:rPr>
                <w:rFonts w:ascii="Arial" w:hAnsi="Arial"/>
                <w:b/>
                <w:sz w:val="18"/>
              </w:rPr>
              <w:t>new brand artwork</w:t>
            </w:r>
            <w:r>
              <w:rPr>
                <w:rFonts w:ascii="Arial" w:hAnsi="Arial"/>
                <w:b w:val="0"/>
                <w:sz w:val="18"/>
              </w:rPr>
              <w:t xml:space="preserve"> across the public website, in-app navigation, and browser title areas so the experience reads as one product.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Restyled </w:t>
            </w:r>
            <w:r>
              <w:rPr>
                <w:rFonts w:ascii="Arial" w:hAnsi="Arial"/>
                <w:b/>
                <w:sz w:val="18"/>
              </w:rPr>
              <w:t>sign-in, registration, and sign-out</w:t>
            </w:r>
            <w:r>
              <w:rPr>
                <w:rFonts w:ascii="Arial" w:hAnsi="Arial"/>
                <w:b w:val="0"/>
                <w:sz w:val="18"/>
              </w:rPr>
              <w:t xml:space="preserve"> into a single card with </w:t>
            </w:r>
            <w:r>
              <w:rPr>
                <w:rFonts w:ascii="Arial" w:hAnsi="Arial"/>
                <w:b/>
                <w:sz w:val="18"/>
              </w:rPr>
              <w:t>branding on the left</w:t>
            </w:r>
            <w:r>
              <w:rPr>
                <w:rFonts w:ascii="Arial" w:hAnsi="Arial"/>
                <w:b w:val="0"/>
                <w:sz w:val="18"/>
              </w:rPr>
              <w:t xml:space="preserve"> and the form on a clear white panel, matching the intended first-impression layout.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Replaced legacy sign-in service images and favicon with the </w:t>
            </w:r>
            <w:r>
              <w:rPr>
                <w:rFonts w:ascii="Arial" w:hAnsi="Arial"/>
                <w:b/>
                <w:sz w:val="18"/>
              </w:rPr>
              <w:t>new icon and full logo</w:t>
            </w:r>
            <w:r>
              <w:rPr>
                <w:rFonts w:ascii="Arial" w:hAnsi="Arial"/>
                <w:b w:val="0"/>
                <w:sz w:val="18"/>
              </w:rPr>
              <w:t xml:space="preserve"> assets served from the application and sign-in host.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</w:t>
            </w:r>
            <w:r>
              <w:rPr>
                <w:rFonts w:ascii="Arial" w:hAnsi="Arial"/>
                <w:b/>
                <w:sz w:val="18"/>
              </w:rPr>
              <w:t>page titles and labels</w:t>
            </w:r>
            <w:r>
              <w:rPr>
                <w:rFonts w:ascii="Arial" w:hAnsi="Arial"/>
                <w:b w:val="0"/>
                <w:sz w:val="18"/>
              </w:rPr>
              <w:t xml:space="preserve"> in the main application and supporting API documentation strings so staff and integrations see the new product name consistently.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Adjusted </w:t>
            </w:r>
            <w:r>
              <w:rPr>
                <w:rFonts w:ascii="Arial" w:hAnsi="Arial"/>
                <w:b/>
                <w:sz w:val="18"/>
              </w:rPr>
              <w:t>marketing copy</w:t>
            </w:r>
            <w:r>
              <w:rPr>
                <w:rFonts w:ascii="Arial" w:hAnsi="Arial"/>
                <w:b w:val="0"/>
                <w:sz w:val="18"/>
              </w:rPr>
              <w:t xml:space="preserve"> on the landing page to describe EnsureOS in plain language while keeping the same overall structure.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Confirmed </w:t>
            </w:r>
            <w:r>
              <w:rPr>
                <w:rFonts w:ascii="Arial" w:hAnsi="Arial"/>
                <w:b/>
                <w:sz w:val="18"/>
              </w:rPr>
              <w:t>type checks</w:t>
            </w:r>
            <w:r>
              <w:rPr>
                <w:rFonts w:ascii="Arial" w:hAnsi="Arial"/>
                <w:b w:val="0"/>
                <w:sz w:val="18"/>
              </w:rPr>
              <w:t xml:space="preserve"> on the touched applications after the layout and copy changes.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2026-04-23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62 files | +998 −620 | Tier 2 standard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d38ac0e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Every list and detail screen now shares the same page header, the side navigation and shell were refreshed, and the request-routing piece was renamed in line with the framework update.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List/detail page header unification and request-routing rename.</w:t>
            </w:r>
            <w:r>
              <w:rPr>
                <w:rFonts w:ascii="Arial" w:hAnsi="Arial"/>
                <w:b w:val="0"/>
                <w:sz w:val="18"/>
              </w:rPr>
              <w:t xml:space="preserve"> Introduced a shared </w:t>
            </w:r>
            <w:r>
              <w:rPr>
                <w:rFonts w:ascii="Arial" w:hAnsi="Arial"/>
                <w:b/>
                <w:sz w:val="18"/>
              </w:rPr>
              <w:t>list page header</w:t>
            </w:r>
            <w:r>
              <w:rPr>
                <w:rFonts w:ascii="Arial" w:hAnsi="Arial"/>
                <w:b w:val="0"/>
                <w:sz w:val="18"/>
              </w:rPr>
              <w:t xml:space="preserve"> and </w:t>
            </w:r>
            <w:r>
              <w:rPr>
                <w:rFonts w:ascii="Arial" w:hAnsi="Arial"/>
                <w:b/>
                <w:sz w:val="18"/>
              </w:rPr>
              <w:t>set-page-header</w:t>
            </w:r>
            <w:r>
              <w:rPr>
                <w:rFonts w:ascii="Arial" w:hAnsi="Arial"/>
                <w:b w:val="0"/>
                <w:sz w:val="18"/>
              </w:rPr>
              <w:t xml:space="preserve"> building blocks and applied them consistently across claims, jobs, invoices, quotes, purchase orders, reports, vendors, and connections so every screen opens with the same title, breadcrumb, and action layout.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the </w:t>
            </w:r>
            <w:r>
              <w:rPr>
                <w:rFonts w:ascii="Arial" w:hAnsi="Arial"/>
                <w:b/>
                <w:sz w:val="18"/>
              </w:rPr>
              <w:t>application shell</w:t>
            </w:r>
            <w:r>
              <w:rPr>
                <w:rFonts w:ascii="Arial" w:hAnsi="Arial"/>
                <w:b w:val="0"/>
                <w:sz w:val="18"/>
              </w:rPr>
              <w:t xml:space="preserve"> — side navigation, top bar, layout wrapper, and breadcrumb provider — so navigation feels cohesive across the product.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Renamed the Next.js </w:t>
            </w:r>
            <w:r>
              <w:rPr>
                <w:rFonts w:ascii="Arial" w:hAnsi="Arial"/>
                <w:b/>
                <w:sz w:val="18"/>
              </w:rPr>
              <w:t>middleware module to proxy</w:t>
            </w:r>
            <w:r>
              <w:rPr>
                <w:rFonts w:ascii="Arial" w:hAnsi="Arial"/>
                <w:b w:val="0"/>
                <w:sz w:val="18"/>
              </w:rPr>
              <w:t xml:space="preserve"> to match the current framework convention, keeping existing request-rewriting behaviour.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Swapped in the new </w:t>
            </w:r>
            <w:r>
              <w:rPr>
                <w:rFonts w:ascii="Arial" w:hAnsi="Arial"/>
                <w:b/>
                <w:sz w:val="18"/>
              </w:rPr>
              <w:t>EnsureOS logos and favicons</w:t>
            </w:r>
            <w:r>
              <w:rPr>
                <w:rFonts w:ascii="Arial" w:hAnsi="Arial"/>
                <w:b w:val="0"/>
                <w:sz w:val="18"/>
              </w:rPr>
              <w:t xml:space="preserve"> on both the public sign-in host and the main application for a consistent brand across tabs, headers, and sign-in panels.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Tightened shared UI primitives (tabs and related components) used by the updated pages so the refreshed screens render cleanly.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Aligned marketing and app layout entry points with the new shell so the site loads under the updated branding end to end.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2026-04-23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1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21 files | +496 −270 | Tier 2 standard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597f91a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Staff can return to lists with one tap and see more consistent headers while browsing connections and other business records.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List and detail navigation polish across modules.</w:t>
            </w:r>
            <w:r>
              <w:rPr>
                <w:rFonts w:ascii="Arial" w:hAnsi="Arial"/>
                <w:b w:val="0"/>
                <w:sz w:val="18"/>
              </w:rPr>
              <w:t xml:space="preserve"> Extended shared list and detail headers so titles, breadcrumbs, and primary actions read the same way across claims, jobs, invoices, quotes, purchase orders, reports, vendors, and connections.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a compact back control on detail screens so returning to the parent list is one clear step.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Reworked the connections experience for clearer layout, spacing, and filtering alongside other listing screens.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Restructured claim and job detail areas to align with the updated headers and tab presentation.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Adjusted shared filters and vendor listing behaviour so screens stay predictable as users move between records.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2026-04-24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4.5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13 files | +1 719 −419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dd3cb04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Expanded the internal reference that explains how each partner-system field lines up with our records for claims, jobs, quotes, and service orders, and adjusted the claim and job screens so those references are labelled correctly.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Extended Crunchwork field-mapping documentation and aligned claim/job detail labels.</w:t>
            </w:r>
            <w:r>
              <w:rPr>
                <w:rFonts w:ascii="Arial" w:hAnsi="Arial"/>
                <w:b w:val="0"/>
                <w:sz w:val="18"/>
              </w:rPr>
              <w:t xml:space="preserve"> Grew the internal mapping reference for </w:t>
            </w:r>
            <w:r>
              <w:rPr>
                <w:rFonts w:ascii="Arial" w:hAnsi="Arial"/>
                <w:b/>
                <w:sz w:val="18"/>
              </w:rPr>
              <w:t>claims, jobs, quotes, and purchase orders</w:t>
            </w:r>
            <w:r>
              <w:rPr>
                <w:rFonts w:ascii="Arial" w:hAnsi="Arial"/>
                <w:b w:val="0"/>
                <w:sz w:val="18"/>
              </w:rPr>
              <w:t xml:space="preserve"> so every partner-system field has a clear home in our records, giving the team a single source of truth for integration work.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dedicated mapping guides for </w:t>
            </w:r>
            <w:r>
              <w:rPr>
                <w:rFonts w:ascii="Arial" w:hAnsi="Arial"/>
                <w:b/>
                <w:sz w:val="18"/>
              </w:rPr>
              <w:t>jobs, quotes, and purchase orders</w:t>
            </w:r>
            <w:r>
              <w:rPr>
                <w:rFonts w:ascii="Arial" w:hAnsi="Arial"/>
                <w:b w:val="0"/>
                <w:sz w:val="18"/>
              </w:rPr>
              <w:t xml:space="preserve"> alongside the existing claim mapping so the whole catalogue of tracked records is covered end-to-end.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the matching </w:t>
            </w:r>
            <w:r>
              <w:rPr>
                <w:rFonts w:ascii="Arial" w:hAnsi="Arial"/>
                <w:b/>
                <w:sz w:val="18"/>
              </w:rPr>
              <w:t>module design notes</w:t>
            </w:r>
            <w:r>
              <w:rPr>
                <w:rFonts w:ascii="Arial" w:hAnsi="Arial"/>
                <w:b w:val="0"/>
                <w:sz w:val="18"/>
              </w:rPr>
              <w:t xml:space="preserve"> so their descriptions stay consistent with the mapping reference.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</w:t>
            </w:r>
            <w:r>
              <w:rPr>
                <w:rFonts w:ascii="Arial" w:hAnsi="Arial"/>
                <w:b/>
                <w:sz w:val="18"/>
              </w:rPr>
              <w:t>claim detail screen</w:t>
            </w:r>
            <w:r>
              <w:rPr>
                <w:rFonts w:ascii="Arial" w:hAnsi="Arial"/>
                <w:b w:val="0"/>
                <w:sz w:val="18"/>
              </w:rPr>
              <w:t xml:space="preserve"> to distinguish the insurer's own reference from the partner system's internal identifier and to surface vulnerability, contention, and last-updated information when present.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Polished the </w:t>
            </w:r>
            <w:r>
              <w:rPr>
                <w:rFonts w:ascii="Arial" w:hAnsi="Arial"/>
                <w:b/>
                <w:sz w:val="18"/>
              </w:rPr>
              <w:t>job overview screen</w:t>
            </w:r>
            <w:r>
              <w:rPr>
                <w:rFonts w:ascii="Arial" w:hAnsi="Arial"/>
                <w:b w:val="0"/>
                <w:sz w:val="18"/>
              </w:rPr>
              <w:t xml:space="preserve"> with clearer parent-job and parent-claim links plus an insurer-reference label so staff immediately see which record ties to which external system.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Tightened the shared </w:t>
            </w:r>
            <w:r>
              <w:rPr>
                <w:rFonts w:ascii="Arial" w:hAnsi="Arial"/>
                <w:b/>
                <w:sz w:val="18"/>
              </w:rPr>
              <w:t>claim data shape</w:t>
            </w:r>
            <w:r>
              <w:rPr>
                <w:rFonts w:ascii="Arial" w:hAnsi="Arial"/>
                <w:b w:val="0"/>
                <w:sz w:val="18"/>
              </w:rPr>
              <w:t xml:space="preserve"> so downstream screens can read the newly-mapped fields without manual casting.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2026-04-24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6.5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15 files | +15 373 −147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ebbb86c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Aligned the stored data for quotes and service orders with the partner-system contract and expanded the on-screen detail pages so every field now has a named home, plus a small backend lookup for invoices tied to a job.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Schema alignment for quotes and purchase orders; quote / PO detail screens expanded; invoices-by-job lookup.</w:t>
            </w:r>
            <w:r>
              <w:rPr>
                <w:rFonts w:ascii="Arial" w:hAnsi="Arial"/>
                <w:b w:val="0"/>
                <w:sz w:val="18"/>
              </w:rPr>
              <w:t xml:space="preserve"> Added the missing structural pieces (external-reference keys, parent-cascade deletes, lookup links, child indexes) so quote groups, combos, items and purchase-order groups, combos, items match the partner-system contract end-to-end.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Tightened duplicate-prevention on the core </w:t>
            </w:r>
            <w:r>
              <w:rPr>
                <w:rFonts w:ascii="Arial" w:hAnsi="Arial"/>
                <w:b/>
                <w:sz w:val="18"/>
              </w:rPr>
              <w:t>quotes</w:t>
            </w:r>
            <w:r>
              <w:rPr>
                <w:rFonts w:ascii="Arial" w:hAnsi="Arial"/>
                <w:b w:val="0"/>
                <w:sz w:val="18"/>
              </w:rPr>
              <w:t xml:space="preserve"> and </w:t>
            </w:r>
            <w:r>
              <w:rPr>
                <w:rFonts w:ascii="Arial" w:hAnsi="Arial"/>
                <w:b/>
                <w:sz w:val="18"/>
              </w:rPr>
              <w:t>purchase-orders</w:t>
            </w:r>
            <w:r>
              <w:rPr>
                <w:rFonts w:ascii="Arial" w:hAnsi="Arial"/>
                <w:b w:val="0"/>
                <w:sz w:val="18"/>
              </w:rPr>
              <w:t xml:space="preserve"> records so the same partner record cannot be ingested twice.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Reworked the </w:t>
            </w:r>
            <w:r>
              <w:rPr>
                <w:rFonts w:ascii="Arial" w:hAnsi="Arial"/>
                <w:b/>
                <w:sz w:val="18"/>
              </w:rPr>
              <w:t>quote detail</w:t>
            </w:r>
            <w:r>
              <w:rPr>
                <w:rFonts w:ascii="Arial" w:hAnsi="Arial"/>
                <w:b w:val="0"/>
                <w:sz w:val="18"/>
              </w:rPr>
              <w:t xml:space="preserve"> and </w:t>
            </w:r>
            <w:r>
              <w:rPr>
                <w:rFonts w:ascii="Arial" w:hAnsi="Arial"/>
                <w:b/>
                <w:sz w:val="18"/>
              </w:rPr>
              <w:t>purchase-order detail</w:t>
            </w:r>
            <w:r>
              <w:rPr>
                <w:rFonts w:ascii="Arial" w:hAnsi="Arial"/>
                <w:b w:val="0"/>
                <w:sz w:val="18"/>
              </w:rPr>
              <w:t xml:space="preserve"> screens to present every contract field — identity, parties, parent job and claim, service window, totals, adjustments, and payload fallback — in clearly labelled sections.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Extended the shared frontend data shapes so the new screens read the enriched fields without manual casting.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Added a backend endpoint for </w:t>
            </w:r>
            <w:r>
              <w:rPr>
                <w:rFonts w:ascii="Arial" w:hAnsi="Arial"/>
                <w:b/>
                <w:sz w:val="18"/>
              </w:rPr>
              <w:t>invoices associated with a given job</w:t>
            </w:r>
            <w:r>
              <w:rPr>
                <w:rFonts w:ascii="Arial" w:hAnsi="Arial"/>
                <w:b w:val="0"/>
                <w:sz w:val="18"/>
              </w:rPr>
              <w:t xml:space="preserve"> so that view can surface them directly.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internal mapping reference for quotes and purchase orders to show which parts are now schema-backed and which remain on the mapper backlog.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-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</w:rPr>
              <w:t>2026-04-25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Hours: </w:t>
            </w:r>
            <w:r>
              <w:rPr>
                <w:rFonts w:ascii="Arial" w:hAnsi="Arial"/>
                <w:sz w:val="18"/>
              </w:rPr>
              <w:t>5.5 h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Metrics: </w:t>
            </w:r>
            <w:r>
              <w:rPr>
                <w:rFonts w:ascii="Arial" w:hAnsi="Arial"/>
                <w:sz w:val="18"/>
              </w:rPr>
              <w:t>24 files | +1 292 −719 | Tier 2 standard / Tier 3 complex | Moderate orchestration</w:t>
            </w:r>
          </w:p>
          <w:p>
            <w:r>
              <w:rPr>
                <w:rFonts w:ascii="Arial" w:hAnsi="Arial"/>
                <w:b/>
                <w:sz w:val="18"/>
              </w:rPr>
              <w:t xml:space="preserve">Commit: </w:t>
            </w:r>
            <w:r>
              <w:rPr>
                <w:rFonts w:ascii="Arial" w:hAnsi="Arial"/>
                <w:sz w:val="18"/>
              </w:rPr>
              <w:t>99af045</w:t>
            </w:r>
          </w:p>
          <w:p>
            <w:pPr>
              <w:spacing w:before="120"/>
            </w:pPr>
            <w:r>
              <w:rPr>
                <w:rFonts w:ascii="Arial" w:hAnsi="Arial"/>
                <w:b/>
                <w:sz w:val="18"/>
              </w:rPr>
              <w:t xml:space="preserve">Summary: </w:t>
            </w:r>
            <w:r>
              <w:rPr>
                <w:rFonts w:ascii="Arial" w:hAnsi="Arial"/>
                <w:sz w:val="18"/>
              </w:rPr>
              <w:t>Refreshed the create-record pop-up used across the product and switched the connections list to a cleaner table view with consistent filtering and navigation.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 xml:space="preserve">  </w:t>
            </w:r>
            <w:r>
              <w:rPr>
                <w:rFonts w:ascii="Arial" w:hAnsi="Arial"/>
                <w:b/>
                <w:sz w:val="18"/>
              </w:rPr>
              <w:t>Unified bottom form drawer across create flows, table-based connections, and detail polish.</w:t>
            </w:r>
            <w:r>
              <w:rPr>
                <w:rFonts w:ascii="Arial" w:hAnsi="Arial"/>
                <w:b w:val="0"/>
                <w:sz w:val="18"/>
              </w:rPr>
              <w:t xml:space="preserve"> Delivered a </w:t>
            </w:r>
            <w:r>
              <w:rPr>
                <w:rFonts w:ascii="Arial" w:hAnsi="Arial"/>
                <w:b/>
                <w:sz w:val="18"/>
              </w:rPr>
              <w:t>new shared create-record pop-up</w:t>
            </w:r>
            <w:r>
              <w:rPr>
                <w:rFonts w:ascii="Arial" w:hAnsi="Arial"/>
                <w:b w:val="0"/>
                <w:sz w:val="18"/>
              </w:rPr>
              <w:t xml:space="preserve"> used everywhere in the product (appointments, jobs, messages, invoices, quotes, and reports) so every creation flow looks and behaves the same way.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Rebuilt the </w:t>
            </w:r>
            <w:r>
              <w:rPr>
                <w:rFonts w:ascii="Arial" w:hAnsi="Arial"/>
                <w:b/>
                <w:sz w:val="18"/>
              </w:rPr>
              <w:t>connections list</w:t>
            </w:r>
            <w:r>
              <w:rPr>
                <w:rFonts w:ascii="Arial" w:hAnsi="Arial"/>
                <w:b w:val="0"/>
                <w:sz w:val="18"/>
              </w:rPr>
              <w:t xml:space="preserve"> as a clean table with sort, search, and status-filter controls matching the rest of the product, replacing the older card-grid layout.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Refreshed the </w:t>
            </w:r>
            <w:r>
              <w:rPr>
                <w:rFonts w:ascii="Arial" w:hAnsi="Arial"/>
                <w:b/>
                <w:sz w:val="18"/>
              </w:rPr>
              <w:t>connection detail screen</w:t>
            </w:r>
            <w:r>
              <w:rPr>
                <w:rFonts w:ascii="Arial" w:hAnsi="Arial"/>
                <w:b w:val="0"/>
                <w:sz w:val="18"/>
              </w:rPr>
              <w:t xml:space="preserve"> with a side-sheet edit flow, grouped detail sections, and a consistent activity-events table using the same search, sort, and status controls.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Polished the </w:t>
            </w:r>
            <w:r>
              <w:rPr>
                <w:rFonts w:ascii="Arial" w:hAnsi="Arial"/>
                <w:b/>
                <w:sz w:val="18"/>
              </w:rPr>
              <w:t>claim, job, and purchase-order tabs</w:t>
            </w:r>
            <w:r>
              <w:rPr>
                <w:rFonts w:ascii="Arial" w:hAnsi="Arial"/>
                <w:b w:val="0"/>
                <w:sz w:val="18"/>
              </w:rPr>
              <w:t xml:space="preserve"> so the active tab reads more clearly, and made related-item tables link directly from each row's title instead of a trailing "Open" action.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Updated the </w:t>
            </w:r>
            <w:r>
              <w:rPr>
                <w:rFonts w:ascii="Arial" w:hAnsi="Arial"/>
                <w:b/>
                <w:sz w:val="18"/>
              </w:rPr>
              <w:t>application shell</w:t>
            </w:r>
            <w:r>
              <w:rPr>
                <w:rFonts w:ascii="Arial" w:hAnsi="Arial"/>
                <w:b w:val="0"/>
                <w:sz w:val="18"/>
              </w:rPr>
              <w:t xml:space="preserve"> with a larger brand mark, a new tagline, and a tightened dashboard header so the product reads as one coherent workspace.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8"/>
              </w:rPr>
              <w:t xml:space="preserve">  Aligned every create flow on the new drawer so future forms drop in without duplicating layout code.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Total (billable): 89.5 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0"/>
              </w:rPr>
              <w:t>15 line items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Third-party tooling (Cursor) - reimbursable</w:t>
      </w:r>
    </w:p>
    <w:p>
      <w:r>
        <w:rPr>
          <w:rFonts w:ascii="Arial" w:hAnsi="Arial"/>
          <w:sz w:val="20"/>
        </w:rPr>
        <w:t>Cursor subscription and usage receipts (USD) converted to Australian dollars at 1 USD = 1.5055 AUD. Receipt 2443-8287 AUD matches the processor charge (A$331.22); other rows use the same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Receipt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Date paid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Amount (USD)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FX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b/>
                <w:sz w:val="20"/>
              </w:rPr>
              <w:t>Amount (AUD)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2038-7192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April 16, 2026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$22.73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USD = 1.5055 AUD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$34.22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2443-8287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March 31, 2026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$220.00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USD = 1.5055 AUD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$331.22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2716-2237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April 27, 2026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$60.46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USD = 1.5055 AUD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$91.02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2806-2142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April 30, 2026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$80.13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USD = 1.5055 AUD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$120.64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2928-5652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April 26, 2026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$44.51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1 USD = 1.5055 AUD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18"/>
              </w:rPr>
              <w:t>$67.01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Total reimbursable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/>
                <w:sz w:val="20"/>
              </w:rPr>
              <w:t>$644.11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Amount &amp; payment</w:t>
      </w:r>
    </w:p>
    <w:p>
      <w:r>
        <w:rPr>
          <w:rFonts w:ascii="Arial" w:hAnsi="Arial"/>
          <w:b w:val="0"/>
          <w:sz w:val="20"/>
        </w:rPr>
        <w:t>Billable hours: 89.5 h</w:t>
      </w:r>
    </w:p>
    <w:p>
      <w:r>
        <w:rPr>
          <w:rFonts w:ascii="Arial" w:hAnsi="Arial"/>
          <w:b w:val="0"/>
          <w:sz w:val="20"/>
        </w:rPr>
        <w:t>Rate: $125.00/hr (ex GST)</w:t>
      </w:r>
    </w:p>
    <w:p>
      <w:r>
        <w:rPr>
          <w:rFonts w:ascii="Arial" w:hAnsi="Arial"/>
          <w:b w:val="0"/>
          <w:sz w:val="20"/>
        </w:rPr>
        <w:t>Subtotal (ex GST): $11,187.50</w:t>
      </w:r>
    </w:p>
    <w:p>
      <w:r>
        <w:rPr>
          <w:rFonts w:ascii="Arial" w:hAnsi="Arial"/>
          <w:b w:val="0"/>
          <w:sz w:val="20"/>
        </w:rPr>
        <w:t>GST (10%): $1,118.75</w:t>
      </w:r>
    </w:p>
    <w:p>
      <w:r>
        <w:rPr>
          <w:rFonts w:ascii="Arial" w:hAnsi="Arial"/>
          <w:b/>
          <w:sz w:val="22"/>
        </w:rPr>
        <w:t>Total professional services (inc GST): $12,306.25</w:t>
      </w:r>
    </w:p>
    <w:p>
      <w:r>
        <w:rPr>
          <w:rFonts w:ascii="Arial" w:hAnsi="Arial"/>
          <w:b w:val="0"/>
          <w:sz w:val="20"/>
        </w:rPr>
        <w:t>Plus reimbursable Cursor charges (AUD): $644.11</w:t>
      </w:r>
    </w:p>
    <w:p>
      <w:r>
        <w:rPr>
          <w:rFonts w:ascii="Arial" w:hAnsi="Arial"/>
          <w:b/>
          <w:sz w:val="22"/>
        </w:rPr>
        <w:t>Grand total payable: $12,950.36</w:t>
      </w:r>
    </w:p>
    <w:p/>
    <w:p>
      <w:r>
        <w:rPr>
          <w:rFonts w:ascii="Arial" w:hAnsi="Arial"/>
          <w:b/>
          <w:sz w:val="20"/>
        </w:rPr>
        <w:t xml:space="preserve">Pay to: </w:t>
      </w:r>
      <w:r>
        <w:rPr>
          <w:rFonts w:ascii="Arial" w:hAnsi="Arial"/>
          <w:sz w:val="20"/>
        </w:rPr>
        <w:t>Kiama Hire Pty Ltd</w:t>
      </w:r>
    </w:p>
    <w:p>
      <w:r>
        <w:rPr>
          <w:rFonts w:ascii="Arial" w:hAnsi="Arial"/>
          <w:sz w:val="20"/>
        </w:rPr>
        <w:t>BSB: 062 562</w:t>
      </w:r>
    </w:p>
    <w:p>
      <w:r>
        <w:rPr>
          <w:rFonts w:ascii="Arial" w:hAnsi="Arial"/>
          <w:sz w:val="20"/>
        </w:rPr>
        <w:t>Account: 1033 7743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