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charts/style1.xml" ContentType="application/vnd.ms-office.chartstyle+xml"/>
  <Override PartName="/word/charts/chart1.xml" ContentType="application/vnd.openxmlformats-officedocument.drawingml.chart+xml"/>
  <Override PartName="/word/charts/colors1.xml" ContentType="application/vnd.ms-office.chartcolorstyl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p14">
  <w:body>
    <w:p w14:paraId="5CF4BE0C" w14:textId="3CD93E12" w:rsidR="008940EE" w:rsidRPr="0000197A" w:rsidRDefault="00E24117" w:rsidP="00343D4E">
      <w:pPr>
        <w:pStyle w:val="CoverPageAMainHeading"/>
      </w:pPr>
      <w:r>
        <w:t>Specialized AI Agents as the Scaled Delivery Model for Enterprise AI</w:t>
      </w:r>
    </w:p>
    <w:p w14:paraId="0CB8D856" w14:textId="549B3494" w:rsidR="00D6378D" w:rsidRPr="005D69C8" w:rsidRDefault="00E24117" w:rsidP="005D69C8">
      <w:pPr>
        <w:pStyle w:val="CoverPageASubheading"/>
      </w:pPr>
    </w:p>
    <w:p w14:paraId="5807625B" w14:textId="5D36FAFD" w:rsidR="004255C2" w:rsidRPr="005D69C8" w:rsidRDefault="00BE3A02" w:rsidP="005D69C8">
      <w:pPr>
        <w:pStyle w:val="CoverPageBLowerPortion"/>
      </w:pPr>
      <w:r>
        <w:t>March 15, 2026</w:t>
      </w:r>
    </w:p>
    <w:p w14:paraId="2147A962" w14:textId="11117E58" w:rsidR="00BE3A02" w:rsidRPr="005D69C8" w:rsidRDefault="00BE3A02" w:rsidP="005D69C8">
      <w:pPr>
        <w:pStyle w:val="CoverPageBLowerPortion"/>
      </w:pPr>
      <w:r>
        <w:t>Prepared internally</w:t>
      </w:r>
    </w:p>
    <w:p w14:paraId="1E7E92D1" w14:textId="77777777" w:rsidR="00122E64" w:rsidRDefault="00122E64" w:rsidP="005D69C8">
      <w:pPr>
        <w:pStyle w:val="CoverPageBLowerPortion"/>
      </w:pPr>
    </w:p>
    <w:p w14:paraId="234CDFE7" w14:textId="3108179C" w:rsidR="003C7AB4" w:rsidRDefault="003C7AB4" w:rsidP="005D69C8">
      <w:pPr>
        <w:pStyle w:val="CoverPageBLowerPortion"/>
        <w:sectPr w:rsidR="003C7AB4" w:rsidSect="00A97CC3">
          <w:headerReference w:type="default" r:id="rId8"/>
          <w:footerReference w:type="default" r:id="rId9"/>
          <w:type w:val="continuous"/>
          <w:pgSz w:w="12600" w:h="16200"/>
          <w:pgMar w:top="1440" w:right="1440" w:bottom="1800" w:left="1440" w:header="720" w:footer="1080" w:gutter="0"/>
          <w:cols w:space="720"/>
          <w:docGrid w:linePitch="299"/>
        </w:sectPr>
      </w:pPr>
    </w:p>
    <w:p w14:paraId="25A42981" w14:textId="0EFA5486" w:rsidR="008940EE" w:rsidRDefault="001228B8" w:rsidP="001228B8">
      <w:pPr>
        <w:pStyle w:val="TableofContentsTitle"/>
      </w:pPr>
      <w:r>
        <w:lastRenderedPageBreak/>
        <w:t xml:space="preserve">Table of </w:t>
      </w:r>
      <w:r w:rsidR="00143B51" w:rsidRPr="0087302D">
        <w:t>Contents</w:t>
      </w:r>
    </w:p>
    <w:p w14:paraId="6D8ABE3F" w14:textId="1063ED92" w:rsidR="00CC2A7F" w:rsidRDefault="004724EE">
      <w:pPr>
        <w:pStyle w:val="TOC1"/>
        <w:tabs>
          <w:tab w:val="right" w:leader="dot" w:pos="9710"/>
        </w:tabs>
        <w:rPr>
          <w:rFonts w:eastAsiaTheme="minorEastAsia"/>
          <w:noProof/>
          <w:lang w:val="en-CA" w:eastAsia="en-CA"/>
        </w:rPr>
      </w:pPr>
      <w:r>
        <w:fldChar w:fldCharType="begin" w:dirty="true"/>
      </w:r>
      <w:r>
        <w:instrText xml:space="preserve"> TOC \o \h \z \u </w:instrText>
      </w:r>
      <w:r>
        <w:fldChar w:fldCharType="separate"/>
      </w:r>
      <w:r>
        <w:t>The continuing role of general-purpose chat</w:t>
      </w:r>
      <w:r>
        <w:tab/>
      </w:r>
    </w:p>
    <w:p>
      <w:pPr>
        <w:pStyle w:val="TOC1"/>
      </w:pPr>
      <w:r>
        <w:t>Why general chat is not enough for core enterprise work</w:t>
      </w:r>
      <w:r>
        <w:tab/>
      </w:r>
    </w:p>
    <w:p>
      <w:pPr>
        <w:pStyle w:val="TOC1"/>
      </w:pPr>
      <w:r>
        <w:t>Governance as system behavior, not policy documentation</w:t>
      </w:r>
      <w:r>
        <w:tab/>
      </w:r>
    </w:p>
    <w:p>
      <w:pPr>
        <w:pStyle w:val="TOC1"/>
      </w:pPr>
      <w:r>
        <w:t>The economic case: not just inference cost, but total cost of ownership</w:t>
      </w:r>
      <w:r>
        <w:tab/>
      </w:r>
    </w:p>
    <w:p>
      <w:pPr>
        <w:pStyle w:val="TOC1"/>
      </w:pPr>
      <w:r>
        <w:t>Layered architecture and cost discipline</w:t>
      </w:r>
      <w:r>
        <w:tab/>
      </w:r>
    </w:p>
    <w:p>
      <w:pPr>
        <w:pStyle w:val="TOC1"/>
      </w:pPr>
      <w:r>
        <w:t>Quality, consistency, and institutional standards</w:t>
      </w:r>
      <w:r>
        <w:tab/>
      </w:r>
    </w:p>
    <w:p>
      <w:pPr>
        <w:pStyle w:val="TOC1"/>
      </w:pPr>
      <w:r>
        <w:t>Specialized agents and existing enterprise systems</w:t>
      </w:r>
      <w:r>
        <w:tab/>
      </w:r>
    </w:p>
    <w:p>
      <w:pPr>
        <w:pStyle w:val="TOC1"/>
      </w:pPr>
      <w:r>
        <w:t>From task agents to workflow-aware capabilities</w:t>
      </w:r>
      <w:r>
        <w:tab/>
      </w:r>
    </w:p>
    <w:p>
      <w:pPr>
        <w:pStyle w:val="TOC1"/>
      </w:pPr>
      <w:r>
        <w:t>Better organizational learning, with an important caveat</w:t>
      </w:r>
      <w:r>
        <w:tab/>
      </w:r>
    </w:p>
    <w:p>
      <w:pPr>
        <w:pStyle w:val="TOC1"/>
      </w:pPr>
      <w:r>
        <w:t>A more practical enterprise thesis</w:t>
      </w:r>
      <w:r>
        <w:tab/>
      </w:r>
    </w:p>
    <w:p>
      <w:pPr>
        <w:pStyle w:val="TOC1"/>
      </w:pPr>
      <w:r>
        <w:t>Conclusion</w:t>
      </w:r>
      <w:r>
        <w:tab/>
      </w:r>
    </w:p>
    <w:p w14:paraId="34894BDB" w14:textId="5B0BC4D3" w:rsidR="001228B8" w:rsidRPr="00D715D0" w:rsidRDefault="004724EE" w:rsidP="009073D3">
      <w:pPr>
        <w:pStyle w:val="Body"/>
        <w:rPr>
          <w:rFonts w:cstheme="minorHAnsi"/>
        </w:rPr>
      </w:pPr>
      <w:r w:rsidRPr="00D715D0">
        <w:rPr>
          <w:rFonts w:eastAsiaTheme="minorHAnsi" w:cstheme="minorHAnsi"/>
          <w:color w:val="auto"/>
          <w:spacing w:val="0"/>
          <w:szCs w:val="22"/>
        </w:rPr>
        <w:fldChar w:fldCharType="end"/>
      </w:r>
    </w:p>
    <w:p w14:paraId="3FD2B25D" w14:textId="77777777" w:rsidR="00122E64" w:rsidRPr="00D715D0" w:rsidRDefault="00122E64" w:rsidP="008F356F">
      <w:pPr>
        <w:pStyle w:val="Body"/>
        <w:rPr>
          <w:rFonts w:cstheme="minorHAnsi"/>
        </w:rPr>
        <w:sectPr w:rsidR="00122E64" w:rsidRPr="00D715D0" w:rsidSect="00E374B8">
          <w:headerReference w:type="default" r:id="rId10"/>
          <w:footerReference w:type="default" r:id="rId11"/>
          <w:pgSz w:w="12600" w:h="16200"/>
          <w:pgMar w:top="1440" w:right="1440" w:bottom="1800" w:left="1440" w:header="720" w:footer="1080" w:gutter="0"/>
          <w:pgNumType w:fmt="lowerRoman" w:start="1"/>
          <w:cols w:space="720"/>
          <w:docGrid w:linePitch="299"/>
        </w:sectPr>
      </w:pPr>
    </w:p>
    <w:p>
      <w:pPr>
        <w:pStyle w:val="Body"/>
      </w:pPr>
      <w:r>
        <w:t>Most enterprise AI strategies still treat model access as the deliverable. They roll out a general-purpose chatbot, add some light guardrails, and assume value will emerge through use. That approach is understandable, especially in the early stages of adoption. General-purpose chat is flexible, easy to deploy, and useful for exploration, brainstorming, and a wide range of ad-hoc tasks. But access to a model is not the same thing as a scalable operating model. The real challenge is converting AI capability into repeatable, governed, measurable business value.</w:t>
      </w:r>
    </w:p>
    <w:p>
      <w:pPr>
        <w:pStyle w:val="Body"/>
      </w:pPr>
      <w:r>
        <w:t>That is where specialized AI agents become important. The argument is not that general-purpose chatbots have no role. They do. In many organizations, they are the right entry point for experimentation and for servicing the long tail of unpredictable work. The argument is narrower and more practical: for core, repeatable, high-value business processes, specialized AI agents are a stronger enterprise delivery model than open-ended chat alone. They provide better governance, better consistency, better cost discipline, and a more realistic foundation for integrating AI into real work.</w:t>
      </w:r>
    </w:p>
    <w:p>
      <w:pPr>
        <w:pStyle w:val="Body"/>
      </w:pPr>
      <w:r>
        <w:t>A specialized agent, in this context, is not necessarily a separate application with its own interface and its own isolated user experience. In many cases, it is better understood as a bounded skill or service accessed through a unified interface. The user may experience one front door, but behind that front door the system invokes different specialized capabilities depending on the task. One agent may focus on research synthesis, another on presentation creation, another on structured critique, another on communications planning, another on review support. What matters is not whether they appear as separate apps, but whether they are designed with clear purpose, clear scope, and clear operational boundaries.</w:t>
      </w:r>
    </w:p>
    <w:p>
      <w:pPr>
        <w:pStyle w:val="Heading1"/>
      </w:pPr>
      <w:r>
        <w:t>The continuing role of general-purpose chat</w:t>
      </w:r>
    </w:p>
    <w:p>
      <w:pPr>
        <w:pStyle w:val="Body"/>
      </w:pPr>
      <w:r>
        <w:t>Any serious paper on enterprise AI has to acknowledge the real strengths of general-purpose chatbots. They are extremely useful for discovery. They help employees test ideas, explore what AI can do, and handle the constant stream of small or unusual tasks that do not justify custom workflow design. They are also often the fastest way for an organization to learn where AI may create value. Early chatbot usage generates broad signals about employee demand, pain points, and emerging opportunities. In that sense, general-purpose chat is often a necessary phase in enterprise AI maturity.</w:t>
      </w:r>
    </w:p>
    <w:p>
      <w:pPr>
        <w:pStyle w:val="Body"/>
      </w:pPr>
      <w:r>
        <w:t>It also remains the best fit for the long tail of ad-hoc work. Organizations should not build specialized agents for every task that occurs twice a quarter. That would be wasteful and brittle. Many tasks are too infrequent, too ambiguous, or too low-value to justify a bounded capability. For those cases, a well-governed enterprise chatbot is often the right answer.</w:t>
      </w:r>
    </w:p>
    <w:p>
      <w:pPr>
        <w:pStyle w:val="Body"/>
      </w:pPr>
      <w:r>
        <w:t>This matters because the case for specialized agents becomes stronger, not weaker, when the chatbot counterargument is taken seriously. The goal is not to replace general chat everywhere. It is to recognize that open-ended chat, even when governed, is usually an incomplete end-state for the work that matters most.</w:t>
      </w:r>
    </w:p>
    <w:p>
      <w:pPr>
        <w:pStyle w:val="Heading1"/>
      </w:pPr>
      <w:r>
        <w:t>Why general chat is not enough for core enterprise work</w:t>
      </w:r>
    </w:p>
    <w:p>
      <w:pPr>
        <w:pStyle w:val="Body"/>
      </w:pPr>
      <w:r>
        <w:t>The weakness of general-purpose chat in enterprise settings is not that it is unsafe by definition or that it cannot be configured responsibly. Modern enterprise chat deployments can include system prompts, retrieval layers, usage controls, identity integration, and other safeguards. The weakness is structural. Open-ended chat still places too much burden on individual judgment and too little responsibility on system design.</w:t>
      </w:r>
    </w:p>
    <w:p>
      <w:pPr>
        <w:pStyle w:val="Body"/>
      </w:pPr>
      <w:r>
        <w:t>Even in a well-configured chatbot environment, the user is often still responsible for deciding how to frame the task, what context to include, how much source material to upload, how to interpret policy boundaries, how to verify output quality, how to structure follow-on work, and how to move the result through review or approval processes. That may be acceptable for exploratory work. It is much less acceptable for recurring business processes where consistency, traceability, and operational discipline matter.</w:t>
      </w:r>
    </w:p>
    <w:p>
      <w:pPr>
        <w:pStyle w:val="Body"/>
      </w:pPr>
      <w:r>
        <w:t>This is where specialized agents have an advantage. They shift more of the burden from the user into the system. The organization can predefine what the capability is for, what inputs it accepts, what systems it can access, what templates it should use, what it must refuse, and what escalation or handoff rules apply. That makes AI use more intentional and less improvisational.</w:t>
      </w:r>
    </w:p>
    <w:p>
      <w:pPr>
        <w:pStyle w:val="Heading1"/>
      </w:pPr>
      <w:r>
        <w:t>Governance as system behavior, not policy documentation</w:t>
      </w:r>
    </w:p>
    <w:p>
      <w:pPr>
        <w:pStyle w:val="Body"/>
      </w:pPr>
      <w:r>
        <w:t>One of the strongest arguments for specialized agents is that they allow policy to become live system behavior. In many enterprises, policy exists as documentation external to the tool: training decks, usage guidelines, data handling rules, or acceptable-use policies. Those matter, but they are weak controls when staff are under time pressure and trying to get real work done.</w:t>
      </w:r>
    </w:p>
    <w:p>
      <w:pPr>
        <w:pStyle w:val="Body"/>
      </w:pPr>
      <w:r>
        <w:t>Specialized agents can embed those constraints directly into the workflow. A research agent can require source quality thresholds or citation-rich outputs. A communications agent can apply approved templates, enforce brand rules, and require approval before external distribution. A presentation agent can refuse oversized, unstructured document dumps and redirect users toward a retrieval step that narrows source material before generation begins. A gating layer can check whether a request is in scope before expensive processing occurs.</w:t>
      </w:r>
    </w:p>
    <w:p>
      <w:pPr>
        <w:pStyle w:val="Body"/>
      </w:pPr>
      <w:r>
        <w:t>This does not eliminate governance risk, and it does not remove the need for centralized oversight. In fact, the opposite is true: specialized agents only work well if they are governed centrally, versioned carefully, monitored, and tied to authoritative policy sources. But that is precisely the point. Embedding operational rules into bounded capabilities gives organizations a way to make governance practical at the moment of work, instead of relying only on user memory and post hoc review.</w:t>
      </w:r>
    </w:p>
    <w:p>
      <w:pPr>
        <w:pStyle w:val="Heading1"/>
      </w:pPr>
      <w:r>
        <w:t>The economic case: not just inference cost, but total cost of ownership</w:t>
      </w:r>
    </w:p>
    <w:p>
      <w:pPr>
        <w:pStyle w:val="Body"/>
      </w:pPr>
      <w:r>
        <w:t>A weaker version of the specialized-agent argument would claim that specialized agents are economically superior simply because they reduce token waste. That is true, but it is not enough. The real economic question is total cost of ownership.</w:t>
      </w:r>
    </w:p>
    <w:p>
      <w:pPr>
        <w:pStyle w:val="Body"/>
      </w:pPr>
      <w:r>
        <w:t>Specialized agents cost money to design, build, test, integrate, secure, monitor, and maintain. They require prompt architecture, domain scoping, system integration, version control, operational ownership, and periodic updating as policies, templates, and underlying APIs change. A company that ignores those costs and builds dozens of low-value agents will create a maintenance burden that outweighs any inference savings.</w:t>
      </w:r>
    </w:p>
    <w:p>
      <w:pPr>
        <w:pStyle w:val="Body"/>
      </w:pPr>
      <w:r>
        <w:t>That means specialized agents should be justified selectively. They make the most sense where work is high-volume, high-value, and repeatable enough to support bounded workflows. In those cases, the value proposition is broader than token savings alone. A strong agent can reduce rework, improve consistency, shorten cycle times, reduce policy errors, improve source quality, support better review discipline, and make outputs more reusable. Those gains may matter more than inference cost itself.</w:t>
      </w:r>
    </w:p>
    <w:p>
      <w:pPr>
        <w:pStyle w:val="Body"/>
      </w:pPr>
      <w:r>
        <w:t>In other words, the economic case for specialized agents is not ideological. It is portfolio-based. Some capabilities deserve targeted investment because they sit on critical paths of enterprise work. Others should remain in the domain of general-purpose chat. That is a more mature frame than treating one model as the answer to everything.</w:t>
      </w:r>
    </w:p>
    <w:p>
      <w:pPr>
        <w:pStyle w:val="Heading1"/>
      </w:pPr>
      <w:r>
        <w:t>Layered architecture and cost discipline</w:t>
      </w:r>
    </w:p>
    <w:p>
      <w:pPr>
        <w:pStyle w:val="Body"/>
      </w:pPr>
      <w:r>
        <w:t>Where specialized agents do create a clear cost advantage is in how they allow model usage to be structured. Not every user request needs premium reasoning, and not every interaction should go directly to a powerful paid model.</w:t>
      </w:r>
    </w:p>
    <w:p>
      <w:pPr>
        <w:pStyle w:val="Body"/>
      </w:pPr>
      <w:r>
        <w:t>A layered architecture can help. Small or local models can sometimes handle cheap but important preprocessing tasks such as intent classification, in-scope versus out-of-scope checks, attachment-size validation, basic sensitivity screening, or routing to the appropriate capability. More capable models can then be reserved for the parts of the task that genuinely justify their cost. Even when small-model routing is imperfect, the broader principle remains sound: expensive inference should be used deliberately, not by default.</w:t>
      </w:r>
    </w:p>
    <w:p>
      <w:pPr>
        <w:pStyle w:val="Body"/>
      </w:pPr>
      <w:r>
        <w:t>That said, routing and orchestration should not be treated as magically solved problems. Misclassification, frustrating handoffs, and workflow dead ends are real risks. This is why the architecture should combine model-based judgment with clear rules, bounded scopes, and conservative failover behavior. The goal is not to create an autonomous routing machine that always knows perfectly what the user wants. The goal is to reduce obvious waste and improve the odds that work is handled by the right capability in the right way.</w:t>
      </w:r>
    </w:p>
    <w:p>
      <w:pPr>
        <w:pStyle w:val="Heading1"/>
      </w:pPr>
      <w:r>
        <w:t>Quality, consistency, and institutional standards</w:t>
      </w:r>
    </w:p>
    <w:p>
      <w:pPr>
        <w:pStyle w:val="Body"/>
      </w:pPr>
      <w:r>
        <w:t>Another major advantage of specialized agents is that they can encode preferred ways of doing recurring work. Most organizations do not want employees merely to "use AI." They want better outputs: better research, better briefs, better presentations, better stakeholder communications, better documentation, better review synthesis.</w:t>
      </w:r>
    </w:p>
    <w:p>
      <w:pPr>
        <w:pStyle w:val="Body"/>
      </w:pPr>
      <w:r>
        <w:t>General-purpose chat can help with all of those tasks, but the quality often depends heavily on the user's prompting skill and persistence. Specialized agents reduce that variability by embedding institutional standards into the process. A writing agent can apply the right document structure and tone. A research agent can insist on stronger sourcing and a standard evidence package. A presentation agent can align to a branded template and a standard slide logic. A critique agent can coordinate structured feedback from multiple models against the project scope. A review-support capability can organize feedback and map it back to specific proposed changes.</w:t>
      </w:r>
    </w:p>
    <w:p>
      <w:pPr>
        <w:pStyle w:val="Body"/>
      </w:pPr>
      <w:r>
        <w:t>The broader value is that institutional knowledge stops living only in experienced employees or scattered chat histories. It becomes operationalized in reusable capabilities. That increases consistency and makes high-quality work less dependent on who happens to be using the system that day.</w:t>
      </w:r>
    </w:p>
    <w:p>
      <w:pPr>
        <w:pStyle w:val="Heading1"/>
      </w:pPr>
      <w:r>
        <w:t>Specialized agents and existing enterprise systems</w:t>
      </w:r>
    </w:p>
    <w:p>
      <w:pPr>
        <w:pStyle w:val="Body"/>
      </w:pPr>
      <w:r>
        <w:t>The specialized-agent model becomes much more credible when it is positioned as an augmentation layer over existing enterprise systems, not a fantasy replacement for them. Enterprises already have systems of record for documents, workflow, communications, approvals, and project tracking. The role of AI should usually be to enhance those systems, not supplant them wholesale.</w:t>
      </w:r>
    </w:p>
    <w:p>
      <w:pPr>
        <w:pStyle w:val="Body"/>
      </w:pPr>
      <w:r>
        <w:t>That means specialized agents should integrate with existing tools such as SharePoint, Outlook, Teams, Jira, ServiceNow, or other platforms already used to manage work. They can help generate artifacts, retrieve relevant materials, synthesize comments, propose changes, prepare communications, or accelerate review cycles. But the authoritative records of projects, documents, approvals, and communications should generally remain in the systems the enterprise already trusts.</w:t>
      </w:r>
    </w:p>
    <w:p>
      <w:pPr>
        <w:pStyle w:val="Body"/>
      </w:pPr>
      <w:r>
        <w:t>This is an important boundary. AI agents are strongest as cognitive and orchestration layers around enterprise work, not as new unofficial systems of record. That distinction also makes the architecture easier to adopt because it aligns with how technical leaders actually think about integration and operational risk.</w:t>
      </w:r>
    </w:p>
    <w:p>
      <w:pPr>
        <w:pStyle w:val="Heading1"/>
      </w:pPr>
      <w:r>
        <w:t>From task agents to workflow-aware capabilities</w:t>
      </w:r>
    </w:p>
    <w:p>
      <w:pPr>
        <w:pStyle w:val="Body"/>
      </w:pPr>
      <w:r>
        <w:t>There is also a useful distinction between bounded task capabilities and broader workflow support. Some specialized agents are essentially task agents. They take well-defined inputs and produce well-defined outputs: a research brief, a slide deck outline, a critique summary, a draft communication plan. These are relatively straightforward to reason about and often the best place to start.</w:t>
      </w:r>
    </w:p>
    <w:p>
      <w:pPr>
        <w:pStyle w:val="Body"/>
      </w:pPr>
      <w:r>
        <w:t>More ambitious capabilities support workflows that unfold over time. They may coordinate feedback collection, approval routing, reminders, status tracking, or project handoffs. These are harder to build and govern because they involve state, multiple participants, multiple systems, and longer-running processes. They should not be treated as a trivial extension of content generation. They represent a meaningful jump in complexity.</w:t>
      </w:r>
    </w:p>
    <w:p>
      <w:pPr>
        <w:pStyle w:val="Body"/>
      </w:pPr>
      <w:r>
        <w:t>Still, they are strategically important because they address where a great deal of enterprise friction actually lives. The pain is often not the first draft. It is the review cycle, the feedback chaos, the missed approvals, the unclear status, and the lack of traceability. AI can create real value here, but organizations should approach workflow-aware capabilities incrementally and connect them to existing enterprise systems rather than treating them as greenfield replacements.</w:t>
      </w:r>
    </w:p>
    <w:p>
      <w:pPr>
        <w:pStyle w:val="Heading1"/>
      </w:pPr>
      <w:r>
        <w:t>Better organizational learning, with an important caveat</w:t>
      </w:r>
    </w:p>
    <w:p>
      <w:pPr>
        <w:pStyle w:val="Body"/>
      </w:pPr>
      <w:r>
        <w:t>A specialized-agent portfolio can also produce more actionable organizational learning. Because each capability maps to a business function or workflow, usage data becomes easier to interpret. The organization can see which capabilities are used most, where bottlenecks occur, which outputs require repeated revision, and where new capabilities may be worth building.</w:t>
      </w:r>
    </w:p>
    <w:p>
      <w:pPr>
        <w:pStyle w:val="Body"/>
      </w:pPr>
      <w:r>
        <w:t>But this benefit comes with a caveat. Specialized agents only produce signal in the areas the organization has already chosen to instrument. General-purpose chat generates a broader, messier signal about emerging and unanticipated needs. That means the two models are complementary. General chat is often better for discovering what people are trying to do. Specialized agents are better for industrializing the workflows that prove valuable enough to deserve dedicated treatment.</w:t>
      </w:r>
    </w:p>
    <w:p>
      <w:pPr>
        <w:pStyle w:val="Body"/>
      </w:pPr>
      <w:r>
        <w:t>This leads to a more realistic maturity model. Many organizations will first use general-purpose chat to explore demand and identify candidate use cases. Over time, they can selectively convert the highest-value, highest-volume, most governable workflows into specialized capabilities. In that sense, general chat is often the discovery layer, while specialized agents become the scaling layer.</w:t>
      </w:r>
    </w:p>
    <w:p>
      <w:pPr>
        <w:pStyle w:val="Heading1"/>
      </w:pPr>
      <w:r>
        <w:t>A more practical enterprise thesis</w:t>
      </w:r>
    </w:p>
    <w:p>
      <w:pPr>
        <w:pStyle w:val="Body"/>
      </w:pPr>
      <w:r>
        <w:t>The most defensible version of this argument is therefore not that specialized agents should replace enterprise chatbots outright. It is that general-purpose chatbots are useful for exploration, experimentation, and the long tail of ad-hoc work, but they are usually not sufficient as the primary delivery model for core, repeatable business processes.</w:t>
      </w:r>
    </w:p>
    <w:p>
      <w:pPr>
        <w:pStyle w:val="Body"/>
      </w:pPr>
      <w:r>
        <w:t>For those core processes, specialized AI agents are better aligned with enterprise realities. They make governance more actionable, quality more consistent, cost more deliberate, and integration with real work more achievable. They support a clearer business case because they can be targeted where the value is highest. And when designed properly, they do not force the organization to choose between flexibility and control. They allow general-purpose chat and specialized capability to coexist, each serving the part of the problem it is actually good at.</w:t>
      </w:r>
    </w:p>
    <w:p>
      <w:pPr>
        <w:pStyle w:val="Heading1"/>
      </w:pPr>
      <w:r>
        <w:t>Conclusion</w:t>
      </w:r>
    </w:p>
    <w:p>
      <w:pPr>
        <w:pStyle w:val="Body"/>
      </w:pPr>
      <w:r>
        <w:t>The strategic question for enterprises is not whether to choose chatbots or specialized agents as if they were mutually exclusive categories. The real question is where open-ended AI is sufficient and where bounded, purpose-built capability is worth the investment.</w:t>
      </w:r>
    </w:p>
    <w:p>
      <w:pPr>
        <w:pStyle w:val="Body"/>
      </w:pPr>
      <w:r>
        <w:t>General-purpose chat should remain part of the enterprise AI stack. It is valuable for discovery, ideation, ad-hoc work, and surfacing unmet needs. But for core, repeatable, high-value business processes, specialized AI agents are the stronger scaled delivery model. They place less burden on individual user skill, translate policy into workflow, make model use more economically intentional, and provide a better foundation for integrating AI into the actual machinery of enterprise work.</w:t>
      </w:r>
    </w:p>
    <w:p>
      <w:pPr>
        <w:pStyle w:val="Body"/>
      </w:pPr>
      <w:r>
        <w:t>Used this way, specialized agents are not the opposite of enterprise chat. They are what enterprise AI matures into once an organization moves beyond model access and starts optimizing for governed, repeatable value.</w:t>
      </w:r>
    </w:p>
    <w:sectPr w:rsidR="00DA7DB9" w:rsidRPr="0064314B" w:rsidSect="00A97CC3">
      <w:footerReference w:type="default" r:id="rId15"/>
      <w:pgSz w:w="12600" w:h="16200"/>
      <w:pgMar w:top="1440" w:right="1440" w:bottom="1800" w:left="1440" w:header="720" w:footer="108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CCE2E0" w14:textId="77777777" w:rsidR="008E2D33" w:rsidRDefault="008E2D33">
      <w:r>
        <w:separator/>
      </w:r>
    </w:p>
  </w:endnote>
  <w:endnote w:type="continuationSeparator" w:id="0">
    <w:p w14:paraId="1F1585F5" w14:textId="77777777" w:rsidR="008E2D33" w:rsidRDefault="008E2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C8771" w14:textId="3612C494" w:rsidR="00051524" w:rsidRDefault="00051524" w:rsidP="00051524">
    <w:pPr>
      <w:pStyle w:val="FooterReportPortraitwithTOC"/>
    </w:pPr>
    <w:r>
      <w:drawing>
        <wp:inline distT="0" distB="0" distL="0" distR="0" wp14:anchorId="5213CDFE" wp14:editId="58BD5A68">
          <wp:extent cx="1815500" cy="321309"/>
          <wp:effectExtent l="0" t="0" r="0" b="3175"/>
          <wp:docPr id="18" name="Picture 18"/>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815500" cy="321309"/>
                  </a:xfrm>
                  <a:prstGeom prst="rect">
                    <a:avLst/>
                  </a:prstGeom>
                </pic:spPr>
              </pic:pic>
            </a:graphicData>
          </a:graphic>
        </wp:inline>
      </w:drawing>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5D4EDA" w14:textId="117DA07C" w:rsidR="0064314B" w:rsidRDefault="0064314B" w:rsidP="00051524">
    <w:pPr>
      <w:pStyle w:val="FooterReportPortraitwithTOC"/>
    </w:pPr>
    <w:r>
      <w:drawing>
        <wp:inline distT="0" distB="0" distL="0" distR="0" wp14:anchorId="54A6EA3E" wp14:editId="53F1AC18">
          <wp:extent cx="1815500" cy="321309"/>
          <wp:effectExtent l="0" t="0" r="0" b="3175"/>
          <wp:docPr id="36" name="Picture 36"/>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815500" cy="321309"/>
                  </a:xfrm>
                  <a:prstGeom prst="rect">
                    <a:avLst/>
                  </a:prstGeom>
                </pic:spPr>
              </pic:pic>
            </a:graphicData>
          </a:graphic>
        </wp:inline>
      </w:drawing>
    </w:r>
    <w:r>
      <w:tab/>
    </w:r>
    <w:r>
      <w:rPr>
        <w:noProof w:val="0"/>
      </w:rPr>
      <w:fldChar w:fldCharType="begin"/>
    </w:r>
    <w:r>
      <w:instrText xml:space="preserve"> PAGE   \* MERGEFORMAT </w:instrText>
    </w:r>
    <w:r>
      <w:rPr>
        <w:noProof w:val="0"/>
      </w:rPr>
      <w:fldChar w:fldCharType="separate"/>
    </w:r>
    <w:r w:rsidR="00474E1F">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7ED48C" w14:textId="4CFDA040" w:rsidR="0064314B" w:rsidRPr="00846888" w:rsidRDefault="0064314B" w:rsidP="00846888">
    <w:pPr>
      <w:pStyle w:val="FooterReportPortraitwithTOC"/>
    </w:pPr>
    <w:r>
      <w:drawing>
        <wp:inline distT="0" distB="0" distL="0" distR="0" wp14:anchorId="571BA4AA" wp14:editId="5C88F3DF">
          <wp:extent cx="1815500" cy="321309"/>
          <wp:effectExtent l="0" t="0" r="0" b="3175"/>
          <wp:docPr id="2" name="Picture 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815500" cy="321309"/>
                  </a:xfrm>
                  <a:prstGeom prst="rect">
                    <a:avLst/>
                  </a:prstGeom>
                </pic:spPr>
              </pic:pic>
            </a:graphicData>
          </a:graphic>
        </wp:inline>
      </w:drawing>
    </w:r>
    <w:r>
      <w:tab/>
    </w:r>
    <w:r>
      <w:rPr>
        <w:noProof w:val="0"/>
      </w:rPr>
      <w:fldChar w:fldCharType="begin"/>
    </w:r>
    <w:r>
      <w:instrText xml:space="preserve"> PAGE   \* MERGEFORMAT </w:instrText>
    </w:r>
    <w:r>
      <w:rPr>
        <w:noProof w:val="0"/>
      </w:rPr>
      <w:fldChar w:fldCharType="separate"/>
    </w:r>
    <w:r w:rsidR="00474E1F">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C68873" w14:textId="77777777" w:rsidR="008E2D33" w:rsidRDefault="008E2D33">
      <w:r>
        <w:separator/>
      </w:r>
    </w:p>
  </w:footnote>
  <w:footnote w:type="continuationSeparator" w:id="0">
    <w:p w14:paraId="65FDA4A6" w14:textId="77777777" w:rsidR="008E2D33" w:rsidRDefault="008E2D33">
      <w:r>
        <w:continuationSeparator/>
      </w:r>
    </w:p>
  </w:footnote>
  <w:footnote w:id="1">
    <w:p w14:paraId="6716C48A" w14:textId="77777777" w:rsidR="00DA7DB9" w:rsidRPr="00B6040E" w:rsidRDefault="00DA7DB9" w:rsidP="00DA7DB9">
      <w:pPr>
        <w:pStyle w:val="FootnoteText"/>
        <w:rPr>
          <w:lang w:val="en-CA"/>
        </w:rPr>
      </w:pPr>
      <w:r>
        <w:rPr>
          <w:rStyle w:val="FootnoteReference"/>
        </w:rPr>
        <w:footnoteRef/>
      </w:r>
      <w:r>
        <w:t xml:space="preserve"> </w:t>
      </w:r>
      <w:r>
        <w:rPr>
          <w:lang w:val="en-CA"/>
        </w:rPr>
        <w:t xml:space="preserve">This is a sample </w:t>
      </w:r>
      <w:r w:rsidRPr="009A6CB7">
        <w:rPr>
          <w:rStyle w:val="CharactersBold"/>
        </w:rPr>
        <w:t>footnote</w:t>
      </w:r>
      <w:r>
        <w:rPr>
          <w:lang w:val="en-C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8EEB56" w14:textId="2A5CC2FA" w:rsidR="00B27ACB" w:rsidRDefault="00B27ACB" w:rsidP="001575A7">
    <w:pPr>
      <w:pStyle w:val="HeaderReportPortraitwithTOC"/>
      <w:tabs>
        <w:tab w:val="clear" w:pos="9360"/>
        <w:tab w:val="right" w:pos="9540"/>
      </w:tabs>
    </w:pPr>
    <w:r>
      <w:tab/>
    </w:r>
    <w:r>
      <w:rPr>
        <w:noProof/>
      </w:rPr>
      <w:drawing>
        <wp:inline distT="0" distB="0" distL="0" distR="0" wp14:anchorId="03E6F51F" wp14:editId="71F6C92C">
          <wp:extent cx="649428" cy="5162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nfoway_Maple_Leaf.png"/>
                  <pic:cNvPicPr/>
                </pic:nvPicPr>
                <pic:blipFill>
                  <a:blip r:embed="rId1"/>
                  <a:stretch>
                    <a:fillRect/>
                  </a:stretch>
                </pic:blipFill>
                <pic:spPr>
                  <a:xfrm>
                    <a:off x="0" y="0"/>
                    <a:ext cx="649428" cy="516255"/>
                  </a:xfrm>
                  <a:prstGeom prst="rect">
                    <a:avLst/>
                  </a:prstGeom>
                </pic:spPr>
              </pic:pic>
            </a:graphicData>
          </a:graphic>
        </wp:inline>
      </w:drawing>
    </w:r>
  </w:p>
  <w:p w14:paraId="058599C5" w14:textId="77777777" w:rsidR="00FE1FCC" w:rsidRDefault="00FE1FCC" w:rsidP="00B879F5">
    <w:pPr>
      <w:spacing w:line="20" w:lineRule="atLeast"/>
      <w:ind w:left="110"/>
      <w:rPr>
        <w:rFonts w:ascii="Calibri" w:eastAsia="Calibri" w:hAnsi="Calibri" w:cs="Calibri"/>
        <w:sz w:val="2"/>
        <w:szCs w:val="2"/>
      </w:rPr>
    </w:pPr>
  </w:p>
</w:hdr>
</file>

<file path=word/header2.xml><?xml version="1.0" encoding="utf-8"?>
<w:hdr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p14">
  <w:p w14:paraId="48AB1ED7" w14:textId="77777777" w:rsidR="00B04496" w:rsidRDefault="00B04496" w:rsidP="001575A7">
    <w:pPr>
      <w:pStyle w:val="HeaderReportPortraitwithTOC"/>
      <w:tabs>
        <w:tab w:val="clear" w:pos="9360"/>
        <w:tab w:val="right" w:pos="9540"/>
      </w:tabs>
    </w:pPr>
    <w:r>
      <w:t>Specialized AI Agents</w:t>
    </w:r>
    <w:r>
      <w:tab/>
    </w:r>
    <w:r>
      <w:rPr>
        <w:noProof/>
      </w:rPr>
      <w:drawing>
        <wp:inline distT="0" distB="0" distL="0" distR="0" wp14:anchorId="733A5231" wp14:editId="746A2596">
          <wp:extent cx="649428" cy="516255"/>
          <wp:effectExtent l="0" t="0" r="0" b="0"/>
          <wp:docPr id="35" name="Picture 35"/>
          <wp:cNvGraphicFramePr>
            <a:graphicFrameLocks noChangeAspect="1"/>
          </wp:cNvGraphicFramePr>
          <a:graphic>
            <a:graphicData uri="http://schemas.openxmlformats.org/drawingml/2006/picture">
              <pic:pic>
                <pic:nvPicPr>
                  <pic:cNvPr id="10" name="Infoway_Maple_Leaf.png"/>
                  <pic:cNvPicPr/>
                </pic:nvPicPr>
                <pic:blipFill>
                  <a:blip r:embed="rId1"/>
                  <a:stretch>
                    <a:fillRect/>
                  </a:stretch>
                </pic:blipFill>
                <pic:spPr>
                  <a:xfrm>
                    <a:off x="0" y="0"/>
                    <a:ext cx="649428" cy="516255"/>
                  </a:xfrm>
                  <a:prstGeom prst="rect">
                    <a:avLst/>
                  </a:prstGeom>
                </pic:spPr>
              </pic:pic>
            </a:graphicData>
          </a:graphic>
        </wp:inline>
      </w:drawing>
    </w:r>
  </w:p>
  <w:p w14:paraId="67CB098D" w14:textId="77777777" w:rsidR="00B04496" w:rsidRDefault="00B04496" w:rsidP="00B879F5">
    <w:pPr>
      <w:spacing w:line="20" w:lineRule="atLeast"/>
      <w:ind w:left="110"/>
      <w:rPr>
        <w:rFonts w:ascii="Calibri" w:eastAsia="Calibri" w:hAnsi="Calibri" w:cs="Calibri"/>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073AB2B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BDCDC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7CA215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C1A0F8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00CDAB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16FB3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B1A56C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5AACD4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E74971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2F0FCA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AA5FF2"/>
    <w:multiLevelType w:val="hybridMultilevel"/>
    <w:tmpl w:val="2BC81C16"/>
    <w:lvl w:ilvl="0" w:tplc="E7E6140C">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DAA7746"/>
    <w:multiLevelType w:val="hybridMultilevel"/>
    <w:tmpl w:val="379CDF2E"/>
    <w:lvl w:ilvl="0" w:tplc="92C417C6">
      <w:start w:val="1"/>
      <w:numFmt w:val="bullet"/>
      <w:pStyle w:val="TableDataBullet"/>
      <w:lvlText w:val="•"/>
      <w:lvlJc w:val="left"/>
      <w:pPr>
        <w:ind w:left="811" w:hanging="332"/>
      </w:pPr>
      <w:rPr>
        <w:rFonts w:ascii="Calibri" w:eastAsia="Calibri" w:hAnsi="Calibri" w:hint="default"/>
        <w:color w:val="757575"/>
        <w:w w:val="97"/>
        <w:sz w:val="24"/>
        <w:szCs w:val="24"/>
      </w:rPr>
    </w:lvl>
    <w:lvl w:ilvl="1" w:tplc="BEB230CA">
      <w:start w:val="1"/>
      <w:numFmt w:val="bullet"/>
      <w:lvlText w:val="•"/>
      <w:lvlJc w:val="left"/>
      <w:pPr>
        <w:ind w:left="1834" w:hanging="332"/>
      </w:pPr>
      <w:rPr>
        <w:rFonts w:hint="default"/>
      </w:rPr>
    </w:lvl>
    <w:lvl w:ilvl="2" w:tplc="FE7EEC82">
      <w:start w:val="1"/>
      <w:numFmt w:val="bullet"/>
      <w:lvlText w:val="•"/>
      <w:lvlJc w:val="left"/>
      <w:pPr>
        <w:ind w:left="2857" w:hanging="332"/>
      </w:pPr>
      <w:rPr>
        <w:rFonts w:hint="default"/>
      </w:rPr>
    </w:lvl>
    <w:lvl w:ilvl="3" w:tplc="F7FE6AA0">
      <w:start w:val="1"/>
      <w:numFmt w:val="bullet"/>
      <w:lvlText w:val="•"/>
      <w:lvlJc w:val="left"/>
      <w:pPr>
        <w:ind w:left="3880" w:hanging="332"/>
      </w:pPr>
      <w:rPr>
        <w:rFonts w:hint="default"/>
      </w:rPr>
    </w:lvl>
    <w:lvl w:ilvl="4" w:tplc="03227394">
      <w:start w:val="1"/>
      <w:numFmt w:val="bullet"/>
      <w:lvlText w:val="•"/>
      <w:lvlJc w:val="left"/>
      <w:pPr>
        <w:ind w:left="4902" w:hanging="332"/>
      </w:pPr>
      <w:rPr>
        <w:rFonts w:hint="default"/>
      </w:rPr>
    </w:lvl>
    <w:lvl w:ilvl="5" w:tplc="95508D38">
      <w:start w:val="1"/>
      <w:numFmt w:val="bullet"/>
      <w:lvlText w:val="•"/>
      <w:lvlJc w:val="left"/>
      <w:pPr>
        <w:ind w:left="5925" w:hanging="332"/>
      </w:pPr>
      <w:rPr>
        <w:rFonts w:hint="default"/>
      </w:rPr>
    </w:lvl>
    <w:lvl w:ilvl="6" w:tplc="1B668B8E">
      <w:start w:val="1"/>
      <w:numFmt w:val="bullet"/>
      <w:lvlText w:val="•"/>
      <w:lvlJc w:val="left"/>
      <w:pPr>
        <w:ind w:left="6948" w:hanging="332"/>
      </w:pPr>
      <w:rPr>
        <w:rFonts w:hint="default"/>
      </w:rPr>
    </w:lvl>
    <w:lvl w:ilvl="7" w:tplc="57F6D1F0">
      <w:start w:val="1"/>
      <w:numFmt w:val="bullet"/>
      <w:lvlText w:val="•"/>
      <w:lvlJc w:val="left"/>
      <w:pPr>
        <w:ind w:left="7971" w:hanging="332"/>
      </w:pPr>
      <w:rPr>
        <w:rFonts w:hint="default"/>
      </w:rPr>
    </w:lvl>
    <w:lvl w:ilvl="8" w:tplc="717C1BDC">
      <w:start w:val="1"/>
      <w:numFmt w:val="bullet"/>
      <w:lvlText w:val="•"/>
      <w:lvlJc w:val="left"/>
      <w:pPr>
        <w:ind w:left="8994" w:hanging="332"/>
      </w:pPr>
      <w:rPr>
        <w:rFonts w:hint="default"/>
      </w:rPr>
    </w:lvl>
  </w:abstractNum>
  <w:abstractNum w:abstractNumId="12" w15:restartNumberingAfterBreak="0">
    <w:nsid w:val="199803FC"/>
    <w:multiLevelType w:val="hybridMultilevel"/>
    <w:tmpl w:val="C68EB8B4"/>
    <w:lvl w:ilvl="0" w:tplc="159EA0F0">
      <w:start w:val="1"/>
      <w:numFmt w:val="bullet"/>
      <w:lvlText w:val="•"/>
      <w:lvlJc w:val="left"/>
      <w:pPr>
        <w:tabs>
          <w:tab w:val="num" w:pos="720"/>
        </w:tabs>
        <w:ind w:left="720" w:hanging="360"/>
      </w:pPr>
      <w:rPr>
        <w:rFonts w:ascii="Times New Roman" w:hAnsi="Times New Roman" w:hint="default"/>
      </w:rPr>
    </w:lvl>
    <w:lvl w:ilvl="1" w:tplc="541E87CE">
      <w:start w:val="1"/>
      <w:numFmt w:val="bullet"/>
      <w:pStyle w:val="BulletLevel2"/>
      <w:lvlText w:val=""/>
      <w:lvlJc w:val="left"/>
      <w:pPr>
        <w:tabs>
          <w:tab w:val="num" w:pos="1440"/>
        </w:tabs>
        <w:ind w:left="1440" w:hanging="360"/>
      </w:pPr>
      <w:rPr>
        <w:rFonts w:ascii="Symbol" w:hAnsi="Symbol" w:hint="default"/>
      </w:rPr>
    </w:lvl>
    <w:lvl w:ilvl="2" w:tplc="AFE8F140">
      <w:start w:val="1"/>
      <w:numFmt w:val="bullet"/>
      <w:lvlText w:val="•"/>
      <w:lvlJc w:val="left"/>
      <w:pPr>
        <w:tabs>
          <w:tab w:val="num" w:pos="2160"/>
        </w:tabs>
        <w:ind w:left="2160" w:hanging="360"/>
      </w:pPr>
      <w:rPr>
        <w:rFonts w:ascii="Times New Roman" w:hAnsi="Times New Roman" w:hint="default"/>
      </w:rPr>
    </w:lvl>
    <w:lvl w:ilvl="3" w:tplc="DCD4361A" w:tentative="1">
      <w:start w:val="1"/>
      <w:numFmt w:val="bullet"/>
      <w:lvlText w:val="•"/>
      <w:lvlJc w:val="left"/>
      <w:pPr>
        <w:tabs>
          <w:tab w:val="num" w:pos="2880"/>
        </w:tabs>
        <w:ind w:left="2880" w:hanging="360"/>
      </w:pPr>
      <w:rPr>
        <w:rFonts w:ascii="Times New Roman" w:hAnsi="Times New Roman" w:hint="default"/>
      </w:rPr>
    </w:lvl>
    <w:lvl w:ilvl="4" w:tplc="D568AD48" w:tentative="1">
      <w:start w:val="1"/>
      <w:numFmt w:val="bullet"/>
      <w:lvlText w:val="•"/>
      <w:lvlJc w:val="left"/>
      <w:pPr>
        <w:tabs>
          <w:tab w:val="num" w:pos="3600"/>
        </w:tabs>
        <w:ind w:left="3600" w:hanging="360"/>
      </w:pPr>
      <w:rPr>
        <w:rFonts w:ascii="Times New Roman" w:hAnsi="Times New Roman" w:hint="default"/>
      </w:rPr>
    </w:lvl>
    <w:lvl w:ilvl="5" w:tplc="188E889A" w:tentative="1">
      <w:start w:val="1"/>
      <w:numFmt w:val="bullet"/>
      <w:lvlText w:val="•"/>
      <w:lvlJc w:val="left"/>
      <w:pPr>
        <w:tabs>
          <w:tab w:val="num" w:pos="4320"/>
        </w:tabs>
        <w:ind w:left="4320" w:hanging="360"/>
      </w:pPr>
      <w:rPr>
        <w:rFonts w:ascii="Times New Roman" w:hAnsi="Times New Roman" w:hint="default"/>
      </w:rPr>
    </w:lvl>
    <w:lvl w:ilvl="6" w:tplc="23DC06BA" w:tentative="1">
      <w:start w:val="1"/>
      <w:numFmt w:val="bullet"/>
      <w:lvlText w:val="•"/>
      <w:lvlJc w:val="left"/>
      <w:pPr>
        <w:tabs>
          <w:tab w:val="num" w:pos="5040"/>
        </w:tabs>
        <w:ind w:left="5040" w:hanging="360"/>
      </w:pPr>
      <w:rPr>
        <w:rFonts w:ascii="Times New Roman" w:hAnsi="Times New Roman" w:hint="default"/>
      </w:rPr>
    </w:lvl>
    <w:lvl w:ilvl="7" w:tplc="47E214DA" w:tentative="1">
      <w:start w:val="1"/>
      <w:numFmt w:val="bullet"/>
      <w:lvlText w:val="•"/>
      <w:lvlJc w:val="left"/>
      <w:pPr>
        <w:tabs>
          <w:tab w:val="num" w:pos="5760"/>
        </w:tabs>
        <w:ind w:left="5760" w:hanging="360"/>
      </w:pPr>
      <w:rPr>
        <w:rFonts w:ascii="Times New Roman" w:hAnsi="Times New Roman" w:hint="default"/>
      </w:rPr>
    </w:lvl>
    <w:lvl w:ilvl="8" w:tplc="3FBA1DC2"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24447409"/>
    <w:multiLevelType w:val="hybridMultilevel"/>
    <w:tmpl w:val="A7A4F1C2"/>
    <w:lvl w:ilvl="0" w:tplc="159EA0F0">
      <w:start w:val="1"/>
      <w:numFmt w:val="bullet"/>
      <w:lvlText w:val="•"/>
      <w:lvlJc w:val="left"/>
      <w:pPr>
        <w:tabs>
          <w:tab w:val="num" w:pos="720"/>
        </w:tabs>
        <w:ind w:left="720" w:hanging="360"/>
      </w:pPr>
      <w:rPr>
        <w:rFonts w:ascii="Times New Roman" w:hAnsi="Times New Roman" w:hint="default"/>
      </w:rPr>
    </w:lvl>
    <w:lvl w:ilvl="1" w:tplc="2F9AB578">
      <w:start w:val="1"/>
      <w:numFmt w:val="bullet"/>
      <w:lvlText w:val="o"/>
      <w:lvlJc w:val="left"/>
      <w:pPr>
        <w:tabs>
          <w:tab w:val="num" w:pos="1440"/>
        </w:tabs>
        <w:ind w:left="1440" w:hanging="360"/>
      </w:pPr>
      <w:rPr>
        <w:rFonts w:ascii="Courier New" w:hAnsi="Courier New" w:cs="Courier New" w:hint="default"/>
      </w:rPr>
    </w:lvl>
    <w:lvl w:ilvl="2" w:tplc="AFE8F140">
      <w:start w:val="1"/>
      <w:numFmt w:val="bullet"/>
      <w:lvlText w:val="•"/>
      <w:lvlJc w:val="left"/>
      <w:pPr>
        <w:tabs>
          <w:tab w:val="num" w:pos="2160"/>
        </w:tabs>
        <w:ind w:left="2160" w:hanging="360"/>
      </w:pPr>
      <w:rPr>
        <w:rFonts w:ascii="Times New Roman" w:hAnsi="Times New Roman" w:hint="default"/>
      </w:rPr>
    </w:lvl>
    <w:lvl w:ilvl="3" w:tplc="DCD4361A" w:tentative="1">
      <w:start w:val="1"/>
      <w:numFmt w:val="bullet"/>
      <w:lvlText w:val="•"/>
      <w:lvlJc w:val="left"/>
      <w:pPr>
        <w:tabs>
          <w:tab w:val="num" w:pos="2880"/>
        </w:tabs>
        <w:ind w:left="2880" w:hanging="360"/>
      </w:pPr>
      <w:rPr>
        <w:rFonts w:ascii="Times New Roman" w:hAnsi="Times New Roman" w:hint="default"/>
      </w:rPr>
    </w:lvl>
    <w:lvl w:ilvl="4" w:tplc="D568AD48" w:tentative="1">
      <w:start w:val="1"/>
      <w:numFmt w:val="bullet"/>
      <w:lvlText w:val="•"/>
      <w:lvlJc w:val="left"/>
      <w:pPr>
        <w:tabs>
          <w:tab w:val="num" w:pos="3600"/>
        </w:tabs>
        <w:ind w:left="3600" w:hanging="360"/>
      </w:pPr>
      <w:rPr>
        <w:rFonts w:ascii="Times New Roman" w:hAnsi="Times New Roman" w:hint="default"/>
      </w:rPr>
    </w:lvl>
    <w:lvl w:ilvl="5" w:tplc="188E889A" w:tentative="1">
      <w:start w:val="1"/>
      <w:numFmt w:val="bullet"/>
      <w:lvlText w:val="•"/>
      <w:lvlJc w:val="left"/>
      <w:pPr>
        <w:tabs>
          <w:tab w:val="num" w:pos="4320"/>
        </w:tabs>
        <w:ind w:left="4320" w:hanging="360"/>
      </w:pPr>
      <w:rPr>
        <w:rFonts w:ascii="Times New Roman" w:hAnsi="Times New Roman" w:hint="default"/>
      </w:rPr>
    </w:lvl>
    <w:lvl w:ilvl="6" w:tplc="23DC06BA" w:tentative="1">
      <w:start w:val="1"/>
      <w:numFmt w:val="bullet"/>
      <w:lvlText w:val="•"/>
      <w:lvlJc w:val="left"/>
      <w:pPr>
        <w:tabs>
          <w:tab w:val="num" w:pos="5040"/>
        </w:tabs>
        <w:ind w:left="5040" w:hanging="360"/>
      </w:pPr>
      <w:rPr>
        <w:rFonts w:ascii="Times New Roman" w:hAnsi="Times New Roman" w:hint="default"/>
      </w:rPr>
    </w:lvl>
    <w:lvl w:ilvl="7" w:tplc="47E214DA" w:tentative="1">
      <w:start w:val="1"/>
      <w:numFmt w:val="bullet"/>
      <w:lvlText w:val="•"/>
      <w:lvlJc w:val="left"/>
      <w:pPr>
        <w:tabs>
          <w:tab w:val="num" w:pos="5760"/>
        </w:tabs>
        <w:ind w:left="5760" w:hanging="360"/>
      </w:pPr>
      <w:rPr>
        <w:rFonts w:ascii="Times New Roman" w:hAnsi="Times New Roman" w:hint="default"/>
      </w:rPr>
    </w:lvl>
    <w:lvl w:ilvl="8" w:tplc="3FBA1DC2"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1F3010A"/>
    <w:multiLevelType w:val="hybridMultilevel"/>
    <w:tmpl w:val="F5508E58"/>
    <w:lvl w:ilvl="0" w:tplc="63E603B0">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8D95EE1"/>
    <w:multiLevelType w:val="hybridMultilevel"/>
    <w:tmpl w:val="3C026252"/>
    <w:lvl w:ilvl="0" w:tplc="527CAE12">
      <w:start w:val="1"/>
      <w:numFmt w:val="decimal"/>
      <w:lvlText w:val="A.%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6" w15:restartNumberingAfterBreak="0">
    <w:nsid w:val="635616D6"/>
    <w:multiLevelType w:val="hybridMultilevel"/>
    <w:tmpl w:val="9F9C8BC4"/>
    <w:lvl w:ilvl="0" w:tplc="81AAD0A6">
      <w:start w:val="1"/>
      <w:numFmt w:val="bullet"/>
      <w:pStyle w:val="Bulletlevel1"/>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11"/>
  </w:num>
  <w:num w:numId="2">
    <w:abstractNumId w:val="14"/>
  </w:num>
  <w:num w:numId="3">
    <w:abstractNumId w:val="13"/>
  </w:num>
  <w:num w:numId="4">
    <w:abstractNumId w:val="12"/>
  </w:num>
  <w:num w:numId="5">
    <w:abstractNumId w:val="15"/>
  </w:num>
  <w:num w:numId="6">
    <w:abstractNumId w:val="10"/>
  </w:num>
  <w:num w:numId="7">
    <w:abstractNumId w:val="11"/>
  </w:num>
  <w:num w:numId="8">
    <w:abstractNumId w:val="16"/>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IdMacAtCleanup w:val="5"/>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xmlns:w15="http://schemas.microsoft.com/office/word/2012/wordml" mc:Ignorable="w14 w15 w16se w16cid">
  <w:zoom w:percent="120"/>
  <w:proofState w:spelling="clean" w:grammar="clean"/>
  <w:attachedTemplate r:id="rId1"/>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01E"/>
    <w:rsid w:val="00001254"/>
    <w:rsid w:val="0000197A"/>
    <w:rsid w:val="000061CC"/>
    <w:rsid w:val="0001000B"/>
    <w:rsid w:val="000135DC"/>
    <w:rsid w:val="000142EC"/>
    <w:rsid w:val="00015A23"/>
    <w:rsid w:val="0002119D"/>
    <w:rsid w:val="00021BF7"/>
    <w:rsid w:val="0002747B"/>
    <w:rsid w:val="00027706"/>
    <w:rsid w:val="00030DE4"/>
    <w:rsid w:val="000310AC"/>
    <w:rsid w:val="00036BFA"/>
    <w:rsid w:val="00044239"/>
    <w:rsid w:val="000453DD"/>
    <w:rsid w:val="000502A2"/>
    <w:rsid w:val="00050742"/>
    <w:rsid w:val="00051524"/>
    <w:rsid w:val="00053CB8"/>
    <w:rsid w:val="00057705"/>
    <w:rsid w:val="00060075"/>
    <w:rsid w:val="00062FC8"/>
    <w:rsid w:val="00067CBE"/>
    <w:rsid w:val="0007092C"/>
    <w:rsid w:val="00073A61"/>
    <w:rsid w:val="00074430"/>
    <w:rsid w:val="00076E1F"/>
    <w:rsid w:val="00080902"/>
    <w:rsid w:val="0008243F"/>
    <w:rsid w:val="000867BC"/>
    <w:rsid w:val="000A780F"/>
    <w:rsid w:val="000B717C"/>
    <w:rsid w:val="000C0292"/>
    <w:rsid w:val="000C405D"/>
    <w:rsid w:val="000D351B"/>
    <w:rsid w:val="000D52D1"/>
    <w:rsid w:val="000E407B"/>
    <w:rsid w:val="000E7A93"/>
    <w:rsid w:val="000F2560"/>
    <w:rsid w:val="000F53E8"/>
    <w:rsid w:val="0010063E"/>
    <w:rsid w:val="00100D12"/>
    <w:rsid w:val="00102646"/>
    <w:rsid w:val="00103DBB"/>
    <w:rsid w:val="00106246"/>
    <w:rsid w:val="0010711E"/>
    <w:rsid w:val="00110434"/>
    <w:rsid w:val="00114607"/>
    <w:rsid w:val="001228B8"/>
    <w:rsid w:val="00122E64"/>
    <w:rsid w:val="00127196"/>
    <w:rsid w:val="00130925"/>
    <w:rsid w:val="00131184"/>
    <w:rsid w:val="00133B27"/>
    <w:rsid w:val="00143B51"/>
    <w:rsid w:val="001452D3"/>
    <w:rsid w:val="001460F3"/>
    <w:rsid w:val="001552EB"/>
    <w:rsid w:val="001559F1"/>
    <w:rsid w:val="00155EA3"/>
    <w:rsid w:val="001575A7"/>
    <w:rsid w:val="001626D7"/>
    <w:rsid w:val="001627E9"/>
    <w:rsid w:val="00163CBF"/>
    <w:rsid w:val="00165986"/>
    <w:rsid w:val="00171E34"/>
    <w:rsid w:val="00173C98"/>
    <w:rsid w:val="00186498"/>
    <w:rsid w:val="001903DD"/>
    <w:rsid w:val="001A0D1D"/>
    <w:rsid w:val="001A1C2C"/>
    <w:rsid w:val="001B2364"/>
    <w:rsid w:val="001B31D2"/>
    <w:rsid w:val="001B581A"/>
    <w:rsid w:val="001D2D9F"/>
    <w:rsid w:val="001D353E"/>
    <w:rsid w:val="001D65EB"/>
    <w:rsid w:val="001D7092"/>
    <w:rsid w:val="001E31A7"/>
    <w:rsid w:val="001E3F3D"/>
    <w:rsid w:val="001E7F92"/>
    <w:rsid w:val="001F4A09"/>
    <w:rsid w:val="001F568F"/>
    <w:rsid w:val="002012AA"/>
    <w:rsid w:val="00201844"/>
    <w:rsid w:val="00206321"/>
    <w:rsid w:val="0021078A"/>
    <w:rsid w:val="00210C3B"/>
    <w:rsid w:val="002123E6"/>
    <w:rsid w:val="00221E3E"/>
    <w:rsid w:val="002273B7"/>
    <w:rsid w:val="002344B6"/>
    <w:rsid w:val="00237241"/>
    <w:rsid w:val="002426B4"/>
    <w:rsid w:val="002512D1"/>
    <w:rsid w:val="00254E77"/>
    <w:rsid w:val="00256656"/>
    <w:rsid w:val="002625FA"/>
    <w:rsid w:val="00266986"/>
    <w:rsid w:val="0027296E"/>
    <w:rsid w:val="00276BEE"/>
    <w:rsid w:val="002773A7"/>
    <w:rsid w:val="00285E1E"/>
    <w:rsid w:val="00290132"/>
    <w:rsid w:val="002A1579"/>
    <w:rsid w:val="002A72AC"/>
    <w:rsid w:val="002B14DC"/>
    <w:rsid w:val="002B2748"/>
    <w:rsid w:val="002B2788"/>
    <w:rsid w:val="002B468E"/>
    <w:rsid w:val="002C1299"/>
    <w:rsid w:val="002C1B55"/>
    <w:rsid w:val="002C7DD2"/>
    <w:rsid w:val="002E09B7"/>
    <w:rsid w:val="002E3025"/>
    <w:rsid w:val="002F1672"/>
    <w:rsid w:val="002F6F68"/>
    <w:rsid w:val="002F7CBF"/>
    <w:rsid w:val="003016C8"/>
    <w:rsid w:val="003052A1"/>
    <w:rsid w:val="00310BB0"/>
    <w:rsid w:val="00313887"/>
    <w:rsid w:val="00314916"/>
    <w:rsid w:val="00326CCB"/>
    <w:rsid w:val="00332D77"/>
    <w:rsid w:val="00333845"/>
    <w:rsid w:val="00343D4E"/>
    <w:rsid w:val="00363639"/>
    <w:rsid w:val="00364DE5"/>
    <w:rsid w:val="0036696A"/>
    <w:rsid w:val="00370735"/>
    <w:rsid w:val="003725A3"/>
    <w:rsid w:val="0037478B"/>
    <w:rsid w:val="00386A47"/>
    <w:rsid w:val="00390606"/>
    <w:rsid w:val="00390F74"/>
    <w:rsid w:val="00391D65"/>
    <w:rsid w:val="00394FCD"/>
    <w:rsid w:val="00395FAF"/>
    <w:rsid w:val="003A29A1"/>
    <w:rsid w:val="003A699C"/>
    <w:rsid w:val="003B4B15"/>
    <w:rsid w:val="003B69EB"/>
    <w:rsid w:val="003B7057"/>
    <w:rsid w:val="003C09D4"/>
    <w:rsid w:val="003C3E53"/>
    <w:rsid w:val="003C59AF"/>
    <w:rsid w:val="003C59DC"/>
    <w:rsid w:val="003C5C69"/>
    <w:rsid w:val="003C5C81"/>
    <w:rsid w:val="003C7AB4"/>
    <w:rsid w:val="003D321C"/>
    <w:rsid w:val="003D4F95"/>
    <w:rsid w:val="003E3FD5"/>
    <w:rsid w:val="003E5B00"/>
    <w:rsid w:val="003E5EC6"/>
    <w:rsid w:val="003F134F"/>
    <w:rsid w:val="003F42E4"/>
    <w:rsid w:val="004011B8"/>
    <w:rsid w:val="00401238"/>
    <w:rsid w:val="00410273"/>
    <w:rsid w:val="004113AD"/>
    <w:rsid w:val="00411C19"/>
    <w:rsid w:val="004138AD"/>
    <w:rsid w:val="00413EAA"/>
    <w:rsid w:val="0041419E"/>
    <w:rsid w:val="004147F3"/>
    <w:rsid w:val="00415A53"/>
    <w:rsid w:val="00415AB4"/>
    <w:rsid w:val="004172F1"/>
    <w:rsid w:val="00421B54"/>
    <w:rsid w:val="004255C2"/>
    <w:rsid w:val="00432DE4"/>
    <w:rsid w:val="00434028"/>
    <w:rsid w:val="004355DB"/>
    <w:rsid w:val="00436BB4"/>
    <w:rsid w:val="00441C8E"/>
    <w:rsid w:val="004471FF"/>
    <w:rsid w:val="00447576"/>
    <w:rsid w:val="00454A97"/>
    <w:rsid w:val="004639E7"/>
    <w:rsid w:val="004646F8"/>
    <w:rsid w:val="004665B8"/>
    <w:rsid w:val="004724EE"/>
    <w:rsid w:val="004736AF"/>
    <w:rsid w:val="00473983"/>
    <w:rsid w:val="00474519"/>
    <w:rsid w:val="00474E1F"/>
    <w:rsid w:val="00482B72"/>
    <w:rsid w:val="0048319D"/>
    <w:rsid w:val="00484DC3"/>
    <w:rsid w:val="00487DFF"/>
    <w:rsid w:val="00494831"/>
    <w:rsid w:val="004A327F"/>
    <w:rsid w:val="004A48D5"/>
    <w:rsid w:val="004A4E84"/>
    <w:rsid w:val="004A6252"/>
    <w:rsid w:val="004A6B59"/>
    <w:rsid w:val="004B1F74"/>
    <w:rsid w:val="004B4283"/>
    <w:rsid w:val="004C2589"/>
    <w:rsid w:val="004C269B"/>
    <w:rsid w:val="004C5625"/>
    <w:rsid w:val="004C702F"/>
    <w:rsid w:val="004D33E7"/>
    <w:rsid w:val="004D3F6A"/>
    <w:rsid w:val="004D797D"/>
    <w:rsid w:val="004E36A5"/>
    <w:rsid w:val="004F1D66"/>
    <w:rsid w:val="004F70A7"/>
    <w:rsid w:val="0050017A"/>
    <w:rsid w:val="005012BA"/>
    <w:rsid w:val="0050579E"/>
    <w:rsid w:val="00506BBC"/>
    <w:rsid w:val="00506E14"/>
    <w:rsid w:val="0051137F"/>
    <w:rsid w:val="00515CA1"/>
    <w:rsid w:val="00524C23"/>
    <w:rsid w:val="005301ED"/>
    <w:rsid w:val="00546934"/>
    <w:rsid w:val="00546D80"/>
    <w:rsid w:val="00547DDD"/>
    <w:rsid w:val="005555CE"/>
    <w:rsid w:val="00557186"/>
    <w:rsid w:val="00563ACB"/>
    <w:rsid w:val="00565ABC"/>
    <w:rsid w:val="005739B5"/>
    <w:rsid w:val="00577A9E"/>
    <w:rsid w:val="00587473"/>
    <w:rsid w:val="005909D1"/>
    <w:rsid w:val="0059456F"/>
    <w:rsid w:val="005A19F8"/>
    <w:rsid w:val="005A3313"/>
    <w:rsid w:val="005A3929"/>
    <w:rsid w:val="005A3FDC"/>
    <w:rsid w:val="005B58A7"/>
    <w:rsid w:val="005B5A78"/>
    <w:rsid w:val="005B7DEB"/>
    <w:rsid w:val="005C11A9"/>
    <w:rsid w:val="005C1BA5"/>
    <w:rsid w:val="005C7E0C"/>
    <w:rsid w:val="005D6407"/>
    <w:rsid w:val="005D69C8"/>
    <w:rsid w:val="005E431C"/>
    <w:rsid w:val="005E46E8"/>
    <w:rsid w:val="005E50FF"/>
    <w:rsid w:val="00600799"/>
    <w:rsid w:val="00602EFD"/>
    <w:rsid w:val="00607700"/>
    <w:rsid w:val="006112A1"/>
    <w:rsid w:val="006118B1"/>
    <w:rsid w:val="00612104"/>
    <w:rsid w:val="006136E7"/>
    <w:rsid w:val="00626032"/>
    <w:rsid w:val="006304EB"/>
    <w:rsid w:val="006371EA"/>
    <w:rsid w:val="00641130"/>
    <w:rsid w:val="0064314B"/>
    <w:rsid w:val="006478E2"/>
    <w:rsid w:val="00656AAF"/>
    <w:rsid w:val="00656EFA"/>
    <w:rsid w:val="00657003"/>
    <w:rsid w:val="00663D93"/>
    <w:rsid w:val="006713A7"/>
    <w:rsid w:val="0067631B"/>
    <w:rsid w:val="00680180"/>
    <w:rsid w:val="00682EC5"/>
    <w:rsid w:val="00683042"/>
    <w:rsid w:val="006834D4"/>
    <w:rsid w:val="00691CF5"/>
    <w:rsid w:val="0069589D"/>
    <w:rsid w:val="006A1ABA"/>
    <w:rsid w:val="006B0DFE"/>
    <w:rsid w:val="006B63A9"/>
    <w:rsid w:val="006B7B5E"/>
    <w:rsid w:val="006C0117"/>
    <w:rsid w:val="006C2F96"/>
    <w:rsid w:val="006C4616"/>
    <w:rsid w:val="006C646B"/>
    <w:rsid w:val="006C6636"/>
    <w:rsid w:val="006C73EB"/>
    <w:rsid w:val="006C797C"/>
    <w:rsid w:val="006D34CF"/>
    <w:rsid w:val="006D477F"/>
    <w:rsid w:val="006D7B06"/>
    <w:rsid w:val="006D7EA3"/>
    <w:rsid w:val="006E3813"/>
    <w:rsid w:val="006E4B07"/>
    <w:rsid w:val="006F01E9"/>
    <w:rsid w:val="006F0696"/>
    <w:rsid w:val="006F787D"/>
    <w:rsid w:val="0070670C"/>
    <w:rsid w:val="00712541"/>
    <w:rsid w:val="00720127"/>
    <w:rsid w:val="007331D2"/>
    <w:rsid w:val="00733246"/>
    <w:rsid w:val="0073566B"/>
    <w:rsid w:val="007464F9"/>
    <w:rsid w:val="00746760"/>
    <w:rsid w:val="00750C32"/>
    <w:rsid w:val="00752E3E"/>
    <w:rsid w:val="0075595F"/>
    <w:rsid w:val="00757A3B"/>
    <w:rsid w:val="0076222F"/>
    <w:rsid w:val="00765120"/>
    <w:rsid w:val="00767A2B"/>
    <w:rsid w:val="007707BF"/>
    <w:rsid w:val="00774A7D"/>
    <w:rsid w:val="007777C1"/>
    <w:rsid w:val="007832BB"/>
    <w:rsid w:val="00787ED8"/>
    <w:rsid w:val="00794AD2"/>
    <w:rsid w:val="00797CFA"/>
    <w:rsid w:val="007A0428"/>
    <w:rsid w:val="007A304E"/>
    <w:rsid w:val="007A48B5"/>
    <w:rsid w:val="007A70C6"/>
    <w:rsid w:val="007B7023"/>
    <w:rsid w:val="007C2597"/>
    <w:rsid w:val="007C633D"/>
    <w:rsid w:val="007D0E91"/>
    <w:rsid w:val="007D343B"/>
    <w:rsid w:val="007D4DF6"/>
    <w:rsid w:val="007D74A3"/>
    <w:rsid w:val="007E130F"/>
    <w:rsid w:val="007E1DC7"/>
    <w:rsid w:val="007E463D"/>
    <w:rsid w:val="007E5D71"/>
    <w:rsid w:val="007F18D5"/>
    <w:rsid w:val="007F2837"/>
    <w:rsid w:val="00801873"/>
    <w:rsid w:val="00807033"/>
    <w:rsid w:val="008127B5"/>
    <w:rsid w:val="008140C6"/>
    <w:rsid w:val="008145BD"/>
    <w:rsid w:val="008149CA"/>
    <w:rsid w:val="00816F6C"/>
    <w:rsid w:val="00820A23"/>
    <w:rsid w:val="00820AE8"/>
    <w:rsid w:val="00833ACE"/>
    <w:rsid w:val="00833E0E"/>
    <w:rsid w:val="00834173"/>
    <w:rsid w:val="008343B9"/>
    <w:rsid w:val="00834971"/>
    <w:rsid w:val="0083689B"/>
    <w:rsid w:val="00837A7F"/>
    <w:rsid w:val="00841105"/>
    <w:rsid w:val="00843FB3"/>
    <w:rsid w:val="00845545"/>
    <w:rsid w:val="00846888"/>
    <w:rsid w:val="00847107"/>
    <w:rsid w:val="008572F6"/>
    <w:rsid w:val="00861335"/>
    <w:rsid w:val="00865E1F"/>
    <w:rsid w:val="008672A4"/>
    <w:rsid w:val="00867652"/>
    <w:rsid w:val="0087302D"/>
    <w:rsid w:val="008744BF"/>
    <w:rsid w:val="0087623F"/>
    <w:rsid w:val="008816E6"/>
    <w:rsid w:val="00883AD2"/>
    <w:rsid w:val="00884269"/>
    <w:rsid w:val="00886BDB"/>
    <w:rsid w:val="00890182"/>
    <w:rsid w:val="00890C9E"/>
    <w:rsid w:val="008940EE"/>
    <w:rsid w:val="00894ED9"/>
    <w:rsid w:val="008A1179"/>
    <w:rsid w:val="008A4F6F"/>
    <w:rsid w:val="008A5581"/>
    <w:rsid w:val="008A6230"/>
    <w:rsid w:val="008A7233"/>
    <w:rsid w:val="008B10D9"/>
    <w:rsid w:val="008B3030"/>
    <w:rsid w:val="008C7085"/>
    <w:rsid w:val="008D4494"/>
    <w:rsid w:val="008D593C"/>
    <w:rsid w:val="008D67EA"/>
    <w:rsid w:val="008E1906"/>
    <w:rsid w:val="008E2D33"/>
    <w:rsid w:val="008E315A"/>
    <w:rsid w:val="008E76C7"/>
    <w:rsid w:val="008F0E86"/>
    <w:rsid w:val="008F1F01"/>
    <w:rsid w:val="008F235F"/>
    <w:rsid w:val="008F2D43"/>
    <w:rsid w:val="008F356F"/>
    <w:rsid w:val="008F3C7B"/>
    <w:rsid w:val="008F4904"/>
    <w:rsid w:val="008F53C0"/>
    <w:rsid w:val="00901FD1"/>
    <w:rsid w:val="0090295B"/>
    <w:rsid w:val="009073D3"/>
    <w:rsid w:val="00913106"/>
    <w:rsid w:val="009150AF"/>
    <w:rsid w:val="00924311"/>
    <w:rsid w:val="00926B91"/>
    <w:rsid w:val="00930D98"/>
    <w:rsid w:val="00937D84"/>
    <w:rsid w:val="00940439"/>
    <w:rsid w:val="00940C81"/>
    <w:rsid w:val="00942090"/>
    <w:rsid w:val="009427B0"/>
    <w:rsid w:val="00946973"/>
    <w:rsid w:val="00953498"/>
    <w:rsid w:val="00956A24"/>
    <w:rsid w:val="009618E6"/>
    <w:rsid w:val="00962074"/>
    <w:rsid w:val="00967130"/>
    <w:rsid w:val="009720F9"/>
    <w:rsid w:val="00973F5F"/>
    <w:rsid w:val="00975204"/>
    <w:rsid w:val="00977A69"/>
    <w:rsid w:val="0098100E"/>
    <w:rsid w:val="00992326"/>
    <w:rsid w:val="00994842"/>
    <w:rsid w:val="009A05F7"/>
    <w:rsid w:val="009A171D"/>
    <w:rsid w:val="009A6CB7"/>
    <w:rsid w:val="009B568D"/>
    <w:rsid w:val="009B5EE6"/>
    <w:rsid w:val="009B6097"/>
    <w:rsid w:val="009B7526"/>
    <w:rsid w:val="009C2A7E"/>
    <w:rsid w:val="009C305C"/>
    <w:rsid w:val="009D0524"/>
    <w:rsid w:val="009D1E84"/>
    <w:rsid w:val="009D2535"/>
    <w:rsid w:val="009D4DFB"/>
    <w:rsid w:val="009D79D7"/>
    <w:rsid w:val="009E628C"/>
    <w:rsid w:val="009E67AD"/>
    <w:rsid w:val="009F2653"/>
    <w:rsid w:val="009F36D6"/>
    <w:rsid w:val="009F699C"/>
    <w:rsid w:val="00A02D9F"/>
    <w:rsid w:val="00A0655E"/>
    <w:rsid w:val="00A1164E"/>
    <w:rsid w:val="00A141FC"/>
    <w:rsid w:val="00A161E9"/>
    <w:rsid w:val="00A22F6E"/>
    <w:rsid w:val="00A23F68"/>
    <w:rsid w:val="00A24D67"/>
    <w:rsid w:val="00A27BD5"/>
    <w:rsid w:val="00A320EE"/>
    <w:rsid w:val="00A33276"/>
    <w:rsid w:val="00A338DF"/>
    <w:rsid w:val="00A40E54"/>
    <w:rsid w:val="00A4463C"/>
    <w:rsid w:val="00A46C35"/>
    <w:rsid w:val="00A50BF0"/>
    <w:rsid w:val="00A55853"/>
    <w:rsid w:val="00A57893"/>
    <w:rsid w:val="00A61980"/>
    <w:rsid w:val="00A63732"/>
    <w:rsid w:val="00A6730E"/>
    <w:rsid w:val="00A6780A"/>
    <w:rsid w:val="00A735D8"/>
    <w:rsid w:val="00A75F64"/>
    <w:rsid w:val="00A845C8"/>
    <w:rsid w:val="00A848F8"/>
    <w:rsid w:val="00A84C58"/>
    <w:rsid w:val="00A90DD2"/>
    <w:rsid w:val="00A97BBD"/>
    <w:rsid w:val="00A97CC3"/>
    <w:rsid w:val="00AA2E8A"/>
    <w:rsid w:val="00AA5C11"/>
    <w:rsid w:val="00AB003B"/>
    <w:rsid w:val="00AB1026"/>
    <w:rsid w:val="00AB13FF"/>
    <w:rsid w:val="00AB3707"/>
    <w:rsid w:val="00AC4F4C"/>
    <w:rsid w:val="00AD39EA"/>
    <w:rsid w:val="00AE0982"/>
    <w:rsid w:val="00AE09D3"/>
    <w:rsid w:val="00AE6003"/>
    <w:rsid w:val="00AF2385"/>
    <w:rsid w:val="00AF5597"/>
    <w:rsid w:val="00B00FD8"/>
    <w:rsid w:val="00B02ECA"/>
    <w:rsid w:val="00B04496"/>
    <w:rsid w:val="00B10F04"/>
    <w:rsid w:val="00B13F85"/>
    <w:rsid w:val="00B1579D"/>
    <w:rsid w:val="00B1734A"/>
    <w:rsid w:val="00B252BC"/>
    <w:rsid w:val="00B2673B"/>
    <w:rsid w:val="00B27ACB"/>
    <w:rsid w:val="00B37425"/>
    <w:rsid w:val="00B41D02"/>
    <w:rsid w:val="00B52C17"/>
    <w:rsid w:val="00B53528"/>
    <w:rsid w:val="00B576BE"/>
    <w:rsid w:val="00B6040E"/>
    <w:rsid w:val="00B648A8"/>
    <w:rsid w:val="00B66B61"/>
    <w:rsid w:val="00B85D7B"/>
    <w:rsid w:val="00B879F5"/>
    <w:rsid w:val="00B911C7"/>
    <w:rsid w:val="00B9258F"/>
    <w:rsid w:val="00B9530C"/>
    <w:rsid w:val="00B97C05"/>
    <w:rsid w:val="00BA28AD"/>
    <w:rsid w:val="00BB670E"/>
    <w:rsid w:val="00BB6FC7"/>
    <w:rsid w:val="00BC0359"/>
    <w:rsid w:val="00BC2DC2"/>
    <w:rsid w:val="00BC2FF7"/>
    <w:rsid w:val="00BC562E"/>
    <w:rsid w:val="00BC580D"/>
    <w:rsid w:val="00BD02CB"/>
    <w:rsid w:val="00BD7C49"/>
    <w:rsid w:val="00BD7F4A"/>
    <w:rsid w:val="00BE1D19"/>
    <w:rsid w:val="00BE3A02"/>
    <w:rsid w:val="00BF22B0"/>
    <w:rsid w:val="00BF6FC8"/>
    <w:rsid w:val="00BF746D"/>
    <w:rsid w:val="00C07362"/>
    <w:rsid w:val="00C14EAA"/>
    <w:rsid w:val="00C210DC"/>
    <w:rsid w:val="00C220AD"/>
    <w:rsid w:val="00C22744"/>
    <w:rsid w:val="00C22936"/>
    <w:rsid w:val="00C24B6A"/>
    <w:rsid w:val="00C44245"/>
    <w:rsid w:val="00C50BBF"/>
    <w:rsid w:val="00C53126"/>
    <w:rsid w:val="00C56D8B"/>
    <w:rsid w:val="00C61534"/>
    <w:rsid w:val="00C6280C"/>
    <w:rsid w:val="00C6292F"/>
    <w:rsid w:val="00C62A3C"/>
    <w:rsid w:val="00C63611"/>
    <w:rsid w:val="00C6448C"/>
    <w:rsid w:val="00C75B22"/>
    <w:rsid w:val="00C84272"/>
    <w:rsid w:val="00C86337"/>
    <w:rsid w:val="00C93A9B"/>
    <w:rsid w:val="00C946A5"/>
    <w:rsid w:val="00C95402"/>
    <w:rsid w:val="00C9558D"/>
    <w:rsid w:val="00C95BA2"/>
    <w:rsid w:val="00C96809"/>
    <w:rsid w:val="00CB0F14"/>
    <w:rsid w:val="00CB1D27"/>
    <w:rsid w:val="00CB37D1"/>
    <w:rsid w:val="00CB3F8D"/>
    <w:rsid w:val="00CB4F40"/>
    <w:rsid w:val="00CB6FEC"/>
    <w:rsid w:val="00CC001E"/>
    <w:rsid w:val="00CC1775"/>
    <w:rsid w:val="00CC2A7F"/>
    <w:rsid w:val="00CC5C89"/>
    <w:rsid w:val="00CD376D"/>
    <w:rsid w:val="00CD3E9F"/>
    <w:rsid w:val="00CD5A6D"/>
    <w:rsid w:val="00CE1BF1"/>
    <w:rsid w:val="00CE1ED0"/>
    <w:rsid w:val="00CE4EE2"/>
    <w:rsid w:val="00CE60D6"/>
    <w:rsid w:val="00CF240A"/>
    <w:rsid w:val="00CF57CF"/>
    <w:rsid w:val="00D016D0"/>
    <w:rsid w:val="00D01D3C"/>
    <w:rsid w:val="00D04E2D"/>
    <w:rsid w:val="00D12575"/>
    <w:rsid w:val="00D138D0"/>
    <w:rsid w:val="00D14490"/>
    <w:rsid w:val="00D22DD8"/>
    <w:rsid w:val="00D26CCE"/>
    <w:rsid w:val="00D26E8A"/>
    <w:rsid w:val="00D32465"/>
    <w:rsid w:val="00D35243"/>
    <w:rsid w:val="00D36E0E"/>
    <w:rsid w:val="00D40205"/>
    <w:rsid w:val="00D5347D"/>
    <w:rsid w:val="00D61B06"/>
    <w:rsid w:val="00D6378D"/>
    <w:rsid w:val="00D66F76"/>
    <w:rsid w:val="00D678DD"/>
    <w:rsid w:val="00D715D0"/>
    <w:rsid w:val="00D727C3"/>
    <w:rsid w:val="00D72A7F"/>
    <w:rsid w:val="00D73D04"/>
    <w:rsid w:val="00D81C8E"/>
    <w:rsid w:val="00D864B9"/>
    <w:rsid w:val="00D96D92"/>
    <w:rsid w:val="00DA60BD"/>
    <w:rsid w:val="00DA7657"/>
    <w:rsid w:val="00DA7CA0"/>
    <w:rsid w:val="00DA7DB9"/>
    <w:rsid w:val="00DB4CFE"/>
    <w:rsid w:val="00DB6DD6"/>
    <w:rsid w:val="00DC4BD8"/>
    <w:rsid w:val="00DC5713"/>
    <w:rsid w:val="00DD4000"/>
    <w:rsid w:val="00DD439F"/>
    <w:rsid w:val="00DD4AB1"/>
    <w:rsid w:val="00DD5A3F"/>
    <w:rsid w:val="00DF2F71"/>
    <w:rsid w:val="00DF4F6F"/>
    <w:rsid w:val="00DF5A38"/>
    <w:rsid w:val="00E00A56"/>
    <w:rsid w:val="00E14E95"/>
    <w:rsid w:val="00E161FD"/>
    <w:rsid w:val="00E24117"/>
    <w:rsid w:val="00E31014"/>
    <w:rsid w:val="00E350B4"/>
    <w:rsid w:val="00E374B8"/>
    <w:rsid w:val="00E42399"/>
    <w:rsid w:val="00E5098A"/>
    <w:rsid w:val="00E5716F"/>
    <w:rsid w:val="00E6240F"/>
    <w:rsid w:val="00E64DEA"/>
    <w:rsid w:val="00E72AC5"/>
    <w:rsid w:val="00E73B7F"/>
    <w:rsid w:val="00E77B43"/>
    <w:rsid w:val="00E80064"/>
    <w:rsid w:val="00E80B63"/>
    <w:rsid w:val="00E87D9B"/>
    <w:rsid w:val="00E90503"/>
    <w:rsid w:val="00E914FD"/>
    <w:rsid w:val="00E92013"/>
    <w:rsid w:val="00E93319"/>
    <w:rsid w:val="00E977F7"/>
    <w:rsid w:val="00EA30ED"/>
    <w:rsid w:val="00EA31E3"/>
    <w:rsid w:val="00EA39A0"/>
    <w:rsid w:val="00EA6A69"/>
    <w:rsid w:val="00EB4B49"/>
    <w:rsid w:val="00EC225D"/>
    <w:rsid w:val="00EC3915"/>
    <w:rsid w:val="00EE1C4A"/>
    <w:rsid w:val="00EF001F"/>
    <w:rsid w:val="00EF0A00"/>
    <w:rsid w:val="00EF2462"/>
    <w:rsid w:val="00EF293B"/>
    <w:rsid w:val="00F01F08"/>
    <w:rsid w:val="00F22DEB"/>
    <w:rsid w:val="00F30579"/>
    <w:rsid w:val="00F3210B"/>
    <w:rsid w:val="00F35EA3"/>
    <w:rsid w:val="00F4118D"/>
    <w:rsid w:val="00F422CC"/>
    <w:rsid w:val="00F53355"/>
    <w:rsid w:val="00F54CF5"/>
    <w:rsid w:val="00F54E2F"/>
    <w:rsid w:val="00F57981"/>
    <w:rsid w:val="00F63DCA"/>
    <w:rsid w:val="00F655A0"/>
    <w:rsid w:val="00F73BCC"/>
    <w:rsid w:val="00F77A26"/>
    <w:rsid w:val="00F81E35"/>
    <w:rsid w:val="00F82E87"/>
    <w:rsid w:val="00F82F67"/>
    <w:rsid w:val="00F84302"/>
    <w:rsid w:val="00F85CD8"/>
    <w:rsid w:val="00F96458"/>
    <w:rsid w:val="00FA0384"/>
    <w:rsid w:val="00FA2182"/>
    <w:rsid w:val="00FA4338"/>
    <w:rsid w:val="00FB03C1"/>
    <w:rsid w:val="00FB0C0A"/>
    <w:rsid w:val="00FB24C7"/>
    <w:rsid w:val="00FC17CB"/>
    <w:rsid w:val="00FC38ED"/>
    <w:rsid w:val="00FD1D33"/>
    <w:rsid w:val="00FE1FCC"/>
    <w:rsid w:val="00FE3773"/>
    <w:rsid w:val="00FE796C"/>
    <w:rsid w:val="00FE7E77"/>
    <w:rsid w:val="00FF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310DAEE"/>
  <w15:docId w15:val="{16A2E128-AAE6-415F-B205-DAB29E0DDA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C633D"/>
    <w:pPr>
      <w:spacing w:before="120" w:after="120" w:line="276" w:lineRule="auto"/>
    </w:pPr>
  </w:style>
  <w:style w:type="paragraph" w:styleId="Heading1">
    <w:name w:val="heading 1"/>
    <w:basedOn w:val="Normal"/>
    <w:next w:val="Body"/>
    <w:link w:val="Heading1Char"/>
    <w:qFormat/>
    <w:rsid w:val="00D715D0"/>
    <w:pPr>
      <w:keepNext/>
      <w:keepLines/>
      <w:widowControl/>
      <w:spacing w:before="240" w:after="240"/>
      <w:outlineLvl w:val="0"/>
    </w:pPr>
    <w:rPr>
      <w:rFonts w:asciiTheme="majorHAnsi" w:hAnsiTheme="majorHAnsi" w:cs="Arial"/>
      <w:b/>
      <w:color w:val="E02E3B"/>
      <w:sz w:val="32"/>
      <w:szCs w:val="32"/>
    </w:rPr>
  </w:style>
  <w:style w:type="paragraph" w:styleId="Heading2">
    <w:name w:val="heading 2"/>
    <w:basedOn w:val="Normal"/>
    <w:next w:val="Body"/>
    <w:link w:val="Heading2Char"/>
    <w:qFormat/>
    <w:rsid w:val="00C44245"/>
    <w:pPr>
      <w:keepNext/>
      <w:keepLines/>
      <w:widowControl/>
      <w:spacing w:before="240" w:after="240" w:line="240" w:lineRule="auto"/>
      <w:ind w:right="432"/>
      <w:outlineLvl w:val="1"/>
    </w:pPr>
    <w:rPr>
      <w:rFonts w:asciiTheme="majorHAnsi" w:eastAsia="Calibri" w:hAnsiTheme="majorHAnsi" w:cs="Times New Roman"/>
      <w:b/>
      <w:bCs/>
      <w:iCs/>
      <w:color w:val="000000" w:themeColor="text2"/>
      <w:spacing w:val="-3"/>
      <w:sz w:val="28"/>
      <w:szCs w:val="28"/>
      <w:lang w:val="en-CA"/>
    </w:rPr>
  </w:style>
  <w:style w:type="paragraph" w:styleId="Heading3">
    <w:name w:val="heading 3"/>
    <w:basedOn w:val="Heading2"/>
    <w:next w:val="Body"/>
    <w:link w:val="Heading3Char"/>
    <w:qFormat/>
    <w:rsid w:val="00E90503"/>
    <w:pPr>
      <w:outlineLvl w:val="2"/>
    </w:pPr>
    <w:rPr>
      <w:sz w:val="24"/>
    </w:rPr>
  </w:style>
  <w:style w:type="paragraph" w:styleId="Heading4">
    <w:name w:val="heading 4"/>
    <w:basedOn w:val="Heading1"/>
    <w:next w:val="Body"/>
    <w:link w:val="Heading4Char"/>
    <w:qFormat/>
    <w:rsid w:val="003E5EC6"/>
    <w:pPr>
      <w:outlineLvl w:val="3"/>
    </w:pPr>
    <w:rPr>
      <w:i/>
      <w:sz w:val="24"/>
    </w:rPr>
  </w:style>
  <w:style w:type="paragraph" w:styleId="Heading5">
    <w:name w:val="heading 5"/>
    <w:basedOn w:val="Heading4"/>
    <w:next w:val="Body"/>
    <w:link w:val="Heading5Char"/>
    <w:qFormat/>
    <w:rsid w:val="003E5EC6"/>
    <w:pPr>
      <w:outlineLvl w:val="4"/>
    </w:pPr>
    <w:rPr>
      <w:b w:val="0"/>
    </w:rPr>
  </w:style>
  <w:style w:type="paragraph" w:styleId="Heading6">
    <w:name w:val="heading 6"/>
    <w:basedOn w:val="Heading5"/>
    <w:next w:val="Body"/>
    <w:link w:val="Heading6Char"/>
    <w:unhideWhenUsed/>
    <w:rsid w:val="00B97C05"/>
    <w:pPr>
      <w:outlineLvl w:val="5"/>
    </w:pPr>
  </w:style>
  <w:style w:type="paragraph" w:styleId="Heading7">
    <w:name w:val="heading 7"/>
    <w:basedOn w:val="Heading6"/>
    <w:next w:val="Body"/>
    <w:link w:val="Heading7Char"/>
    <w:unhideWhenUsed/>
    <w:rsid w:val="00B97C05"/>
    <w:pPr>
      <w:outlineLvl w:val="6"/>
    </w:pPr>
  </w:style>
  <w:style w:type="paragraph" w:styleId="Heading8">
    <w:name w:val="heading 8"/>
    <w:basedOn w:val="Heading7"/>
    <w:next w:val="Body"/>
    <w:link w:val="Heading8Char"/>
    <w:unhideWhenUsed/>
    <w:rsid w:val="00B97C05"/>
    <w:pPr>
      <w:outlineLvl w:val="7"/>
    </w:pPr>
  </w:style>
  <w:style w:type="paragraph" w:styleId="Heading9">
    <w:name w:val="heading 9"/>
    <w:basedOn w:val="Heading8"/>
    <w:next w:val="Body"/>
    <w:link w:val="Heading9Char"/>
    <w:unhideWhenUsed/>
    <w:rsid w:val="00B97C0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level1">
    <w:name w:val="Bullet level 1."/>
    <w:basedOn w:val="Normal"/>
    <w:qFormat/>
    <w:rsid w:val="000453DD"/>
    <w:pPr>
      <w:numPr>
        <w:numId w:val="8"/>
      </w:numPr>
      <w:ind w:left="720" w:right="432"/>
    </w:pPr>
    <w:rPr>
      <w:rFonts w:eastAsia="Calibri"/>
      <w:bCs/>
      <w:spacing w:val="-3"/>
      <w:szCs w:val="24"/>
      <w:lang w:val="en-CA"/>
    </w:rPr>
  </w:style>
  <w:style w:type="paragraph" w:styleId="TOC2">
    <w:name w:val="toc 2"/>
    <w:basedOn w:val="Normal"/>
    <w:next w:val="Normal"/>
    <w:autoRedefine/>
    <w:uiPriority w:val="39"/>
    <w:unhideWhenUsed/>
    <w:rsid w:val="00122E64"/>
    <w:pPr>
      <w:spacing w:after="100"/>
      <w:ind w:left="220"/>
    </w:pPr>
  </w:style>
  <w:style w:type="paragraph" w:customStyle="1" w:styleId="BulletLevel2">
    <w:name w:val="Bullet Level 2."/>
    <w:basedOn w:val="Normal"/>
    <w:qFormat/>
    <w:rsid w:val="000453DD"/>
    <w:pPr>
      <w:numPr>
        <w:ilvl w:val="1"/>
        <w:numId w:val="4"/>
      </w:numPr>
      <w:tabs>
        <w:tab w:val="clear" w:pos="1440"/>
      </w:tabs>
      <w:ind w:left="1080" w:right="432"/>
    </w:pPr>
    <w:rPr>
      <w:rFonts w:eastAsia="Calibri"/>
      <w:bCs/>
      <w:spacing w:val="-3"/>
      <w:szCs w:val="24"/>
      <w:lang w:val="en-CA"/>
    </w:rPr>
  </w:style>
  <w:style w:type="paragraph" w:customStyle="1" w:styleId="CoverPageAMainHeading">
    <w:name w:val="Cover Page A Main Heading."/>
    <w:basedOn w:val="Normal"/>
    <w:link w:val="CoverPageAMainHeadingChar"/>
    <w:qFormat/>
    <w:rsid w:val="00506E14"/>
    <w:pPr>
      <w:spacing w:before="720"/>
      <w:ind w:right="50"/>
      <w:jc w:val="center"/>
    </w:pPr>
    <w:rPr>
      <w:rFonts w:asciiTheme="majorHAnsi" w:hAnsiTheme="majorHAnsi"/>
      <w:b/>
      <w:color w:val="E02E3B"/>
      <w:sz w:val="56"/>
    </w:rPr>
  </w:style>
  <w:style w:type="character" w:customStyle="1" w:styleId="Heading1Char">
    <w:name w:val="Heading 1 Char"/>
    <w:basedOn w:val="DefaultParagraphFont"/>
    <w:link w:val="Heading1"/>
    <w:rsid w:val="00D715D0"/>
    <w:rPr>
      <w:rFonts w:asciiTheme="majorHAnsi" w:hAnsiTheme="majorHAnsi" w:cs="Arial"/>
      <w:b/>
      <w:color w:val="E02E3B"/>
      <w:sz w:val="32"/>
      <w:szCs w:val="32"/>
    </w:rPr>
  </w:style>
  <w:style w:type="character" w:customStyle="1" w:styleId="CoverPageAMainHeadingChar">
    <w:name w:val="Cover Page A Main Heading. Char"/>
    <w:basedOn w:val="Heading1Char"/>
    <w:link w:val="CoverPageAMainHeading"/>
    <w:rsid w:val="00EA30ED"/>
    <w:rPr>
      <w:rFonts w:asciiTheme="majorHAnsi" w:hAnsiTheme="majorHAnsi" w:cs="Arial"/>
      <w:b/>
      <w:color w:val="E02E3B"/>
      <w:sz w:val="56"/>
      <w:szCs w:val="32"/>
    </w:rPr>
  </w:style>
  <w:style w:type="character" w:styleId="PlaceholderText">
    <w:name w:val="Placeholder Text"/>
    <w:basedOn w:val="DefaultParagraphFont"/>
    <w:uiPriority w:val="99"/>
    <w:semiHidden/>
    <w:rsid w:val="00E24117"/>
    <w:rPr>
      <w:color w:val="808080"/>
    </w:rPr>
  </w:style>
  <w:style w:type="table" w:customStyle="1" w:styleId="InfowayTable">
    <w:name w:val="Infoway Table"/>
    <w:basedOn w:val="TableNormal"/>
    <w:uiPriority w:val="99"/>
    <w:rsid w:val="009D1E84"/>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sz w:val="24"/>
      </w:rPr>
      <w:tblPr/>
      <w:tcPr>
        <w:shd w:val="clear" w:color="auto" w:fill="000000" w:themeFill="text1"/>
      </w:tcPr>
    </w:tblStylePr>
  </w:style>
  <w:style w:type="paragraph" w:styleId="NormalWeb">
    <w:name w:val="Normal (Web)"/>
    <w:basedOn w:val="Normal"/>
    <w:uiPriority w:val="99"/>
    <w:semiHidden/>
    <w:unhideWhenUsed/>
    <w:rsid w:val="00D6378D"/>
    <w:pPr>
      <w:widowControl/>
      <w:spacing w:before="100" w:beforeAutospacing="1" w:after="100" w:afterAutospacing="1"/>
    </w:pPr>
    <w:rPr>
      <w:rFonts w:ascii="Times New Roman" w:eastAsia="Times New Roman" w:hAnsi="Times New Roman" w:cs="Times New Roman"/>
      <w:sz w:val="24"/>
      <w:szCs w:val="24"/>
      <w:lang w:val="en-CA" w:eastAsia="en-CA"/>
    </w:rPr>
  </w:style>
  <w:style w:type="paragraph" w:styleId="TOC1">
    <w:name w:val="toc 1"/>
    <w:basedOn w:val="Normal"/>
    <w:next w:val="Normal"/>
    <w:autoRedefine/>
    <w:uiPriority w:val="39"/>
    <w:unhideWhenUsed/>
    <w:rsid w:val="00143B51"/>
    <w:pPr>
      <w:spacing w:after="100"/>
    </w:pPr>
  </w:style>
  <w:style w:type="character" w:styleId="Hyperlink">
    <w:name w:val="Hyperlink"/>
    <w:basedOn w:val="DefaultParagraphFont"/>
    <w:qFormat/>
    <w:rsid w:val="00143B51"/>
    <w:rPr>
      <w:color w:val="E02E3B" w:themeColor="hyperlink"/>
      <w:u w:val="single"/>
    </w:rPr>
  </w:style>
  <w:style w:type="character" w:styleId="CommentReference">
    <w:name w:val="annotation reference"/>
    <w:basedOn w:val="DefaultParagraphFont"/>
    <w:uiPriority w:val="99"/>
    <w:semiHidden/>
    <w:unhideWhenUsed/>
    <w:rsid w:val="00411C19"/>
    <w:rPr>
      <w:sz w:val="16"/>
      <w:szCs w:val="16"/>
    </w:rPr>
  </w:style>
  <w:style w:type="paragraph" w:styleId="CommentText">
    <w:name w:val="annotation text"/>
    <w:basedOn w:val="Normal"/>
    <w:link w:val="CommentTextChar"/>
    <w:uiPriority w:val="99"/>
    <w:semiHidden/>
    <w:unhideWhenUsed/>
    <w:rsid w:val="00411C19"/>
    <w:rPr>
      <w:sz w:val="20"/>
      <w:szCs w:val="20"/>
    </w:rPr>
  </w:style>
  <w:style w:type="character" w:customStyle="1" w:styleId="CommentTextChar">
    <w:name w:val="Comment Text Char"/>
    <w:basedOn w:val="DefaultParagraphFont"/>
    <w:link w:val="CommentText"/>
    <w:uiPriority w:val="99"/>
    <w:semiHidden/>
    <w:rsid w:val="00411C19"/>
    <w:rPr>
      <w:sz w:val="20"/>
      <w:szCs w:val="20"/>
    </w:rPr>
  </w:style>
  <w:style w:type="paragraph" w:styleId="CommentSubject">
    <w:name w:val="annotation subject"/>
    <w:basedOn w:val="CommentText"/>
    <w:next w:val="CommentText"/>
    <w:link w:val="CommentSubjectChar"/>
    <w:uiPriority w:val="99"/>
    <w:semiHidden/>
    <w:unhideWhenUsed/>
    <w:rsid w:val="00411C19"/>
    <w:rPr>
      <w:b/>
      <w:bCs/>
    </w:rPr>
  </w:style>
  <w:style w:type="character" w:customStyle="1" w:styleId="CommentSubjectChar">
    <w:name w:val="Comment Subject Char"/>
    <w:basedOn w:val="CommentTextChar"/>
    <w:link w:val="CommentSubject"/>
    <w:uiPriority w:val="99"/>
    <w:semiHidden/>
    <w:rsid w:val="00411C19"/>
    <w:rPr>
      <w:b/>
      <w:bCs/>
      <w:sz w:val="20"/>
      <w:szCs w:val="20"/>
    </w:rPr>
  </w:style>
  <w:style w:type="paragraph" w:styleId="Revision">
    <w:name w:val="Revision"/>
    <w:hidden/>
    <w:uiPriority w:val="99"/>
    <w:semiHidden/>
    <w:rsid w:val="00411C19"/>
    <w:pPr>
      <w:widowControl/>
    </w:pPr>
  </w:style>
  <w:style w:type="paragraph" w:styleId="BalloonText">
    <w:name w:val="Balloon Text"/>
    <w:basedOn w:val="Normal"/>
    <w:link w:val="BalloonTextChar"/>
    <w:uiPriority w:val="99"/>
    <w:semiHidden/>
    <w:unhideWhenUsed/>
    <w:rsid w:val="00E241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117"/>
    <w:rPr>
      <w:rFonts w:ascii="Segoe UI" w:hAnsi="Segoe UI" w:cs="Segoe UI"/>
      <w:sz w:val="18"/>
      <w:szCs w:val="18"/>
    </w:rPr>
  </w:style>
  <w:style w:type="paragraph" w:customStyle="1" w:styleId="PicturesandGraphics">
    <w:name w:val="Pictures and Graphics."/>
    <w:basedOn w:val="Normal"/>
    <w:qFormat/>
    <w:rsid w:val="00130925"/>
    <w:pPr>
      <w:keepNext/>
      <w:keepLines/>
      <w:widowControl/>
      <w:spacing w:before="240" w:after="240"/>
      <w:jc w:val="center"/>
    </w:pPr>
    <w:rPr>
      <w:rFonts w:eastAsia="Calibri"/>
      <w:bCs/>
      <w:spacing w:val="-3"/>
      <w:sz w:val="24"/>
      <w:szCs w:val="24"/>
      <w:lang w:val="en-CA"/>
    </w:rPr>
  </w:style>
  <w:style w:type="character" w:customStyle="1" w:styleId="SuperscriptCharacters">
    <w:name w:val="Superscript Characters."/>
    <w:basedOn w:val="DefaultParagraphFont"/>
    <w:uiPriority w:val="1"/>
    <w:rsid w:val="00506BBC"/>
    <w:rPr>
      <w:rFonts w:asciiTheme="minorHAnsi" w:hAnsiTheme="minorHAnsi"/>
      <w:color w:val="auto"/>
      <w:sz w:val="22"/>
      <w:vertAlign w:val="superscript"/>
    </w:rPr>
  </w:style>
  <w:style w:type="paragraph" w:customStyle="1" w:styleId="CoverPageBLowerPortion">
    <w:name w:val="Cover Page B Lower Portion."/>
    <w:basedOn w:val="Normal"/>
    <w:qFormat/>
    <w:rsid w:val="00D715D0"/>
    <w:pPr>
      <w:spacing w:before="2"/>
      <w:ind w:right="220"/>
      <w:jc w:val="center"/>
    </w:pPr>
    <w:rPr>
      <w:rFonts w:asciiTheme="majorHAnsi" w:eastAsia="Calibri" w:hAnsiTheme="majorHAnsi" w:cs="Calibri"/>
      <w:b/>
      <w:bCs/>
      <w:color w:val="000000" w:themeColor="text1"/>
      <w:sz w:val="32"/>
      <w:szCs w:val="29"/>
    </w:rPr>
  </w:style>
  <w:style w:type="paragraph" w:customStyle="1" w:styleId="CoverPageASubheading">
    <w:name w:val="Cover Page A Subheading."/>
    <w:basedOn w:val="CoverPageBLowerPortion"/>
    <w:qFormat/>
    <w:rsid w:val="00D715D0"/>
    <w:pPr>
      <w:keepNext/>
      <w:keepLines/>
      <w:widowControl/>
      <w:spacing w:before="0" w:after="4000"/>
      <w:ind w:right="43"/>
    </w:pPr>
    <w:rPr>
      <w:sz w:val="40"/>
    </w:rPr>
  </w:style>
  <w:style w:type="paragraph" w:customStyle="1" w:styleId="Body">
    <w:name w:val="Body."/>
    <w:basedOn w:val="Normal"/>
    <w:qFormat/>
    <w:rsid w:val="00F3210B"/>
    <w:pPr>
      <w:widowControl/>
      <w:spacing w:line="240" w:lineRule="auto"/>
    </w:pPr>
    <w:rPr>
      <w:rFonts w:eastAsia="Calibri"/>
      <w:color w:val="000000" w:themeColor="text1"/>
      <w:spacing w:val="-3"/>
      <w:szCs w:val="24"/>
    </w:rPr>
  </w:style>
  <w:style w:type="character" w:customStyle="1" w:styleId="CharactersBold">
    <w:name w:val="Characters Bold."/>
    <w:basedOn w:val="DefaultParagraphFont"/>
    <w:qFormat/>
    <w:rsid w:val="00E24117"/>
    <w:rPr>
      <w:rFonts w:asciiTheme="minorHAnsi" w:hAnsiTheme="minorHAnsi"/>
      <w:b/>
      <w:sz w:val="22"/>
    </w:rPr>
  </w:style>
  <w:style w:type="paragraph" w:customStyle="1" w:styleId="FooterReportPortraitwithTOC">
    <w:name w:val="Footer Report Portrait with TOC."/>
    <w:basedOn w:val="Normal"/>
    <w:link w:val="FooterReportPortraitwithTOCChar"/>
    <w:qFormat/>
    <w:rsid w:val="00051524"/>
    <w:pPr>
      <w:pBdr>
        <w:top w:val="single" w:sz="4" w:space="10" w:color="A6A6A6" w:themeColor="background1" w:themeShade="A6"/>
      </w:pBdr>
      <w:tabs>
        <w:tab w:val="right" w:pos="10440"/>
      </w:tabs>
    </w:pPr>
    <w:rPr>
      <w:noProof/>
    </w:rPr>
  </w:style>
  <w:style w:type="character" w:customStyle="1" w:styleId="FooterReportPortraitwithTOCChar">
    <w:name w:val="Footer Report Portrait with TOC. Char"/>
    <w:basedOn w:val="DefaultParagraphFont"/>
    <w:link w:val="FooterReportPortraitwithTOC"/>
    <w:rsid w:val="00EA30ED"/>
    <w:rPr>
      <w:noProof/>
    </w:rPr>
  </w:style>
  <w:style w:type="paragraph" w:customStyle="1" w:styleId="HeaderReportPortraitwithTOC">
    <w:name w:val="Header Report Portrait with TOC."/>
    <w:basedOn w:val="Normal"/>
    <w:qFormat/>
    <w:rsid w:val="00E24117"/>
    <w:pPr>
      <w:pBdr>
        <w:bottom w:val="single" w:sz="4" w:space="1" w:color="A6A6A6" w:themeColor="background1" w:themeShade="A6"/>
      </w:pBdr>
      <w:tabs>
        <w:tab w:val="right" w:pos="9360"/>
      </w:tabs>
      <w:spacing w:after="240"/>
    </w:pPr>
    <w:rPr>
      <w:b/>
      <w:sz w:val="44"/>
    </w:rPr>
  </w:style>
  <w:style w:type="character" w:customStyle="1" w:styleId="CharactersItalic">
    <w:name w:val="Characters Italic."/>
    <w:basedOn w:val="DefaultParagraphFont"/>
    <w:qFormat/>
    <w:rsid w:val="00E24117"/>
    <w:rPr>
      <w:rFonts w:asciiTheme="minorHAnsi" w:hAnsiTheme="minorHAnsi"/>
      <w:i/>
      <w:sz w:val="22"/>
    </w:rPr>
  </w:style>
  <w:style w:type="paragraph" w:customStyle="1" w:styleId="TableDataBullet">
    <w:name w:val="Table Data Bullet."/>
    <w:basedOn w:val="Normal"/>
    <w:qFormat/>
    <w:rsid w:val="009D1E84"/>
    <w:pPr>
      <w:numPr>
        <w:numId w:val="7"/>
      </w:numPr>
      <w:ind w:left="340"/>
    </w:pPr>
    <w:rPr>
      <w:rFonts w:eastAsia="Calibri"/>
      <w:color w:val="000000" w:themeColor="text1"/>
      <w:spacing w:val="-3"/>
      <w:szCs w:val="24"/>
    </w:rPr>
  </w:style>
  <w:style w:type="paragraph" w:customStyle="1" w:styleId="TableData">
    <w:name w:val="Table Data."/>
    <w:basedOn w:val="Normal"/>
    <w:qFormat/>
    <w:rsid w:val="00E24117"/>
    <w:pPr>
      <w:ind w:right="389"/>
    </w:pPr>
    <w:rPr>
      <w:rFonts w:eastAsia="Calibri" w:cs="Calibri"/>
      <w:szCs w:val="24"/>
    </w:rPr>
  </w:style>
  <w:style w:type="paragraph" w:customStyle="1" w:styleId="Title">
    <w:name w:val="Title."/>
    <w:basedOn w:val="Normal"/>
    <w:rsid w:val="00E24117"/>
    <w:pPr>
      <w:spacing w:before="60"/>
    </w:pPr>
    <w:rPr>
      <w:rFonts w:asciiTheme="majorHAnsi" w:eastAsia="Calibri" w:hAnsiTheme="majorHAnsi" w:cs="Calibri"/>
      <w:color w:val="000000" w:themeColor="text1"/>
      <w:spacing w:val="-2"/>
      <w:sz w:val="54"/>
      <w:szCs w:val="54"/>
    </w:rPr>
  </w:style>
  <w:style w:type="paragraph" w:customStyle="1" w:styleId="TableofContentsTitle">
    <w:name w:val="Table of Contents Title."/>
    <w:basedOn w:val="Normal"/>
    <w:next w:val="Body"/>
    <w:qFormat/>
    <w:rsid w:val="00D715D0"/>
    <w:pPr>
      <w:keepNext/>
      <w:keepLines/>
      <w:pageBreakBefore/>
      <w:widowControl/>
      <w:spacing w:before="240" w:after="240"/>
    </w:pPr>
    <w:rPr>
      <w:rFonts w:asciiTheme="majorHAnsi" w:hAnsiTheme="majorHAnsi" w:cs="Arial"/>
      <w:b/>
      <w:color w:val="E02E3B"/>
      <w:sz w:val="32"/>
      <w:szCs w:val="32"/>
    </w:rPr>
  </w:style>
  <w:style w:type="character" w:customStyle="1" w:styleId="Heading2Char">
    <w:name w:val="Heading 2 Char"/>
    <w:basedOn w:val="DefaultParagraphFont"/>
    <w:link w:val="Heading2"/>
    <w:rsid w:val="00EA30ED"/>
    <w:rPr>
      <w:rFonts w:asciiTheme="majorHAnsi" w:eastAsia="Calibri" w:hAnsiTheme="majorHAnsi" w:cs="Times New Roman"/>
      <w:b/>
      <w:bCs/>
      <w:iCs/>
      <w:color w:val="000000" w:themeColor="text2"/>
      <w:spacing w:val="-3"/>
      <w:sz w:val="28"/>
      <w:szCs w:val="28"/>
      <w:lang w:val="en-CA"/>
    </w:rPr>
  </w:style>
  <w:style w:type="character" w:customStyle="1" w:styleId="Heading3Char">
    <w:name w:val="Heading 3 Char"/>
    <w:basedOn w:val="DefaultParagraphFont"/>
    <w:link w:val="Heading3"/>
    <w:rsid w:val="00EA30ED"/>
    <w:rPr>
      <w:rFonts w:asciiTheme="majorHAnsi" w:eastAsia="Calibri" w:hAnsiTheme="majorHAnsi" w:cs="Times New Roman"/>
      <w:b/>
      <w:bCs/>
      <w:iCs/>
      <w:color w:val="000000" w:themeColor="text2"/>
      <w:spacing w:val="-3"/>
      <w:sz w:val="24"/>
      <w:szCs w:val="28"/>
      <w:lang w:val="en-CA"/>
    </w:rPr>
  </w:style>
  <w:style w:type="character" w:customStyle="1" w:styleId="CharactersBoldandItalic">
    <w:name w:val="Characters Bold and Italic."/>
    <w:basedOn w:val="CharactersItalic"/>
    <w:qFormat/>
    <w:rsid w:val="009073D3"/>
    <w:rPr>
      <w:rFonts w:asciiTheme="minorHAnsi" w:hAnsiTheme="minorHAnsi"/>
      <w:b/>
      <w:i/>
      <w:sz w:val="22"/>
    </w:rPr>
  </w:style>
  <w:style w:type="paragraph" w:styleId="Header">
    <w:name w:val="header"/>
    <w:basedOn w:val="Normal"/>
    <w:link w:val="HeaderChar"/>
    <w:uiPriority w:val="99"/>
    <w:unhideWhenUsed/>
    <w:rsid w:val="00B0449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04496"/>
  </w:style>
  <w:style w:type="paragraph" w:styleId="Footer">
    <w:name w:val="footer"/>
    <w:basedOn w:val="Normal"/>
    <w:link w:val="FooterChar"/>
    <w:uiPriority w:val="99"/>
    <w:unhideWhenUsed/>
    <w:rsid w:val="00B0449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04496"/>
  </w:style>
  <w:style w:type="paragraph" w:styleId="FootnoteText">
    <w:name w:val="footnote text"/>
    <w:basedOn w:val="Normal"/>
    <w:link w:val="FootnoteTextChar"/>
    <w:uiPriority w:val="99"/>
    <w:semiHidden/>
    <w:unhideWhenUsed/>
    <w:rsid w:val="000453D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0453DD"/>
    <w:rPr>
      <w:sz w:val="20"/>
      <w:szCs w:val="20"/>
    </w:rPr>
  </w:style>
  <w:style w:type="character" w:styleId="FootnoteReference">
    <w:name w:val="footnote reference"/>
    <w:basedOn w:val="DefaultParagraphFont"/>
    <w:uiPriority w:val="99"/>
    <w:semiHidden/>
    <w:unhideWhenUsed/>
    <w:rsid w:val="000453DD"/>
    <w:rPr>
      <w:vertAlign w:val="superscript"/>
    </w:rPr>
  </w:style>
  <w:style w:type="character" w:customStyle="1" w:styleId="Heading4Char">
    <w:name w:val="Heading 4 Char"/>
    <w:basedOn w:val="DefaultParagraphFont"/>
    <w:link w:val="Heading4"/>
    <w:rsid w:val="00EA30ED"/>
    <w:rPr>
      <w:rFonts w:cs="Arial"/>
      <w:b/>
      <w:i/>
      <w:color w:val="E02E3B"/>
      <w:sz w:val="24"/>
      <w:szCs w:val="32"/>
    </w:rPr>
  </w:style>
  <w:style w:type="character" w:customStyle="1" w:styleId="Heading5Char">
    <w:name w:val="Heading 5 Char"/>
    <w:basedOn w:val="DefaultParagraphFont"/>
    <w:link w:val="Heading5"/>
    <w:rsid w:val="00EA30ED"/>
    <w:rPr>
      <w:rFonts w:cs="Arial"/>
      <w:i/>
      <w:color w:val="E02E3B"/>
      <w:sz w:val="24"/>
      <w:szCs w:val="32"/>
    </w:rPr>
  </w:style>
  <w:style w:type="character" w:customStyle="1" w:styleId="Heading6Char">
    <w:name w:val="Heading 6 Char"/>
    <w:basedOn w:val="DefaultParagraphFont"/>
    <w:link w:val="Heading6"/>
    <w:rsid w:val="00EA30ED"/>
    <w:rPr>
      <w:rFonts w:cs="Arial"/>
      <w:i/>
      <w:color w:val="E02E3B"/>
      <w:sz w:val="24"/>
      <w:szCs w:val="32"/>
    </w:rPr>
  </w:style>
  <w:style w:type="character" w:customStyle="1" w:styleId="Heading7Char">
    <w:name w:val="Heading 7 Char"/>
    <w:basedOn w:val="DefaultParagraphFont"/>
    <w:link w:val="Heading7"/>
    <w:rsid w:val="00EA30ED"/>
    <w:rPr>
      <w:rFonts w:cs="Arial"/>
      <w:i/>
      <w:color w:val="E02E3B"/>
      <w:sz w:val="24"/>
      <w:szCs w:val="32"/>
    </w:rPr>
  </w:style>
  <w:style w:type="character" w:customStyle="1" w:styleId="Heading8Char">
    <w:name w:val="Heading 8 Char"/>
    <w:basedOn w:val="DefaultParagraphFont"/>
    <w:link w:val="Heading8"/>
    <w:rsid w:val="00EA30ED"/>
    <w:rPr>
      <w:rFonts w:cs="Arial"/>
      <w:i/>
      <w:color w:val="E02E3B"/>
      <w:sz w:val="24"/>
      <w:szCs w:val="32"/>
    </w:rPr>
  </w:style>
  <w:style w:type="character" w:customStyle="1" w:styleId="Heading9Char">
    <w:name w:val="Heading 9 Char"/>
    <w:basedOn w:val="DefaultParagraphFont"/>
    <w:link w:val="Heading9"/>
    <w:rsid w:val="00EA30ED"/>
    <w:rPr>
      <w:rFonts w:cs="Arial"/>
      <w:i/>
      <w:color w:val="E02E3B"/>
      <w:sz w:val="24"/>
      <w:szCs w:val="32"/>
    </w:rPr>
  </w:style>
  <w:style w:type="paragraph" w:styleId="TOC3">
    <w:name w:val="toc 3"/>
    <w:basedOn w:val="Normal"/>
    <w:next w:val="Normal"/>
    <w:autoRedefine/>
    <w:uiPriority w:val="39"/>
    <w:unhideWhenUsed/>
    <w:rsid w:val="00B97C05"/>
    <w:pPr>
      <w:spacing w:after="100"/>
      <w:ind w:left="440"/>
    </w:pPr>
  </w:style>
  <w:style w:type="paragraph" w:styleId="TOC4">
    <w:name w:val="toc 4"/>
    <w:basedOn w:val="Normal"/>
    <w:next w:val="Normal"/>
    <w:autoRedefine/>
    <w:uiPriority w:val="39"/>
    <w:unhideWhenUsed/>
    <w:rsid w:val="00B97C05"/>
    <w:pPr>
      <w:spacing w:after="100"/>
      <w:ind w:left="660"/>
    </w:pPr>
  </w:style>
  <w:style w:type="paragraph" w:styleId="TOC5">
    <w:name w:val="toc 5"/>
    <w:basedOn w:val="Normal"/>
    <w:next w:val="Normal"/>
    <w:autoRedefine/>
    <w:uiPriority w:val="39"/>
    <w:unhideWhenUsed/>
    <w:rsid w:val="00B97C05"/>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87601">
      <w:bodyDiv w:val="1"/>
      <w:marLeft w:val="0"/>
      <w:marRight w:val="0"/>
      <w:marTop w:val="0"/>
      <w:marBottom w:val="0"/>
      <w:divBdr>
        <w:top w:val="none" w:sz="0" w:space="0" w:color="auto"/>
        <w:left w:val="none" w:sz="0" w:space="0" w:color="auto"/>
        <w:bottom w:val="none" w:sz="0" w:space="0" w:color="auto"/>
        <w:right w:val="none" w:sz="0" w:space="0" w:color="auto"/>
      </w:divBdr>
    </w:div>
    <w:div w:id="78409319">
      <w:bodyDiv w:val="1"/>
      <w:marLeft w:val="0"/>
      <w:marRight w:val="0"/>
      <w:marTop w:val="0"/>
      <w:marBottom w:val="0"/>
      <w:divBdr>
        <w:top w:val="none" w:sz="0" w:space="0" w:color="auto"/>
        <w:left w:val="none" w:sz="0" w:space="0" w:color="auto"/>
        <w:bottom w:val="none" w:sz="0" w:space="0" w:color="auto"/>
        <w:right w:val="none" w:sz="0" w:space="0" w:color="auto"/>
      </w:divBdr>
    </w:div>
    <w:div w:id="80680660">
      <w:bodyDiv w:val="1"/>
      <w:marLeft w:val="0"/>
      <w:marRight w:val="0"/>
      <w:marTop w:val="0"/>
      <w:marBottom w:val="0"/>
      <w:divBdr>
        <w:top w:val="none" w:sz="0" w:space="0" w:color="auto"/>
        <w:left w:val="none" w:sz="0" w:space="0" w:color="auto"/>
        <w:bottom w:val="none" w:sz="0" w:space="0" w:color="auto"/>
        <w:right w:val="none" w:sz="0" w:space="0" w:color="auto"/>
      </w:divBdr>
    </w:div>
    <w:div w:id="94330576">
      <w:bodyDiv w:val="1"/>
      <w:marLeft w:val="0"/>
      <w:marRight w:val="0"/>
      <w:marTop w:val="0"/>
      <w:marBottom w:val="0"/>
      <w:divBdr>
        <w:top w:val="none" w:sz="0" w:space="0" w:color="auto"/>
        <w:left w:val="none" w:sz="0" w:space="0" w:color="auto"/>
        <w:bottom w:val="none" w:sz="0" w:space="0" w:color="auto"/>
        <w:right w:val="none" w:sz="0" w:space="0" w:color="auto"/>
      </w:divBdr>
      <w:divsChild>
        <w:div w:id="730076505">
          <w:marLeft w:val="274"/>
          <w:marRight w:val="0"/>
          <w:marTop w:val="77"/>
          <w:marBottom w:val="0"/>
          <w:divBdr>
            <w:top w:val="none" w:sz="0" w:space="0" w:color="auto"/>
            <w:left w:val="none" w:sz="0" w:space="0" w:color="auto"/>
            <w:bottom w:val="none" w:sz="0" w:space="0" w:color="auto"/>
            <w:right w:val="none" w:sz="0" w:space="0" w:color="auto"/>
          </w:divBdr>
        </w:div>
      </w:divsChild>
    </w:div>
    <w:div w:id="117116258">
      <w:bodyDiv w:val="1"/>
      <w:marLeft w:val="0"/>
      <w:marRight w:val="0"/>
      <w:marTop w:val="0"/>
      <w:marBottom w:val="0"/>
      <w:divBdr>
        <w:top w:val="none" w:sz="0" w:space="0" w:color="auto"/>
        <w:left w:val="none" w:sz="0" w:space="0" w:color="auto"/>
        <w:bottom w:val="none" w:sz="0" w:space="0" w:color="auto"/>
        <w:right w:val="none" w:sz="0" w:space="0" w:color="auto"/>
      </w:divBdr>
    </w:div>
    <w:div w:id="139157148">
      <w:bodyDiv w:val="1"/>
      <w:marLeft w:val="0"/>
      <w:marRight w:val="0"/>
      <w:marTop w:val="0"/>
      <w:marBottom w:val="0"/>
      <w:divBdr>
        <w:top w:val="none" w:sz="0" w:space="0" w:color="auto"/>
        <w:left w:val="none" w:sz="0" w:space="0" w:color="auto"/>
        <w:bottom w:val="none" w:sz="0" w:space="0" w:color="auto"/>
        <w:right w:val="none" w:sz="0" w:space="0" w:color="auto"/>
      </w:divBdr>
    </w:div>
    <w:div w:id="194387519">
      <w:bodyDiv w:val="1"/>
      <w:marLeft w:val="0"/>
      <w:marRight w:val="0"/>
      <w:marTop w:val="0"/>
      <w:marBottom w:val="0"/>
      <w:divBdr>
        <w:top w:val="none" w:sz="0" w:space="0" w:color="auto"/>
        <w:left w:val="none" w:sz="0" w:space="0" w:color="auto"/>
        <w:bottom w:val="none" w:sz="0" w:space="0" w:color="auto"/>
        <w:right w:val="none" w:sz="0" w:space="0" w:color="auto"/>
      </w:divBdr>
    </w:div>
    <w:div w:id="300426946">
      <w:bodyDiv w:val="1"/>
      <w:marLeft w:val="0"/>
      <w:marRight w:val="0"/>
      <w:marTop w:val="0"/>
      <w:marBottom w:val="0"/>
      <w:divBdr>
        <w:top w:val="none" w:sz="0" w:space="0" w:color="auto"/>
        <w:left w:val="none" w:sz="0" w:space="0" w:color="auto"/>
        <w:bottom w:val="none" w:sz="0" w:space="0" w:color="auto"/>
        <w:right w:val="none" w:sz="0" w:space="0" w:color="auto"/>
      </w:divBdr>
    </w:div>
    <w:div w:id="328604409">
      <w:bodyDiv w:val="1"/>
      <w:marLeft w:val="0"/>
      <w:marRight w:val="0"/>
      <w:marTop w:val="0"/>
      <w:marBottom w:val="0"/>
      <w:divBdr>
        <w:top w:val="none" w:sz="0" w:space="0" w:color="auto"/>
        <w:left w:val="none" w:sz="0" w:space="0" w:color="auto"/>
        <w:bottom w:val="none" w:sz="0" w:space="0" w:color="auto"/>
        <w:right w:val="none" w:sz="0" w:space="0" w:color="auto"/>
      </w:divBdr>
      <w:divsChild>
        <w:div w:id="971640393">
          <w:marLeft w:val="994"/>
          <w:marRight w:val="0"/>
          <w:marTop w:val="120"/>
          <w:marBottom w:val="120"/>
          <w:divBdr>
            <w:top w:val="none" w:sz="0" w:space="0" w:color="auto"/>
            <w:left w:val="none" w:sz="0" w:space="0" w:color="auto"/>
            <w:bottom w:val="none" w:sz="0" w:space="0" w:color="auto"/>
            <w:right w:val="none" w:sz="0" w:space="0" w:color="auto"/>
          </w:divBdr>
        </w:div>
      </w:divsChild>
    </w:div>
    <w:div w:id="378820547">
      <w:bodyDiv w:val="1"/>
      <w:marLeft w:val="0"/>
      <w:marRight w:val="0"/>
      <w:marTop w:val="0"/>
      <w:marBottom w:val="0"/>
      <w:divBdr>
        <w:top w:val="none" w:sz="0" w:space="0" w:color="auto"/>
        <w:left w:val="none" w:sz="0" w:space="0" w:color="auto"/>
        <w:bottom w:val="none" w:sz="0" w:space="0" w:color="auto"/>
        <w:right w:val="none" w:sz="0" w:space="0" w:color="auto"/>
      </w:divBdr>
      <w:divsChild>
        <w:div w:id="520969863">
          <w:marLeft w:val="994"/>
          <w:marRight w:val="0"/>
          <w:marTop w:val="77"/>
          <w:marBottom w:val="120"/>
          <w:divBdr>
            <w:top w:val="none" w:sz="0" w:space="0" w:color="auto"/>
            <w:left w:val="none" w:sz="0" w:space="0" w:color="auto"/>
            <w:bottom w:val="none" w:sz="0" w:space="0" w:color="auto"/>
            <w:right w:val="none" w:sz="0" w:space="0" w:color="auto"/>
          </w:divBdr>
        </w:div>
      </w:divsChild>
    </w:div>
    <w:div w:id="426120760">
      <w:bodyDiv w:val="1"/>
      <w:marLeft w:val="0"/>
      <w:marRight w:val="0"/>
      <w:marTop w:val="0"/>
      <w:marBottom w:val="0"/>
      <w:divBdr>
        <w:top w:val="none" w:sz="0" w:space="0" w:color="auto"/>
        <w:left w:val="none" w:sz="0" w:space="0" w:color="auto"/>
        <w:bottom w:val="none" w:sz="0" w:space="0" w:color="auto"/>
        <w:right w:val="none" w:sz="0" w:space="0" w:color="auto"/>
      </w:divBdr>
      <w:divsChild>
        <w:div w:id="190800103">
          <w:marLeft w:val="994"/>
          <w:marRight w:val="0"/>
          <w:marTop w:val="77"/>
          <w:marBottom w:val="120"/>
          <w:divBdr>
            <w:top w:val="none" w:sz="0" w:space="0" w:color="auto"/>
            <w:left w:val="none" w:sz="0" w:space="0" w:color="auto"/>
            <w:bottom w:val="none" w:sz="0" w:space="0" w:color="auto"/>
            <w:right w:val="none" w:sz="0" w:space="0" w:color="auto"/>
          </w:divBdr>
        </w:div>
      </w:divsChild>
    </w:div>
    <w:div w:id="481820868">
      <w:bodyDiv w:val="1"/>
      <w:marLeft w:val="0"/>
      <w:marRight w:val="0"/>
      <w:marTop w:val="0"/>
      <w:marBottom w:val="0"/>
      <w:divBdr>
        <w:top w:val="none" w:sz="0" w:space="0" w:color="auto"/>
        <w:left w:val="none" w:sz="0" w:space="0" w:color="auto"/>
        <w:bottom w:val="none" w:sz="0" w:space="0" w:color="auto"/>
        <w:right w:val="none" w:sz="0" w:space="0" w:color="auto"/>
      </w:divBdr>
      <w:divsChild>
        <w:div w:id="1971546593">
          <w:marLeft w:val="994"/>
          <w:marRight w:val="0"/>
          <w:marTop w:val="120"/>
          <w:marBottom w:val="120"/>
          <w:divBdr>
            <w:top w:val="none" w:sz="0" w:space="0" w:color="auto"/>
            <w:left w:val="none" w:sz="0" w:space="0" w:color="auto"/>
            <w:bottom w:val="none" w:sz="0" w:space="0" w:color="auto"/>
            <w:right w:val="none" w:sz="0" w:space="0" w:color="auto"/>
          </w:divBdr>
        </w:div>
        <w:div w:id="890191219">
          <w:marLeft w:val="1613"/>
          <w:marRight w:val="0"/>
          <w:marTop w:val="120"/>
          <w:marBottom w:val="120"/>
          <w:divBdr>
            <w:top w:val="none" w:sz="0" w:space="0" w:color="auto"/>
            <w:left w:val="none" w:sz="0" w:space="0" w:color="auto"/>
            <w:bottom w:val="none" w:sz="0" w:space="0" w:color="auto"/>
            <w:right w:val="none" w:sz="0" w:space="0" w:color="auto"/>
          </w:divBdr>
        </w:div>
        <w:div w:id="888304893">
          <w:marLeft w:val="1613"/>
          <w:marRight w:val="0"/>
          <w:marTop w:val="120"/>
          <w:marBottom w:val="120"/>
          <w:divBdr>
            <w:top w:val="none" w:sz="0" w:space="0" w:color="auto"/>
            <w:left w:val="none" w:sz="0" w:space="0" w:color="auto"/>
            <w:bottom w:val="none" w:sz="0" w:space="0" w:color="auto"/>
            <w:right w:val="none" w:sz="0" w:space="0" w:color="auto"/>
          </w:divBdr>
        </w:div>
        <w:div w:id="1504081940">
          <w:marLeft w:val="1613"/>
          <w:marRight w:val="0"/>
          <w:marTop w:val="120"/>
          <w:marBottom w:val="120"/>
          <w:divBdr>
            <w:top w:val="none" w:sz="0" w:space="0" w:color="auto"/>
            <w:left w:val="none" w:sz="0" w:space="0" w:color="auto"/>
            <w:bottom w:val="none" w:sz="0" w:space="0" w:color="auto"/>
            <w:right w:val="none" w:sz="0" w:space="0" w:color="auto"/>
          </w:divBdr>
        </w:div>
        <w:div w:id="57556450">
          <w:marLeft w:val="1613"/>
          <w:marRight w:val="0"/>
          <w:marTop w:val="120"/>
          <w:marBottom w:val="120"/>
          <w:divBdr>
            <w:top w:val="none" w:sz="0" w:space="0" w:color="auto"/>
            <w:left w:val="none" w:sz="0" w:space="0" w:color="auto"/>
            <w:bottom w:val="none" w:sz="0" w:space="0" w:color="auto"/>
            <w:right w:val="none" w:sz="0" w:space="0" w:color="auto"/>
          </w:divBdr>
        </w:div>
      </w:divsChild>
    </w:div>
    <w:div w:id="497964052">
      <w:bodyDiv w:val="1"/>
      <w:marLeft w:val="0"/>
      <w:marRight w:val="0"/>
      <w:marTop w:val="0"/>
      <w:marBottom w:val="0"/>
      <w:divBdr>
        <w:top w:val="none" w:sz="0" w:space="0" w:color="auto"/>
        <w:left w:val="none" w:sz="0" w:space="0" w:color="auto"/>
        <w:bottom w:val="none" w:sz="0" w:space="0" w:color="auto"/>
        <w:right w:val="none" w:sz="0" w:space="0" w:color="auto"/>
      </w:divBdr>
    </w:div>
    <w:div w:id="529032309">
      <w:bodyDiv w:val="1"/>
      <w:marLeft w:val="0"/>
      <w:marRight w:val="0"/>
      <w:marTop w:val="0"/>
      <w:marBottom w:val="0"/>
      <w:divBdr>
        <w:top w:val="none" w:sz="0" w:space="0" w:color="auto"/>
        <w:left w:val="none" w:sz="0" w:space="0" w:color="auto"/>
        <w:bottom w:val="none" w:sz="0" w:space="0" w:color="auto"/>
        <w:right w:val="none" w:sz="0" w:space="0" w:color="auto"/>
      </w:divBdr>
    </w:div>
    <w:div w:id="535002313">
      <w:bodyDiv w:val="1"/>
      <w:marLeft w:val="0"/>
      <w:marRight w:val="0"/>
      <w:marTop w:val="0"/>
      <w:marBottom w:val="0"/>
      <w:divBdr>
        <w:top w:val="none" w:sz="0" w:space="0" w:color="auto"/>
        <w:left w:val="none" w:sz="0" w:space="0" w:color="auto"/>
        <w:bottom w:val="none" w:sz="0" w:space="0" w:color="auto"/>
        <w:right w:val="none" w:sz="0" w:space="0" w:color="auto"/>
      </w:divBdr>
      <w:divsChild>
        <w:div w:id="1226574526">
          <w:marLeft w:val="994"/>
          <w:marRight w:val="0"/>
          <w:marTop w:val="120"/>
          <w:marBottom w:val="120"/>
          <w:divBdr>
            <w:top w:val="none" w:sz="0" w:space="0" w:color="auto"/>
            <w:left w:val="none" w:sz="0" w:space="0" w:color="auto"/>
            <w:bottom w:val="none" w:sz="0" w:space="0" w:color="auto"/>
            <w:right w:val="none" w:sz="0" w:space="0" w:color="auto"/>
          </w:divBdr>
        </w:div>
      </w:divsChild>
    </w:div>
    <w:div w:id="544683960">
      <w:bodyDiv w:val="1"/>
      <w:marLeft w:val="0"/>
      <w:marRight w:val="0"/>
      <w:marTop w:val="0"/>
      <w:marBottom w:val="0"/>
      <w:divBdr>
        <w:top w:val="none" w:sz="0" w:space="0" w:color="auto"/>
        <w:left w:val="none" w:sz="0" w:space="0" w:color="auto"/>
        <w:bottom w:val="none" w:sz="0" w:space="0" w:color="auto"/>
        <w:right w:val="none" w:sz="0" w:space="0" w:color="auto"/>
      </w:divBdr>
    </w:div>
    <w:div w:id="572471832">
      <w:bodyDiv w:val="1"/>
      <w:marLeft w:val="0"/>
      <w:marRight w:val="0"/>
      <w:marTop w:val="0"/>
      <w:marBottom w:val="0"/>
      <w:divBdr>
        <w:top w:val="none" w:sz="0" w:space="0" w:color="auto"/>
        <w:left w:val="none" w:sz="0" w:space="0" w:color="auto"/>
        <w:bottom w:val="none" w:sz="0" w:space="0" w:color="auto"/>
        <w:right w:val="none" w:sz="0" w:space="0" w:color="auto"/>
      </w:divBdr>
      <w:divsChild>
        <w:div w:id="379525301">
          <w:marLeft w:val="994"/>
          <w:marRight w:val="0"/>
          <w:marTop w:val="120"/>
          <w:marBottom w:val="120"/>
          <w:divBdr>
            <w:top w:val="none" w:sz="0" w:space="0" w:color="auto"/>
            <w:left w:val="none" w:sz="0" w:space="0" w:color="auto"/>
            <w:bottom w:val="none" w:sz="0" w:space="0" w:color="auto"/>
            <w:right w:val="none" w:sz="0" w:space="0" w:color="auto"/>
          </w:divBdr>
        </w:div>
        <w:div w:id="1176455591">
          <w:marLeft w:val="994"/>
          <w:marRight w:val="0"/>
          <w:marTop w:val="120"/>
          <w:marBottom w:val="120"/>
          <w:divBdr>
            <w:top w:val="none" w:sz="0" w:space="0" w:color="auto"/>
            <w:left w:val="none" w:sz="0" w:space="0" w:color="auto"/>
            <w:bottom w:val="none" w:sz="0" w:space="0" w:color="auto"/>
            <w:right w:val="none" w:sz="0" w:space="0" w:color="auto"/>
          </w:divBdr>
        </w:div>
      </w:divsChild>
    </w:div>
    <w:div w:id="593321417">
      <w:bodyDiv w:val="1"/>
      <w:marLeft w:val="0"/>
      <w:marRight w:val="0"/>
      <w:marTop w:val="0"/>
      <w:marBottom w:val="0"/>
      <w:divBdr>
        <w:top w:val="none" w:sz="0" w:space="0" w:color="auto"/>
        <w:left w:val="none" w:sz="0" w:space="0" w:color="auto"/>
        <w:bottom w:val="none" w:sz="0" w:space="0" w:color="auto"/>
        <w:right w:val="none" w:sz="0" w:space="0" w:color="auto"/>
      </w:divBdr>
      <w:divsChild>
        <w:div w:id="1205167996">
          <w:marLeft w:val="994"/>
          <w:marRight w:val="0"/>
          <w:marTop w:val="120"/>
          <w:marBottom w:val="120"/>
          <w:divBdr>
            <w:top w:val="none" w:sz="0" w:space="0" w:color="auto"/>
            <w:left w:val="none" w:sz="0" w:space="0" w:color="auto"/>
            <w:bottom w:val="none" w:sz="0" w:space="0" w:color="auto"/>
            <w:right w:val="none" w:sz="0" w:space="0" w:color="auto"/>
          </w:divBdr>
        </w:div>
        <w:div w:id="1480459352">
          <w:marLeft w:val="994"/>
          <w:marRight w:val="0"/>
          <w:marTop w:val="77"/>
          <w:marBottom w:val="120"/>
          <w:divBdr>
            <w:top w:val="none" w:sz="0" w:space="0" w:color="auto"/>
            <w:left w:val="none" w:sz="0" w:space="0" w:color="auto"/>
            <w:bottom w:val="none" w:sz="0" w:space="0" w:color="auto"/>
            <w:right w:val="none" w:sz="0" w:space="0" w:color="auto"/>
          </w:divBdr>
        </w:div>
      </w:divsChild>
    </w:div>
    <w:div w:id="659387263">
      <w:bodyDiv w:val="1"/>
      <w:marLeft w:val="0"/>
      <w:marRight w:val="0"/>
      <w:marTop w:val="0"/>
      <w:marBottom w:val="0"/>
      <w:divBdr>
        <w:top w:val="none" w:sz="0" w:space="0" w:color="auto"/>
        <w:left w:val="none" w:sz="0" w:space="0" w:color="auto"/>
        <w:bottom w:val="none" w:sz="0" w:space="0" w:color="auto"/>
        <w:right w:val="none" w:sz="0" w:space="0" w:color="auto"/>
      </w:divBdr>
    </w:div>
    <w:div w:id="669214117">
      <w:bodyDiv w:val="1"/>
      <w:marLeft w:val="0"/>
      <w:marRight w:val="0"/>
      <w:marTop w:val="0"/>
      <w:marBottom w:val="0"/>
      <w:divBdr>
        <w:top w:val="none" w:sz="0" w:space="0" w:color="auto"/>
        <w:left w:val="none" w:sz="0" w:space="0" w:color="auto"/>
        <w:bottom w:val="none" w:sz="0" w:space="0" w:color="auto"/>
        <w:right w:val="none" w:sz="0" w:space="0" w:color="auto"/>
      </w:divBdr>
    </w:div>
    <w:div w:id="671758080">
      <w:bodyDiv w:val="1"/>
      <w:marLeft w:val="0"/>
      <w:marRight w:val="0"/>
      <w:marTop w:val="0"/>
      <w:marBottom w:val="0"/>
      <w:divBdr>
        <w:top w:val="none" w:sz="0" w:space="0" w:color="auto"/>
        <w:left w:val="none" w:sz="0" w:space="0" w:color="auto"/>
        <w:bottom w:val="none" w:sz="0" w:space="0" w:color="auto"/>
        <w:right w:val="none" w:sz="0" w:space="0" w:color="auto"/>
      </w:divBdr>
      <w:divsChild>
        <w:div w:id="787889484">
          <w:marLeft w:val="274"/>
          <w:marRight w:val="0"/>
          <w:marTop w:val="77"/>
          <w:marBottom w:val="0"/>
          <w:divBdr>
            <w:top w:val="none" w:sz="0" w:space="0" w:color="auto"/>
            <w:left w:val="none" w:sz="0" w:space="0" w:color="auto"/>
            <w:bottom w:val="none" w:sz="0" w:space="0" w:color="auto"/>
            <w:right w:val="none" w:sz="0" w:space="0" w:color="auto"/>
          </w:divBdr>
        </w:div>
      </w:divsChild>
    </w:div>
    <w:div w:id="792796683">
      <w:bodyDiv w:val="1"/>
      <w:marLeft w:val="0"/>
      <w:marRight w:val="0"/>
      <w:marTop w:val="0"/>
      <w:marBottom w:val="0"/>
      <w:divBdr>
        <w:top w:val="none" w:sz="0" w:space="0" w:color="auto"/>
        <w:left w:val="none" w:sz="0" w:space="0" w:color="auto"/>
        <w:bottom w:val="none" w:sz="0" w:space="0" w:color="auto"/>
        <w:right w:val="none" w:sz="0" w:space="0" w:color="auto"/>
      </w:divBdr>
    </w:div>
    <w:div w:id="840118514">
      <w:bodyDiv w:val="1"/>
      <w:marLeft w:val="0"/>
      <w:marRight w:val="0"/>
      <w:marTop w:val="0"/>
      <w:marBottom w:val="0"/>
      <w:divBdr>
        <w:top w:val="none" w:sz="0" w:space="0" w:color="auto"/>
        <w:left w:val="none" w:sz="0" w:space="0" w:color="auto"/>
        <w:bottom w:val="none" w:sz="0" w:space="0" w:color="auto"/>
        <w:right w:val="none" w:sz="0" w:space="0" w:color="auto"/>
      </w:divBdr>
      <w:divsChild>
        <w:div w:id="648943165">
          <w:marLeft w:val="1267"/>
          <w:marRight w:val="0"/>
          <w:marTop w:val="100"/>
          <w:marBottom w:val="0"/>
          <w:divBdr>
            <w:top w:val="none" w:sz="0" w:space="0" w:color="auto"/>
            <w:left w:val="none" w:sz="0" w:space="0" w:color="auto"/>
            <w:bottom w:val="none" w:sz="0" w:space="0" w:color="auto"/>
            <w:right w:val="none" w:sz="0" w:space="0" w:color="auto"/>
          </w:divBdr>
        </w:div>
      </w:divsChild>
    </w:div>
    <w:div w:id="898713717">
      <w:bodyDiv w:val="1"/>
      <w:marLeft w:val="0"/>
      <w:marRight w:val="0"/>
      <w:marTop w:val="0"/>
      <w:marBottom w:val="0"/>
      <w:divBdr>
        <w:top w:val="none" w:sz="0" w:space="0" w:color="auto"/>
        <w:left w:val="none" w:sz="0" w:space="0" w:color="auto"/>
        <w:bottom w:val="none" w:sz="0" w:space="0" w:color="auto"/>
        <w:right w:val="none" w:sz="0" w:space="0" w:color="auto"/>
      </w:divBdr>
    </w:div>
    <w:div w:id="983121304">
      <w:bodyDiv w:val="1"/>
      <w:marLeft w:val="0"/>
      <w:marRight w:val="0"/>
      <w:marTop w:val="0"/>
      <w:marBottom w:val="0"/>
      <w:divBdr>
        <w:top w:val="none" w:sz="0" w:space="0" w:color="auto"/>
        <w:left w:val="none" w:sz="0" w:space="0" w:color="auto"/>
        <w:bottom w:val="none" w:sz="0" w:space="0" w:color="auto"/>
        <w:right w:val="none" w:sz="0" w:space="0" w:color="auto"/>
      </w:divBdr>
      <w:divsChild>
        <w:div w:id="1476528202">
          <w:marLeft w:val="994"/>
          <w:marRight w:val="0"/>
          <w:marTop w:val="72"/>
          <w:marBottom w:val="120"/>
          <w:divBdr>
            <w:top w:val="none" w:sz="0" w:space="0" w:color="auto"/>
            <w:left w:val="none" w:sz="0" w:space="0" w:color="auto"/>
            <w:bottom w:val="none" w:sz="0" w:space="0" w:color="auto"/>
            <w:right w:val="none" w:sz="0" w:space="0" w:color="auto"/>
          </w:divBdr>
        </w:div>
        <w:div w:id="1503468868">
          <w:marLeft w:val="994"/>
          <w:marRight w:val="0"/>
          <w:marTop w:val="72"/>
          <w:marBottom w:val="120"/>
          <w:divBdr>
            <w:top w:val="none" w:sz="0" w:space="0" w:color="auto"/>
            <w:left w:val="none" w:sz="0" w:space="0" w:color="auto"/>
            <w:bottom w:val="none" w:sz="0" w:space="0" w:color="auto"/>
            <w:right w:val="none" w:sz="0" w:space="0" w:color="auto"/>
          </w:divBdr>
        </w:div>
      </w:divsChild>
    </w:div>
    <w:div w:id="986856334">
      <w:bodyDiv w:val="1"/>
      <w:marLeft w:val="0"/>
      <w:marRight w:val="0"/>
      <w:marTop w:val="0"/>
      <w:marBottom w:val="0"/>
      <w:divBdr>
        <w:top w:val="none" w:sz="0" w:space="0" w:color="auto"/>
        <w:left w:val="none" w:sz="0" w:space="0" w:color="auto"/>
        <w:bottom w:val="none" w:sz="0" w:space="0" w:color="auto"/>
        <w:right w:val="none" w:sz="0" w:space="0" w:color="auto"/>
      </w:divBdr>
      <w:divsChild>
        <w:div w:id="914625639">
          <w:marLeft w:val="1267"/>
          <w:marRight w:val="0"/>
          <w:marTop w:val="100"/>
          <w:marBottom w:val="0"/>
          <w:divBdr>
            <w:top w:val="none" w:sz="0" w:space="0" w:color="auto"/>
            <w:left w:val="none" w:sz="0" w:space="0" w:color="auto"/>
            <w:bottom w:val="none" w:sz="0" w:space="0" w:color="auto"/>
            <w:right w:val="none" w:sz="0" w:space="0" w:color="auto"/>
          </w:divBdr>
        </w:div>
      </w:divsChild>
    </w:div>
    <w:div w:id="995766070">
      <w:bodyDiv w:val="1"/>
      <w:marLeft w:val="0"/>
      <w:marRight w:val="0"/>
      <w:marTop w:val="0"/>
      <w:marBottom w:val="0"/>
      <w:divBdr>
        <w:top w:val="none" w:sz="0" w:space="0" w:color="auto"/>
        <w:left w:val="none" w:sz="0" w:space="0" w:color="auto"/>
        <w:bottom w:val="none" w:sz="0" w:space="0" w:color="auto"/>
        <w:right w:val="none" w:sz="0" w:space="0" w:color="auto"/>
      </w:divBdr>
    </w:div>
    <w:div w:id="1010597277">
      <w:bodyDiv w:val="1"/>
      <w:marLeft w:val="0"/>
      <w:marRight w:val="0"/>
      <w:marTop w:val="0"/>
      <w:marBottom w:val="0"/>
      <w:divBdr>
        <w:top w:val="none" w:sz="0" w:space="0" w:color="auto"/>
        <w:left w:val="none" w:sz="0" w:space="0" w:color="auto"/>
        <w:bottom w:val="none" w:sz="0" w:space="0" w:color="auto"/>
        <w:right w:val="none" w:sz="0" w:space="0" w:color="auto"/>
      </w:divBdr>
    </w:div>
    <w:div w:id="1042288040">
      <w:bodyDiv w:val="1"/>
      <w:marLeft w:val="0"/>
      <w:marRight w:val="0"/>
      <w:marTop w:val="0"/>
      <w:marBottom w:val="0"/>
      <w:divBdr>
        <w:top w:val="none" w:sz="0" w:space="0" w:color="auto"/>
        <w:left w:val="none" w:sz="0" w:space="0" w:color="auto"/>
        <w:bottom w:val="none" w:sz="0" w:space="0" w:color="auto"/>
        <w:right w:val="none" w:sz="0" w:space="0" w:color="auto"/>
      </w:divBdr>
      <w:divsChild>
        <w:div w:id="395974325">
          <w:marLeft w:val="994"/>
          <w:marRight w:val="0"/>
          <w:marTop w:val="77"/>
          <w:marBottom w:val="0"/>
          <w:divBdr>
            <w:top w:val="none" w:sz="0" w:space="0" w:color="auto"/>
            <w:left w:val="none" w:sz="0" w:space="0" w:color="auto"/>
            <w:bottom w:val="none" w:sz="0" w:space="0" w:color="auto"/>
            <w:right w:val="none" w:sz="0" w:space="0" w:color="auto"/>
          </w:divBdr>
        </w:div>
      </w:divsChild>
    </w:div>
    <w:div w:id="1180125696">
      <w:bodyDiv w:val="1"/>
      <w:marLeft w:val="0"/>
      <w:marRight w:val="0"/>
      <w:marTop w:val="0"/>
      <w:marBottom w:val="0"/>
      <w:divBdr>
        <w:top w:val="none" w:sz="0" w:space="0" w:color="auto"/>
        <w:left w:val="none" w:sz="0" w:space="0" w:color="auto"/>
        <w:bottom w:val="none" w:sz="0" w:space="0" w:color="auto"/>
        <w:right w:val="none" w:sz="0" w:space="0" w:color="auto"/>
      </w:divBdr>
      <w:divsChild>
        <w:div w:id="417285637">
          <w:marLeft w:val="994"/>
          <w:marRight w:val="0"/>
          <w:marTop w:val="72"/>
          <w:marBottom w:val="120"/>
          <w:divBdr>
            <w:top w:val="none" w:sz="0" w:space="0" w:color="auto"/>
            <w:left w:val="none" w:sz="0" w:space="0" w:color="auto"/>
            <w:bottom w:val="none" w:sz="0" w:space="0" w:color="auto"/>
            <w:right w:val="none" w:sz="0" w:space="0" w:color="auto"/>
          </w:divBdr>
        </w:div>
        <w:div w:id="1899970349">
          <w:marLeft w:val="994"/>
          <w:marRight w:val="0"/>
          <w:marTop w:val="72"/>
          <w:marBottom w:val="120"/>
          <w:divBdr>
            <w:top w:val="none" w:sz="0" w:space="0" w:color="auto"/>
            <w:left w:val="none" w:sz="0" w:space="0" w:color="auto"/>
            <w:bottom w:val="none" w:sz="0" w:space="0" w:color="auto"/>
            <w:right w:val="none" w:sz="0" w:space="0" w:color="auto"/>
          </w:divBdr>
        </w:div>
      </w:divsChild>
    </w:div>
    <w:div w:id="1197036799">
      <w:bodyDiv w:val="1"/>
      <w:marLeft w:val="0"/>
      <w:marRight w:val="0"/>
      <w:marTop w:val="0"/>
      <w:marBottom w:val="0"/>
      <w:divBdr>
        <w:top w:val="none" w:sz="0" w:space="0" w:color="auto"/>
        <w:left w:val="none" w:sz="0" w:space="0" w:color="auto"/>
        <w:bottom w:val="none" w:sz="0" w:space="0" w:color="auto"/>
        <w:right w:val="none" w:sz="0" w:space="0" w:color="auto"/>
      </w:divBdr>
      <w:divsChild>
        <w:div w:id="1308365860">
          <w:marLeft w:val="994"/>
          <w:marRight w:val="0"/>
          <w:marTop w:val="72"/>
          <w:marBottom w:val="120"/>
          <w:divBdr>
            <w:top w:val="none" w:sz="0" w:space="0" w:color="auto"/>
            <w:left w:val="none" w:sz="0" w:space="0" w:color="auto"/>
            <w:bottom w:val="none" w:sz="0" w:space="0" w:color="auto"/>
            <w:right w:val="none" w:sz="0" w:space="0" w:color="auto"/>
          </w:divBdr>
        </w:div>
      </w:divsChild>
    </w:div>
    <w:div w:id="1205871944">
      <w:bodyDiv w:val="1"/>
      <w:marLeft w:val="0"/>
      <w:marRight w:val="0"/>
      <w:marTop w:val="0"/>
      <w:marBottom w:val="0"/>
      <w:divBdr>
        <w:top w:val="none" w:sz="0" w:space="0" w:color="auto"/>
        <w:left w:val="none" w:sz="0" w:space="0" w:color="auto"/>
        <w:bottom w:val="none" w:sz="0" w:space="0" w:color="auto"/>
        <w:right w:val="none" w:sz="0" w:space="0" w:color="auto"/>
      </w:divBdr>
      <w:divsChild>
        <w:div w:id="234173348">
          <w:marLeft w:val="994"/>
          <w:marRight w:val="0"/>
          <w:marTop w:val="77"/>
          <w:marBottom w:val="120"/>
          <w:divBdr>
            <w:top w:val="none" w:sz="0" w:space="0" w:color="auto"/>
            <w:left w:val="none" w:sz="0" w:space="0" w:color="auto"/>
            <w:bottom w:val="none" w:sz="0" w:space="0" w:color="auto"/>
            <w:right w:val="none" w:sz="0" w:space="0" w:color="auto"/>
          </w:divBdr>
        </w:div>
        <w:div w:id="623734643">
          <w:marLeft w:val="994"/>
          <w:marRight w:val="0"/>
          <w:marTop w:val="0"/>
          <w:marBottom w:val="0"/>
          <w:divBdr>
            <w:top w:val="none" w:sz="0" w:space="0" w:color="auto"/>
            <w:left w:val="none" w:sz="0" w:space="0" w:color="auto"/>
            <w:bottom w:val="none" w:sz="0" w:space="0" w:color="auto"/>
            <w:right w:val="none" w:sz="0" w:space="0" w:color="auto"/>
          </w:divBdr>
        </w:div>
      </w:divsChild>
    </w:div>
    <w:div w:id="1238786542">
      <w:bodyDiv w:val="1"/>
      <w:marLeft w:val="0"/>
      <w:marRight w:val="0"/>
      <w:marTop w:val="0"/>
      <w:marBottom w:val="0"/>
      <w:divBdr>
        <w:top w:val="none" w:sz="0" w:space="0" w:color="auto"/>
        <w:left w:val="none" w:sz="0" w:space="0" w:color="auto"/>
        <w:bottom w:val="none" w:sz="0" w:space="0" w:color="auto"/>
        <w:right w:val="none" w:sz="0" w:space="0" w:color="auto"/>
      </w:divBdr>
      <w:divsChild>
        <w:div w:id="1344743009">
          <w:marLeft w:val="994"/>
          <w:marRight w:val="0"/>
          <w:marTop w:val="72"/>
          <w:marBottom w:val="120"/>
          <w:divBdr>
            <w:top w:val="none" w:sz="0" w:space="0" w:color="auto"/>
            <w:left w:val="none" w:sz="0" w:space="0" w:color="auto"/>
            <w:bottom w:val="none" w:sz="0" w:space="0" w:color="auto"/>
            <w:right w:val="none" w:sz="0" w:space="0" w:color="auto"/>
          </w:divBdr>
        </w:div>
        <w:div w:id="125128468">
          <w:marLeft w:val="1613"/>
          <w:marRight w:val="0"/>
          <w:marTop w:val="67"/>
          <w:marBottom w:val="120"/>
          <w:divBdr>
            <w:top w:val="none" w:sz="0" w:space="0" w:color="auto"/>
            <w:left w:val="none" w:sz="0" w:space="0" w:color="auto"/>
            <w:bottom w:val="none" w:sz="0" w:space="0" w:color="auto"/>
            <w:right w:val="none" w:sz="0" w:space="0" w:color="auto"/>
          </w:divBdr>
        </w:div>
        <w:div w:id="1195071853">
          <w:marLeft w:val="1613"/>
          <w:marRight w:val="0"/>
          <w:marTop w:val="67"/>
          <w:marBottom w:val="120"/>
          <w:divBdr>
            <w:top w:val="none" w:sz="0" w:space="0" w:color="auto"/>
            <w:left w:val="none" w:sz="0" w:space="0" w:color="auto"/>
            <w:bottom w:val="none" w:sz="0" w:space="0" w:color="auto"/>
            <w:right w:val="none" w:sz="0" w:space="0" w:color="auto"/>
          </w:divBdr>
        </w:div>
      </w:divsChild>
    </w:div>
    <w:div w:id="1261331043">
      <w:bodyDiv w:val="1"/>
      <w:marLeft w:val="0"/>
      <w:marRight w:val="0"/>
      <w:marTop w:val="0"/>
      <w:marBottom w:val="0"/>
      <w:divBdr>
        <w:top w:val="none" w:sz="0" w:space="0" w:color="auto"/>
        <w:left w:val="none" w:sz="0" w:space="0" w:color="auto"/>
        <w:bottom w:val="none" w:sz="0" w:space="0" w:color="auto"/>
        <w:right w:val="none" w:sz="0" w:space="0" w:color="auto"/>
      </w:divBdr>
      <w:divsChild>
        <w:div w:id="948126206">
          <w:marLeft w:val="994"/>
          <w:marRight w:val="0"/>
          <w:marTop w:val="77"/>
          <w:marBottom w:val="120"/>
          <w:divBdr>
            <w:top w:val="none" w:sz="0" w:space="0" w:color="auto"/>
            <w:left w:val="none" w:sz="0" w:space="0" w:color="auto"/>
            <w:bottom w:val="none" w:sz="0" w:space="0" w:color="auto"/>
            <w:right w:val="none" w:sz="0" w:space="0" w:color="auto"/>
          </w:divBdr>
        </w:div>
      </w:divsChild>
    </w:div>
    <w:div w:id="1290625550">
      <w:bodyDiv w:val="1"/>
      <w:marLeft w:val="0"/>
      <w:marRight w:val="0"/>
      <w:marTop w:val="0"/>
      <w:marBottom w:val="0"/>
      <w:divBdr>
        <w:top w:val="none" w:sz="0" w:space="0" w:color="auto"/>
        <w:left w:val="none" w:sz="0" w:space="0" w:color="auto"/>
        <w:bottom w:val="none" w:sz="0" w:space="0" w:color="auto"/>
        <w:right w:val="none" w:sz="0" w:space="0" w:color="auto"/>
      </w:divBdr>
      <w:divsChild>
        <w:div w:id="873887207">
          <w:marLeft w:val="994"/>
          <w:marRight w:val="0"/>
          <w:marTop w:val="72"/>
          <w:marBottom w:val="0"/>
          <w:divBdr>
            <w:top w:val="none" w:sz="0" w:space="0" w:color="auto"/>
            <w:left w:val="none" w:sz="0" w:space="0" w:color="auto"/>
            <w:bottom w:val="none" w:sz="0" w:space="0" w:color="auto"/>
            <w:right w:val="none" w:sz="0" w:space="0" w:color="auto"/>
          </w:divBdr>
        </w:div>
      </w:divsChild>
    </w:div>
    <w:div w:id="1329820842">
      <w:bodyDiv w:val="1"/>
      <w:marLeft w:val="0"/>
      <w:marRight w:val="0"/>
      <w:marTop w:val="0"/>
      <w:marBottom w:val="0"/>
      <w:divBdr>
        <w:top w:val="none" w:sz="0" w:space="0" w:color="auto"/>
        <w:left w:val="none" w:sz="0" w:space="0" w:color="auto"/>
        <w:bottom w:val="none" w:sz="0" w:space="0" w:color="auto"/>
        <w:right w:val="none" w:sz="0" w:space="0" w:color="auto"/>
      </w:divBdr>
      <w:divsChild>
        <w:div w:id="1272009222">
          <w:marLeft w:val="418"/>
          <w:marRight w:val="0"/>
          <w:marTop w:val="0"/>
          <w:marBottom w:val="0"/>
          <w:divBdr>
            <w:top w:val="none" w:sz="0" w:space="0" w:color="auto"/>
            <w:left w:val="none" w:sz="0" w:space="0" w:color="auto"/>
            <w:bottom w:val="none" w:sz="0" w:space="0" w:color="auto"/>
            <w:right w:val="none" w:sz="0" w:space="0" w:color="auto"/>
          </w:divBdr>
        </w:div>
      </w:divsChild>
    </w:div>
    <w:div w:id="1329943685">
      <w:bodyDiv w:val="1"/>
      <w:marLeft w:val="0"/>
      <w:marRight w:val="0"/>
      <w:marTop w:val="0"/>
      <w:marBottom w:val="0"/>
      <w:divBdr>
        <w:top w:val="none" w:sz="0" w:space="0" w:color="auto"/>
        <w:left w:val="none" w:sz="0" w:space="0" w:color="auto"/>
        <w:bottom w:val="none" w:sz="0" w:space="0" w:color="auto"/>
        <w:right w:val="none" w:sz="0" w:space="0" w:color="auto"/>
      </w:divBdr>
      <w:divsChild>
        <w:div w:id="1697845331">
          <w:marLeft w:val="994"/>
          <w:marRight w:val="0"/>
          <w:marTop w:val="72"/>
          <w:marBottom w:val="120"/>
          <w:divBdr>
            <w:top w:val="none" w:sz="0" w:space="0" w:color="auto"/>
            <w:left w:val="none" w:sz="0" w:space="0" w:color="auto"/>
            <w:bottom w:val="none" w:sz="0" w:space="0" w:color="auto"/>
            <w:right w:val="none" w:sz="0" w:space="0" w:color="auto"/>
          </w:divBdr>
        </w:div>
      </w:divsChild>
    </w:div>
    <w:div w:id="1365712381">
      <w:bodyDiv w:val="1"/>
      <w:marLeft w:val="0"/>
      <w:marRight w:val="0"/>
      <w:marTop w:val="0"/>
      <w:marBottom w:val="0"/>
      <w:divBdr>
        <w:top w:val="none" w:sz="0" w:space="0" w:color="auto"/>
        <w:left w:val="none" w:sz="0" w:space="0" w:color="auto"/>
        <w:bottom w:val="none" w:sz="0" w:space="0" w:color="auto"/>
        <w:right w:val="none" w:sz="0" w:space="0" w:color="auto"/>
      </w:divBdr>
      <w:divsChild>
        <w:div w:id="289480541">
          <w:marLeft w:val="994"/>
          <w:marRight w:val="0"/>
          <w:marTop w:val="77"/>
          <w:marBottom w:val="120"/>
          <w:divBdr>
            <w:top w:val="none" w:sz="0" w:space="0" w:color="auto"/>
            <w:left w:val="none" w:sz="0" w:space="0" w:color="auto"/>
            <w:bottom w:val="none" w:sz="0" w:space="0" w:color="auto"/>
            <w:right w:val="none" w:sz="0" w:space="0" w:color="auto"/>
          </w:divBdr>
        </w:div>
      </w:divsChild>
    </w:div>
    <w:div w:id="1369572448">
      <w:bodyDiv w:val="1"/>
      <w:marLeft w:val="0"/>
      <w:marRight w:val="0"/>
      <w:marTop w:val="0"/>
      <w:marBottom w:val="0"/>
      <w:divBdr>
        <w:top w:val="none" w:sz="0" w:space="0" w:color="auto"/>
        <w:left w:val="none" w:sz="0" w:space="0" w:color="auto"/>
        <w:bottom w:val="none" w:sz="0" w:space="0" w:color="auto"/>
        <w:right w:val="none" w:sz="0" w:space="0" w:color="auto"/>
      </w:divBdr>
    </w:div>
    <w:div w:id="1379470951">
      <w:bodyDiv w:val="1"/>
      <w:marLeft w:val="0"/>
      <w:marRight w:val="0"/>
      <w:marTop w:val="0"/>
      <w:marBottom w:val="0"/>
      <w:divBdr>
        <w:top w:val="none" w:sz="0" w:space="0" w:color="auto"/>
        <w:left w:val="none" w:sz="0" w:space="0" w:color="auto"/>
        <w:bottom w:val="none" w:sz="0" w:space="0" w:color="auto"/>
        <w:right w:val="none" w:sz="0" w:space="0" w:color="auto"/>
      </w:divBdr>
      <w:divsChild>
        <w:div w:id="1920826881">
          <w:marLeft w:val="994"/>
          <w:marRight w:val="0"/>
          <w:marTop w:val="72"/>
          <w:marBottom w:val="0"/>
          <w:divBdr>
            <w:top w:val="none" w:sz="0" w:space="0" w:color="auto"/>
            <w:left w:val="none" w:sz="0" w:space="0" w:color="auto"/>
            <w:bottom w:val="none" w:sz="0" w:space="0" w:color="auto"/>
            <w:right w:val="none" w:sz="0" w:space="0" w:color="auto"/>
          </w:divBdr>
        </w:div>
        <w:div w:id="1948417458">
          <w:marLeft w:val="994"/>
          <w:marRight w:val="0"/>
          <w:marTop w:val="72"/>
          <w:marBottom w:val="0"/>
          <w:divBdr>
            <w:top w:val="none" w:sz="0" w:space="0" w:color="auto"/>
            <w:left w:val="none" w:sz="0" w:space="0" w:color="auto"/>
            <w:bottom w:val="none" w:sz="0" w:space="0" w:color="auto"/>
            <w:right w:val="none" w:sz="0" w:space="0" w:color="auto"/>
          </w:divBdr>
        </w:div>
      </w:divsChild>
    </w:div>
    <w:div w:id="1590115336">
      <w:bodyDiv w:val="1"/>
      <w:marLeft w:val="0"/>
      <w:marRight w:val="0"/>
      <w:marTop w:val="0"/>
      <w:marBottom w:val="0"/>
      <w:divBdr>
        <w:top w:val="none" w:sz="0" w:space="0" w:color="auto"/>
        <w:left w:val="none" w:sz="0" w:space="0" w:color="auto"/>
        <w:bottom w:val="none" w:sz="0" w:space="0" w:color="auto"/>
        <w:right w:val="none" w:sz="0" w:space="0" w:color="auto"/>
      </w:divBdr>
    </w:div>
    <w:div w:id="1596522535">
      <w:bodyDiv w:val="1"/>
      <w:marLeft w:val="0"/>
      <w:marRight w:val="0"/>
      <w:marTop w:val="0"/>
      <w:marBottom w:val="0"/>
      <w:divBdr>
        <w:top w:val="none" w:sz="0" w:space="0" w:color="auto"/>
        <w:left w:val="none" w:sz="0" w:space="0" w:color="auto"/>
        <w:bottom w:val="none" w:sz="0" w:space="0" w:color="auto"/>
        <w:right w:val="none" w:sz="0" w:space="0" w:color="auto"/>
      </w:divBdr>
      <w:divsChild>
        <w:div w:id="1618684271">
          <w:marLeft w:val="994"/>
          <w:marRight w:val="0"/>
          <w:marTop w:val="71"/>
          <w:marBottom w:val="0"/>
          <w:divBdr>
            <w:top w:val="none" w:sz="0" w:space="0" w:color="auto"/>
            <w:left w:val="none" w:sz="0" w:space="0" w:color="auto"/>
            <w:bottom w:val="none" w:sz="0" w:space="0" w:color="auto"/>
            <w:right w:val="none" w:sz="0" w:space="0" w:color="auto"/>
          </w:divBdr>
        </w:div>
        <w:div w:id="899488128">
          <w:marLeft w:val="994"/>
          <w:marRight w:val="0"/>
          <w:marTop w:val="71"/>
          <w:marBottom w:val="0"/>
          <w:divBdr>
            <w:top w:val="none" w:sz="0" w:space="0" w:color="auto"/>
            <w:left w:val="none" w:sz="0" w:space="0" w:color="auto"/>
            <w:bottom w:val="none" w:sz="0" w:space="0" w:color="auto"/>
            <w:right w:val="none" w:sz="0" w:space="0" w:color="auto"/>
          </w:divBdr>
        </w:div>
      </w:divsChild>
    </w:div>
    <w:div w:id="1649553780">
      <w:bodyDiv w:val="1"/>
      <w:marLeft w:val="0"/>
      <w:marRight w:val="0"/>
      <w:marTop w:val="0"/>
      <w:marBottom w:val="0"/>
      <w:divBdr>
        <w:top w:val="none" w:sz="0" w:space="0" w:color="auto"/>
        <w:left w:val="none" w:sz="0" w:space="0" w:color="auto"/>
        <w:bottom w:val="none" w:sz="0" w:space="0" w:color="auto"/>
        <w:right w:val="none" w:sz="0" w:space="0" w:color="auto"/>
      </w:divBdr>
    </w:div>
    <w:div w:id="1675298436">
      <w:bodyDiv w:val="1"/>
      <w:marLeft w:val="0"/>
      <w:marRight w:val="0"/>
      <w:marTop w:val="0"/>
      <w:marBottom w:val="0"/>
      <w:divBdr>
        <w:top w:val="none" w:sz="0" w:space="0" w:color="auto"/>
        <w:left w:val="none" w:sz="0" w:space="0" w:color="auto"/>
        <w:bottom w:val="none" w:sz="0" w:space="0" w:color="auto"/>
        <w:right w:val="none" w:sz="0" w:space="0" w:color="auto"/>
      </w:divBdr>
    </w:div>
    <w:div w:id="1675382251">
      <w:bodyDiv w:val="1"/>
      <w:marLeft w:val="0"/>
      <w:marRight w:val="0"/>
      <w:marTop w:val="0"/>
      <w:marBottom w:val="0"/>
      <w:divBdr>
        <w:top w:val="none" w:sz="0" w:space="0" w:color="auto"/>
        <w:left w:val="none" w:sz="0" w:space="0" w:color="auto"/>
        <w:bottom w:val="none" w:sz="0" w:space="0" w:color="auto"/>
        <w:right w:val="none" w:sz="0" w:space="0" w:color="auto"/>
      </w:divBdr>
    </w:div>
    <w:div w:id="1743485486">
      <w:bodyDiv w:val="1"/>
      <w:marLeft w:val="0"/>
      <w:marRight w:val="0"/>
      <w:marTop w:val="0"/>
      <w:marBottom w:val="0"/>
      <w:divBdr>
        <w:top w:val="none" w:sz="0" w:space="0" w:color="auto"/>
        <w:left w:val="none" w:sz="0" w:space="0" w:color="auto"/>
        <w:bottom w:val="none" w:sz="0" w:space="0" w:color="auto"/>
        <w:right w:val="none" w:sz="0" w:space="0" w:color="auto"/>
      </w:divBdr>
    </w:div>
    <w:div w:id="1759449427">
      <w:bodyDiv w:val="1"/>
      <w:marLeft w:val="0"/>
      <w:marRight w:val="0"/>
      <w:marTop w:val="0"/>
      <w:marBottom w:val="0"/>
      <w:divBdr>
        <w:top w:val="none" w:sz="0" w:space="0" w:color="auto"/>
        <w:left w:val="none" w:sz="0" w:space="0" w:color="auto"/>
        <w:bottom w:val="none" w:sz="0" w:space="0" w:color="auto"/>
        <w:right w:val="none" w:sz="0" w:space="0" w:color="auto"/>
      </w:divBdr>
      <w:divsChild>
        <w:div w:id="2049403574">
          <w:marLeft w:val="994"/>
          <w:marRight w:val="0"/>
          <w:marTop w:val="72"/>
          <w:marBottom w:val="120"/>
          <w:divBdr>
            <w:top w:val="none" w:sz="0" w:space="0" w:color="auto"/>
            <w:left w:val="none" w:sz="0" w:space="0" w:color="auto"/>
            <w:bottom w:val="none" w:sz="0" w:space="0" w:color="auto"/>
            <w:right w:val="none" w:sz="0" w:space="0" w:color="auto"/>
          </w:divBdr>
        </w:div>
      </w:divsChild>
    </w:div>
    <w:div w:id="1803644833">
      <w:bodyDiv w:val="1"/>
      <w:marLeft w:val="0"/>
      <w:marRight w:val="0"/>
      <w:marTop w:val="0"/>
      <w:marBottom w:val="0"/>
      <w:divBdr>
        <w:top w:val="none" w:sz="0" w:space="0" w:color="auto"/>
        <w:left w:val="none" w:sz="0" w:space="0" w:color="auto"/>
        <w:bottom w:val="none" w:sz="0" w:space="0" w:color="auto"/>
        <w:right w:val="none" w:sz="0" w:space="0" w:color="auto"/>
      </w:divBdr>
    </w:div>
    <w:div w:id="1805001488">
      <w:bodyDiv w:val="1"/>
      <w:marLeft w:val="0"/>
      <w:marRight w:val="0"/>
      <w:marTop w:val="0"/>
      <w:marBottom w:val="0"/>
      <w:divBdr>
        <w:top w:val="none" w:sz="0" w:space="0" w:color="auto"/>
        <w:left w:val="none" w:sz="0" w:space="0" w:color="auto"/>
        <w:bottom w:val="none" w:sz="0" w:space="0" w:color="auto"/>
        <w:right w:val="none" w:sz="0" w:space="0" w:color="auto"/>
      </w:divBdr>
      <w:divsChild>
        <w:div w:id="204800693">
          <w:marLeft w:val="360"/>
          <w:marRight w:val="0"/>
          <w:marTop w:val="200"/>
          <w:marBottom w:val="0"/>
          <w:divBdr>
            <w:top w:val="none" w:sz="0" w:space="0" w:color="auto"/>
            <w:left w:val="none" w:sz="0" w:space="0" w:color="auto"/>
            <w:bottom w:val="none" w:sz="0" w:space="0" w:color="auto"/>
            <w:right w:val="none" w:sz="0" w:space="0" w:color="auto"/>
          </w:divBdr>
        </w:div>
      </w:divsChild>
    </w:div>
    <w:div w:id="1862669577">
      <w:bodyDiv w:val="1"/>
      <w:marLeft w:val="0"/>
      <w:marRight w:val="0"/>
      <w:marTop w:val="0"/>
      <w:marBottom w:val="0"/>
      <w:divBdr>
        <w:top w:val="none" w:sz="0" w:space="0" w:color="auto"/>
        <w:left w:val="none" w:sz="0" w:space="0" w:color="auto"/>
        <w:bottom w:val="none" w:sz="0" w:space="0" w:color="auto"/>
        <w:right w:val="none" w:sz="0" w:space="0" w:color="auto"/>
      </w:divBdr>
      <w:divsChild>
        <w:div w:id="726219936">
          <w:marLeft w:val="274"/>
          <w:marRight w:val="0"/>
          <w:marTop w:val="120"/>
          <w:marBottom w:val="0"/>
          <w:divBdr>
            <w:top w:val="none" w:sz="0" w:space="0" w:color="auto"/>
            <w:left w:val="none" w:sz="0" w:space="0" w:color="auto"/>
            <w:bottom w:val="none" w:sz="0" w:space="0" w:color="auto"/>
            <w:right w:val="none" w:sz="0" w:space="0" w:color="auto"/>
          </w:divBdr>
        </w:div>
      </w:divsChild>
    </w:div>
    <w:div w:id="1869298492">
      <w:bodyDiv w:val="1"/>
      <w:marLeft w:val="0"/>
      <w:marRight w:val="0"/>
      <w:marTop w:val="0"/>
      <w:marBottom w:val="0"/>
      <w:divBdr>
        <w:top w:val="none" w:sz="0" w:space="0" w:color="auto"/>
        <w:left w:val="none" w:sz="0" w:space="0" w:color="auto"/>
        <w:bottom w:val="none" w:sz="0" w:space="0" w:color="auto"/>
        <w:right w:val="none" w:sz="0" w:space="0" w:color="auto"/>
      </w:divBdr>
      <w:divsChild>
        <w:div w:id="160391224">
          <w:marLeft w:val="994"/>
          <w:marRight w:val="0"/>
          <w:marTop w:val="72"/>
          <w:marBottom w:val="120"/>
          <w:divBdr>
            <w:top w:val="none" w:sz="0" w:space="0" w:color="auto"/>
            <w:left w:val="none" w:sz="0" w:space="0" w:color="auto"/>
            <w:bottom w:val="none" w:sz="0" w:space="0" w:color="auto"/>
            <w:right w:val="none" w:sz="0" w:space="0" w:color="auto"/>
          </w:divBdr>
        </w:div>
      </w:divsChild>
    </w:div>
    <w:div w:id="1893079334">
      <w:bodyDiv w:val="1"/>
      <w:marLeft w:val="0"/>
      <w:marRight w:val="0"/>
      <w:marTop w:val="0"/>
      <w:marBottom w:val="0"/>
      <w:divBdr>
        <w:top w:val="none" w:sz="0" w:space="0" w:color="auto"/>
        <w:left w:val="none" w:sz="0" w:space="0" w:color="auto"/>
        <w:bottom w:val="none" w:sz="0" w:space="0" w:color="auto"/>
        <w:right w:val="none" w:sz="0" w:space="0" w:color="auto"/>
      </w:divBdr>
      <w:divsChild>
        <w:div w:id="951936719">
          <w:marLeft w:val="994"/>
          <w:marRight w:val="0"/>
          <w:marTop w:val="72"/>
          <w:marBottom w:val="120"/>
          <w:divBdr>
            <w:top w:val="none" w:sz="0" w:space="0" w:color="auto"/>
            <w:left w:val="none" w:sz="0" w:space="0" w:color="auto"/>
            <w:bottom w:val="none" w:sz="0" w:space="0" w:color="auto"/>
            <w:right w:val="none" w:sz="0" w:space="0" w:color="auto"/>
          </w:divBdr>
        </w:div>
        <w:div w:id="522404257">
          <w:marLeft w:val="994"/>
          <w:marRight w:val="0"/>
          <w:marTop w:val="72"/>
          <w:marBottom w:val="120"/>
          <w:divBdr>
            <w:top w:val="none" w:sz="0" w:space="0" w:color="auto"/>
            <w:left w:val="none" w:sz="0" w:space="0" w:color="auto"/>
            <w:bottom w:val="none" w:sz="0" w:space="0" w:color="auto"/>
            <w:right w:val="none" w:sz="0" w:space="0" w:color="auto"/>
          </w:divBdr>
        </w:div>
        <w:div w:id="1857495632">
          <w:marLeft w:val="994"/>
          <w:marRight w:val="0"/>
          <w:marTop w:val="72"/>
          <w:marBottom w:val="120"/>
          <w:divBdr>
            <w:top w:val="none" w:sz="0" w:space="0" w:color="auto"/>
            <w:left w:val="none" w:sz="0" w:space="0" w:color="auto"/>
            <w:bottom w:val="none" w:sz="0" w:space="0" w:color="auto"/>
            <w:right w:val="none" w:sz="0" w:space="0" w:color="auto"/>
          </w:divBdr>
        </w:div>
      </w:divsChild>
    </w:div>
    <w:div w:id="1923368423">
      <w:bodyDiv w:val="1"/>
      <w:marLeft w:val="0"/>
      <w:marRight w:val="0"/>
      <w:marTop w:val="0"/>
      <w:marBottom w:val="0"/>
      <w:divBdr>
        <w:top w:val="none" w:sz="0" w:space="0" w:color="auto"/>
        <w:left w:val="none" w:sz="0" w:space="0" w:color="auto"/>
        <w:bottom w:val="none" w:sz="0" w:space="0" w:color="auto"/>
        <w:right w:val="none" w:sz="0" w:space="0" w:color="auto"/>
      </w:divBdr>
    </w:div>
    <w:div w:id="1924607949">
      <w:bodyDiv w:val="1"/>
      <w:marLeft w:val="0"/>
      <w:marRight w:val="0"/>
      <w:marTop w:val="0"/>
      <w:marBottom w:val="0"/>
      <w:divBdr>
        <w:top w:val="none" w:sz="0" w:space="0" w:color="auto"/>
        <w:left w:val="none" w:sz="0" w:space="0" w:color="auto"/>
        <w:bottom w:val="none" w:sz="0" w:space="0" w:color="auto"/>
        <w:right w:val="none" w:sz="0" w:space="0" w:color="auto"/>
      </w:divBdr>
    </w:div>
    <w:div w:id="1935626967">
      <w:bodyDiv w:val="1"/>
      <w:marLeft w:val="0"/>
      <w:marRight w:val="0"/>
      <w:marTop w:val="0"/>
      <w:marBottom w:val="0"/>
      <w:divBdr>
        <w:top w:val="none" w:sz="0" w:space="0" w:color="auto"/>
        <w:left w:val="none" w:sz="0" w:space="0" w:color="auto"/>
        <w:bottom w:val="none" w:sz="0" w:space="0" w:color="auto"/>
        <w:right w:val="none" w:sz="0" w:space="0" w:color="auto"/>
      </w:divBdr>
    </w:div>
    <w:div w:id="1943416340">
      <w:bodyDiv w:val="1"/>
      <w:marLeft w:val="0"/>
      <w:marRight w:val="0"/>
      <w:marTop w:val="0"/>
      <w:marBottom w:val="0"/>
      <w:divBdr>
        <w:top w:val="none" w:sz="0" w:space="0" w:color="auto"/>
        <w:left w:val="none" w:sz="0" w:space="0" w:color="auto"/>
        <w:bottom w:val="none" w:sz="0" w:space="0" w:color="auto"/>
        <w:right w:val="none" w:sz="0" w:space="0" w:color="auto"/>
      </w:divBdr>
    </w:div>
    <w:div w:id="1947543527">
      <w:bodyDiv w:val="1"/>
      <w:marLeft w:val="0"/>
      <w:marRight w:val="0"/>
      <w:marTop w:val="0"/>
      <w:marBottom w:val="0"/>
      <w:divBdr>
        <w:top w:val="none" w:sz="0" w:space="0" w:color="auto"/>
        <w:left w:val="none" w:sz="0" w:space="0" w:color="auto"/>
        <w:bottom w:val="none" w:sz="0" w:space="0" w:color="auto"/>
        <w:right w:val="none" w:sz="0" w:space="0" w:color="auto"/>
      </w:divBdr>
    </w:div>
    <w:div w:id="1948656997">
      <w:bodyDiv w:val="1"/>
      <w:marLeft w:val="0"/>
      <w:marRight w:val="0"/>
      <w:marTop w:val="0"/>
      <w:marBottom w:val="0"/>
      <w:divBdr>
        <w:top w:val="none" w:sz="0" w:space="0" w:color="auto"/>
        <w:left w:val="none" w:sz="0" w:space="0" w:color="auto"/>
        <w:bottom w:val="none" w:sz="0" w:space="0" w:color="auto"/>
        <w:right w:val="none" w:sz="0" w:space="0" w:color="auto"/>
      </w:divBdr>
      <w:divsChild>
        <w:div w:id="1026129328">
          <w:marLeft w:val="994"/>
          <w:marRight w:val="0"/>
          <w:marTop w:val="72"/>
          <w:marBottom w:val="0"/>
          <w:divBdr>
            <w:top w:val="none" w:sz="0" w:space="0" w:color="auto"/>
            <w:left w:val="none" w:sz="0" w:space="0" w:color="auto"/>
            <w:bottom w:val="none" w:sz="0" w:space="0" w:color="auto"/>
            <w:right w:val="none" w:sz="0" w:space="0" w:color="auto"/>
          </w:divBdr>
        </w:div>
        <w:div w:id="490214821">
          <w:marLeft w:val="994"/>
          <w:marRight w:val="0"/>
          <w:marTop w:val="72"/>
          <w:marBottom w:val="120"/>
          <w:divBdr>
            <w:top w:val="none" w:sz="0" w:space="0" w:color="auto"/>
            <w:left w:val="none" w:sz="0" w:space="0" w:color="auto"/>
            <w:bottom w:val="none" w:sz="0" w:space="0" w:color="auto"/>
            <w:right w:val="none" w:sz="0" w:space="0" w:color="auto"/>
          </w:divBdr>
        </w:div>
      </w:divsChild>
    </w:div>
    <w:div w:id="1996689759">
      <w:bodyDiv w:val="1"/>
      <w:marLeft w:val="0"/>
      <w:marRight w:val="0"/>
      <w:marTop w:val="0"/>
      <w:marBottom w:val="0"/>
      <w:divBdr>
        <w:top w:val="none" w:sz="0" w:space="0" w:color="auto"/>
        <w:left w:val="none" w:sz="0" w:space="0" w:color="auto"/>
        <w:bottom w:val="none" w:sz="0" w:space="0" w:color="auto"/>
        <w:right w:val="none" w:sz="0" w:space="0" w:color="auto"/>
      </w:divBdr>
      <w:divsChild>
        <w:div w:id="670833724">
          <w:marLeft w:val="994"/>
          <w:marRight w:val="0"/>
          <w:marTop w:val="77"/>
          <w:marBottom w:val="120"/>
          <w:divBdr>
            <w:top w:val="none" w:sz="0" w:space="0" w:color="auto"/>
            <w:left w:val="none" w:sz="0" w:space="0" w:color="auto"/>
            <w:bottom w:val="none" w:sz="0" w:space="0" w:color="auto"/>
            <w:right w:val="none" w:sz="0" w:space="0" w:color="auto"/>
          </w:divBdr>
        </w:div>
        <w:div w:id="1024088050">
          <w:marLeft w:val="994"/>
          <w:marRight w:val="0"/>
          <w:marTop w:val="77"/>
          <w:marBottom w:val="1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g"/><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nfoway-inforoute.c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holden\AppData\Local\Microsoft\Windows\Temporary%20Internet%20Files\Content.IE5\O4FNHYMJ\Word%20Document%20Template_2017-04-05_Final_EN.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3299-4E32-A3E5-6F56B0F9D4DF}"/>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3299-4E32-A3E5-6F56B0F9D4DF}"/>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3299-4E32-A3E5-6F56B0F9D4DF}"/>
            </c:ext>
          </c:extLst>
        </c:ser>
        <c:ser>
          <c:idx val="3"/>
          <c:order val="3"/>
          <c:tx>
            <c:strRef>
              <c:f>Sheet1!$E$1</c:f>
              <c:strCache>
                <c:ptCount val="1"/>
                <c:pt idx="0">
                  <c:v>Series 4</c:v>
                </c:pt>
              </c:strCache>
            </c:strRef>
          </c:tx>
          <c:spPr>
            <a:solidFill>
              <a:schemeClr val="accent4"/>
            </a:solidFill>
            <a:ln>
              <a:noFill/>
            </a:ln>
            <a:effectLst/>
          </c:spPr>
          <c:invertIfNegative val="0"/>
          <c:cat>
            <c:strRef>
              <c:f>Sheet1!$A$2:$A$5</c:f>
              <c:strCache>
                <c:ptCount val="4"/>
                <c:pt idx="0">
                  <c:v>Category 1</c:v>
                </c:pt>
                <c:pt idx="1">
                  <c:v>Category 2</c:v>
                </c:pt>
                <c:pt idx="2">
                  <c:v>Category 3</c:v>
                </c:pt>
                <c:pt idx="3">
                  <c:v>Category 4</c:v>
                </c:pt>
              </c:strCache>
            </c:strRef>
          </c:cat>
          <c:val>
            <c:numRef>
              <c:f>Sheet1!$E$2:$E$5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3-3299-4E32-A3E5-6F56B0F9D4DF}"/>
            </c:ext>
          </c:extLst>
        </c:ser>
        <c:ser>
          <c:idx val="4"/>
          <c:order val="4"/>
          <c:tx>
            <c:strRef>
              <c:f>Sheet1!$F$1</c:f>
              <c:strCache>
                <c:ptCount val="1"/>
                <c:pt idx="0">
                  <c:v>Series 5</c:v>
                </c:pt>
              </c:strCache>
            </c:strRef>
          </c:tx>
          <c:spPr>
            <a:solidFill>
              <a:schemeClr val="accent5"/>
            </a:solidFill>
            <a:ln>
              <a:noFill/>
            </a:ln>
            <a:effectLst/>
          </c:spPr>
          <c:invertIfNegative val="0"/>
          <c:cat>
            <c:strRef>
              <c:f>Sheet1!$A$2:$A$5</c:f>
              <c:strCache>
                <c:ptCount val="4"/>
                <c:pt idx="0">
                  <c:v>Category 1</c:v>
                </c:pt>
                <c:pt idx="1">
                  <c:v>Category 2</c:v>
                </c:pt>
                <c:pt idx="2">
                  <c:v>Category 3</c:v>
                </c:pt>
                <c:pt idx="3">
                  <c:v>Category 4</c:v>
                </c:pt>
              </c:strCache>
            </c:strRef>
          </c:cat>
          <c:val>
            <c:numRef>
              <c:f>Sheet1!$F$2:$F$5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4-3299-4E32-A3E5-6F56B0F9D4DF}"/>
            </c:ext>
          </c:extLst>
        </c:ser>
        <c:ser>
          <c:idx val="5"/>
          <c:order val="5"/>
          <c:tx>
            <c:strRef>
              <c:f>Sheet1!$G$1</c:f>
              <c:strCache>
                <c:ptCount val="1"/>
                <c:pt idx="0">
                  <c:v>Series 6</c:v>
                </c:pt>
              </c:strCache>
            </c:strRef>
          </c:tx>
          <c:spPr>
            <a:solidFill>
              <a:schemeClr val="accent6"/>
            </a:solidFill>
            <a:ln>
              <a:noFill/>
            </a:ln>
            <a:effectLst/>
          </c:spPr>
          <c:invertIfNegative val="0"/>
          <c:cat>
            <c:strRef>
              <c:f>Sheet1!$A$2:$A$5</c:f>
              <c:strCache>
                <c:ptCount val="4"/>
                <c:pt idx="0">
                  <c:v>Category 1</c:v>
                </c:pt>
                <c:pt idx="1">
                  <c:v>Category 2</c:v>
                </c:pt>
                <c:pt idx="2">
                  <c:v>Category 3</c:v>
                </c:pt>
                <c:pt idx="3">
                  <c:v>Category 4</c:v>
                </c:pt>
              </c:strCache>
            </c:strRef>
          </c:cat>
          <c:val>
            <c:numRef>
              <c:f>Sheet1!$G$2:$G$5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5-3299-4E32-A3E5-6F56B0F9D4DF}"/>
            </c:ext>
          </c:extLst>
        </c:ser>
        <c:dLbls>
          <c:showLegendKey val="0"/>
          <c:showVal val="0"/>
          <c:showCatName val="0"/>
          <c:showSerName val="0"/>
          <c:showPercent val="0"/>
          <c:showBubbleSize val="0"/>
        </c:dLbls>
        <c:gapWidth val="219"/>
        <c:overlap val="-27"/>
        <c:axId val="741489416"/>
        <c:axId val="741490728"/>
      </c:barChart>
      <c:catAx>
        <c:axId val="741489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1490728"/>
        <c:crosses val="autoZero"/>
        <c:auto val="1"/>
        <c:lblAlgn val="ctr"/>
        <c:lblOffset val="100"/>
        <c:noMultiLvlLbl val="0"/>
      </c:catAx>
      <c:valAx>
        <c:axId val="7414907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14894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2">
      <a:dk1>
        <a:srgbClr val="000000"/>
      </a:dk1>
      <a:lt1>
        <a:srgbClr val="FFFFFF"/>
      </a:lt1>
      <a:dk2>
        <a:srgbClr val="000000"/>
      </a:dk2>
      <a:lt2>
        <a:srgbClr val="FFFFFF"/>
      </a:lt2>
      <a:accent1>
        <a:srgbClr val="E02E3B"/>
      </a:accent1>
      <a:accent2>
        <a:srgbClr val="1CA600"/>
      </a:accent2>
      <a:accent3>
        <a:srgbClr val="0094B7"/>
      </a:accent3>
      <a:accent4>
        <a:srgbClr val="4B1D56"/>
      </a:accent4>
      <a:accent5>
        <a:srgbClr val="A4DB99"/>
      </a:accent5>
      <a:accent6>
        <a:srgbClr val="66BFD4"/>
      </a:accent6>
      <a:hlink>
        <a:srgbClr val="E02E3B"/>
      </a:hlink>
      <a:folHlink>
        <a:srgbClr val="E02E3B"/>
      </a:folHlink>
    </a:clrScheme>
    <a:fontScheme name="Infoway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9B10B112045FD47BA6C8ECB8F58FEEE" ma:contentTypeVersion="14" ma:contentTypeDescription="Crée un document." ma:contentTypeScope="" ma:versionID="de9636a7bc21cb8aa33d4354820add5f">
  <xsd:schema xmlns:xsd="http://www.w3.org/2001/XMLSchema" xmlns:xs="http://www.w3.org/2001/XMLSchema" xmlns:p="http://schemas.microsoft.com/office/2006/metadata/properties" xmlns:ns2="52192366-6fd7-4093-9970-fe1f30ebdca2" targetNamespace="http://schemas.microsoft.com/office/2006/metadata/properties" ma:root="true" ma:fieldsID="61fc9927642b05c44a373393b8b2fb2a" ns2:_="">
    <xsd:import namespace="52192366-6fd7-4093-9970-fe1f30ebdc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192366-6fd7-4093-9970-fe1f30ebdc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33847b5b-d0e3-4485-a095-699f088b1f05"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192366-6fd7-4093-9970-fe1f30ebdca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411C95F-0DD7-4024-818C-A11169285A46}">
  <ds:schemaRefs>
    <ds:schemaRef ds:uri="http://schemas.openxmlformats.org/officeDocument/2006/bibliography"/>
  </ds:schemaRefs>
</ds:datastoreItem>
</file>

<file path=customXml/itemProps2.xml><?xml version="1.0" encoding="utf-8"?>
<ds:datastoreItem xmlns:ds="http://schemas.openxmlformats.org/officeDocument/2006/customXml" ds:itemID="{EB327A2B-C584-4B0F-99F4-D61872D077A3}"/>
</file>

<file path=customXml/itemProps3.xml><?xml version="1.0" encoding="utf-8"?>
<ds:datastoreItem xmlns:ds="http://schemas.openxmlformats.org/officeDocument/2006/customXml" ds:itemID="{C574D7E6-BA41-4AEB-99B3-B557B17DCCAE}"/>
</file>

<file path=customXml/itemProps4.xml><?xml version="1.0" encoding="utf-8"?>
<ds:datastoreItem xmlns:ds="http://schemas.openxmlformats.org/officeDocument/2006/customXml" ds:itemID="{9716CA6F-2C7F-436F-BFEC-7733B663C07B}"/>
</file>

<file path=docProps/app.xml><?xml version="1.0" encoding="utf-8"?>
<Properties xmlns="http://schemas.openxmlformats.org/officeDocument/2006/extended-properties" xmlns:vt="http://schemas.openxmlformats.org/officeDocument/2006/docPropsVTypes">
  <Template>Word Document Template_2017-04-05_Final_EN.dotx</Template>
  <TotalTime>3</TotalTime>
  <Pages>9</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Smith , Matt</dc:creator>
  <cp:lastModifiedBy>Smith , Matt</cp:lastModifiedBy>
  <cp:revision>4</cp:revision>
  <dcterms:created xsi:type="dcterms:W3CDTF">2021-05-11T13:48:00Z</dcterms:created>
  <dcterms:modified xsi:type="dcterms:W3CDTF">2021-06-03T22:16:00Z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2017-03-09T00:00:00Z</vt:filetime>
  </property>
  <property fmtid="{D5CDD505-2E9C-101B-9397-08002B2CF9AE}" pid="3" name="LastSaved">
    <vt:filetime>2017-03-10T00:00:00Z</vt:filetime>
  </property>
  <property fmtid="{D5CDD505-2E9C-101B-9397-08002B2CF9AE}" pid="4" name="ContentTypeId">
    <vt:lpwstr>0x01010019B10B112045FD47BA6C8ECB8F58FEEE</vt:lpwstr>
  </property>
</Properties>
</file>