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COURSE QUOTA QUALIFIERS AND ADMISSION STATUS</w:t>
      </w:r>
    </w:p>
    <w:p>
      <w:pPr>
        <w:jc w:val="center"/>
        <w:spacing w:after="280"/>
      </w:pPr>
      <w:r>
        <w:rPr>
          <w:sz w:val="18"/>
          <w:color w:val="44534B"/>
        </w:rPr>
        <w:t>Official Program Qualifiers vs Target Quota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2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Applicant Name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Program</w:t>
            </w:r>
          </w:p>
        </w:tc>
        <w:tc>
          <w:tcPr>
            <w:tcW w:w="6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ICAT Score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Stanine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Quota Status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Remarks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{{composite_score}}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{{admission_status}}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{{remarks}}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{{composite_score}}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{{admission_status}}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{{remarks}}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{{composite_score}}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{{admission_status}}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{{remarks}}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Certified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Admissions &amp; Records Officer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University Registrar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