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INGESTION &amp; DISCREPANCY AUDIT REPORT</w:t>
      </w:r>
    </w:p>
    <w:p>
      <w:pPr>
        <w:jc w:val="center"/>
        <w:spacing w:after="280"/>
      </w:pPr>
      <w:r>
        <w:rPr>
          <w:sz w:val="18"/>
          <w:color w:val="44534B"/>
        </w:rPr>
        <w:t>Verified Form 138 vs Portal Intake Corrections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#</w:t>
            </w:r>
          </w:p>
        </w:tc>
        <w:tc>
          <w:tcPr>
            <w:tcW w:w="1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NOA No.</w:t>
            </w:r>
          </w:p>
        </w:tc>
        <w:tc>
          <w:tcPr>
            <w:tcW w:w="24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Applicant Name</w:t>
            </w:r>
          </w:p>
        </w:tc>
        <w:tc>
          <w:tcPr>
            <w:tcW w:w="11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Discrepancy Category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Encoded Value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Verified Value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Action Taken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{{issue_category}}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{{encoded_value}}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{{verified_value}}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{{action_taken}}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{{issue_category}}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{{encoded_value}}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{{verified_value}}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{{action_taken}}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{{issue_category}}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{{encoded_value}}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{{verified_value}}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{{action_taken}}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Audited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Intake Verification Staff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Verified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University Registrar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