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FINAL APTITUDE SCORE DISTRIBUTION</w:t>
      </w:r>
    </w:p>
    <w:p>
      <w:pPr>
        <w:jc w:val="center"/>
        <w:spacing w:after="280"/>
      </w:pPr>
      <w:r>
        <w:rPr>
          <w:sz w:val="18"/>
          <w:color w:val="44534B"/>
        </w:rPr>
        <w:t>Statistical Competency Summary per Subtest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Aptitude Area / Subtest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Examinees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Mean Score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Std Dev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{{aptitude_area}}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{{mean}}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{{median}}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{{aptitude_area}}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{{mean}}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{{median}}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{{aptitude_area}}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{{mean}}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{{median}}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Testing Coordinator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Noted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Head, Guidance &amp; Testing Center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