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STUDENT PREFERENCE &amp; PROGRAM DEMAND SHARE</w:t>
      </w:r>
    </w:p>
    <w:p>
      <w:pPr>
        <w:jc w:val="center"/>
        <w:spacing w:after="280"/>
      </w:pPr>
      <w:r>
        <w:rPr>
          <w:sz w:val="18"/>
          <w:color w:val="44534B"/>
        </w:rPr>
        <w:t>Primary vs Alternate Course Selection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43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Offered Program</w:t>
            </w:r>
          </w:p>
        </w:tc>
        <w:tc>
          <w:tcPr>
            <w:tcW w:w="16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1st Choice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2nd/3rd Choice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Total Pool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{{first_choice_count}}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{{alternate_choice_count}}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{{distinct_applicant_count}}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{{first_choice_count}}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{{alternate_choice_count}}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{{distinct_applicant_count}}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{{first_choice_count}}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{{alternate_choice_count}}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{{distinct_applicant_count}}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Prepared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Academic Affairs Analyst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Noted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Dean of College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