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EXAM MATERIAL DISTRIBUTION MANIFEST</w:t>
      </w:r>
    </w:p>
    <w:p>
      <w:pPr>
        <w:jc w:val="center"/>
        <w:spacing w:after="280"/>
      </w:pPr>
      <w:r>
        <w:rPr>
          <w:sz w:val="18"/>
          <w:color w:val="44534B"/>
        </w:rPr>
        <w:t>Booklet and OMR Sheet Dispatch Ledger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Bundle #</w:t>
            </w:r>
          </w:p>
        </w:tc>
        <w:tc>
          <w:tcPr>
            <w:tcW w:w="1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Target Room</w:t>
            </w:r>
          </w:p>
        </w:tc>
        <w:tc>
          <w:tcPr>
            <w:tcW w:w="24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Booklet Series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Sheets Dispatched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Sheets Used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Unused Returned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Custodian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{{bundle_code}}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{{booklet_series}}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{{sheets_dispatched}}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{{sheets_used}}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{{sheets_returned}}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{{custodian_name}}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{{bundle_code}}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{{booklet_series}}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{{sheets_dispatched}}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{{sheets_used}}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{{sheets_returned}}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{{custodian_name}}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{{bundle_code}}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{{booklet_series}}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{{sheets_dispatched}}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{{sheets_used}}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{{sheets_returned}}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{{custodian_name}}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Materials Logistics Officer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 of Testing Operations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